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eading=h.gjdgxs" w:colFirst="0" w:colLast="0"/>
    <w:bookmarkEnd w:id="0"/>
    <w:p w14:paraId="36EC6A4A" w14:textId="7559BBE9" w:rsidR="00DC27E8" w:rsidRPr="00B24A80" w:rsidRDefault="00AF3F08" w:rsidP="0070485C">
      <w:pPr>
        <w:jc w:val="center"/>
        <w:rPr>
          <w:rFonts w:asciiTheme="majorHAnsi" w:eastAsia="Calibri" w:hAnsiTheme="majorHAnsi" w:cstheme="majorHAnsi"/>
          <w:b/>
          <w:color w:val="000000"/>
          <w:sz w:val="22"/>
          <w:szCs w:val="22"/>
        </w:rPr>
      </w:pPr>
      <w:r w:rsidRPr="00B24A80">
        <w:rPr>
          <w:rFonts w:asciiTheme="majorHAnsi" w:eastAsia="Calibri" w:hAnsiTheme="majorHAnsi" w:cstheme="majorHAnsi"/>
          <w:noProof/>
          <w:sz w:val="22"/>
          <w:szCs w:val="22"/>
          <w:lang w:val="es-EC" w:eastAsia="es-EC"/>
        </w:rPr>
        <mc:AlternateContent>
          <mc:Choice Requires="wps">
            <w:drawing>
              <wp:anchor distT="0" distB="0" distL="114300" distR="114300" simplePos="0" relativeHeight="251663360" behindDoc="0" locked="0" layoutInCell="1" allowOverlap="1" wp14:anchorId="7DC395DC" wp14:editId="7B0A108F">
                <wp:simplePos x="0" y="0"/>
                <wp:positionH relativeFrom="column">
                  <wp:posOffset>-661035</wp:posOffset>
                </wp:positionH>
                <wp:positionV relativeFrom="paragraph">
                  <wp:posOffset>-728345</wp:posOffset>
                </wp:positionV>
                <wp:extent cx="6753225" cy="70485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6753225" cy="70485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58552" id="Rectángulo 4" o:spid="_x0000_s1026" style="position:absolute;margin-left:-52.05pt;margin-top:-57.35pt;width:531.75pt;height:5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" fillcolor="white [3212]" strokecolor="white [3212]" strokeweight="2pt"/>
            </w:pict>
          </mc:Fallback>
        </mc:AlternateContent>
      </w:r>
      <w:r w:rsidR="00844061">
        <w:rPr>
          <w:rFonts w:asciiTheme="majorHAnsi" w:eastAsia="Calibri" w:hAnsiTheme="majorHAnsi" w:cstheme="majorHAnsi"/>
          <w:b/>
          <w:color w:val="000000"/>
          <w:sz w:val="22"/>
          <w:szCs w:val="22"/>
        </w:rPr>
        <w:t xml:space="preserve">  </w:t>
      </w:r>
    </w:p>
    <w:p w14:paraId="26B65A26" w14:textId="77777777" w:rsidR="00DC27E8" w:rsidRPr="00B24A80" w:rsidRDefault="00DC27E8">
      <w:pPr>
        <w:pBdr>
          <w:top w:val="nil"/>
          <w:left w:val="nil"/>
          <w:bottom w:val="nil"/>
          <w:right w:val="nil"/>
          <w:between w:val="nil"/>
        </w:pBdr>
        <w:ind w:hanging="720"/>
        <w:rPr>
          <w:rFonts w:asciiTheme="majorHAnsi" w:eastAsia="Calibri" w:hAnsiTheme="majorHAnsi" w:cstheme="majorHAnsi"/>
          <w:color w:val="000000"/>
          <w:sz w:val="22"/>
          <w:szCs w:val="22"/>
        </w:rPr>
      </w:pPr>
    </w:p>
    <w:p w14:paraId="3CAD1F4C" w14:textId="0E8AC1F3" w:rsidR="00DC27E8" w:rsidRPr="00B24A80" w:rsidRDefault="00DC27E8">
      <w:pPr>
        <w:jc w:val="center"/>
        <w:rPr>
          <w:rFonts w:asciiTheme="majorHAnsi" w:eastAsia="Calibri" w:hAnsiTheme="majorHAnsi" w:cstheme="majorHAnsi"/>
          <w:b/>
          <w:color w:val="000000"/>
          <w:sz w:val="22"/>
          <w:szCs w:val="22"/>
        </w:rPr>
      </w:pPr>
    </w:p>
    <w:p w14:paraId="589688FD" w14:textId="77777777" w:rsidR="00DC27E8" w:rsidRPr="00B24A80" w:rsidRDefault="00DC27E8">
      <w:pPr>
        <w:jc w:val="center"/>
        <w:rPr>
          <w:rFonts w:asciiTheme="majorHAnsi" w:eastAsia="Calibri" w:hAnsiTheme="majorHAnsi" w:cstheme="majorHAnsi"/>
          <w:b/>
          <w:color w:val="000000"/>
          <w:sz w:val="22"/>
          <w:szCs w:val="22"/>
        </w:rPr>
      </w:pPr>
    </w:p>
    <w:p w14:paraId="22123EB5" w14:textId="2C157530" w:rsidR="00DC27E8" w:rsidRPr="00B24A80" w:rsidRDefault="00DC27E8">
      <w:pPr>
        <w:rPr>
          <w:rFonts w:asciiTheme="majorHAnsi" w:eastAsia="Calibri" w:hAnsiTheme="majorHAnsi" w:cstheme="majorHAnsi"/>
          <w:b/>
          <w:color w:val="000000"/>
          <w:sz w:val="22"/>
          <w:szCs w:val="22"/>
        </w:rPr>
      </w:pPr>
    </w:p>
    <w:p w14:paraId="4E3D8588" w14:textId="77777777" w:rsidR="0070485C" w:rsidRPr="00B24A80" w:rsidRDefault="0070485C">
      <w:pPr>
        <w:rPr>
          <w:rFonts w:asciiTheme="majorHAnsi" w:eastAsia="Calibri" w:hAnsiTheme="majorHAnsi" w:cstheme="majorHAnsi"/>
          <w:b/>
          <w:color w:val="000000"/>
          <w:sz w:val="22"/>
          <w:szCs w:val="22"/>
        </w:rPr>
      </w:pPr>
    </w:p>
    <w:p w14:paraId="1C4BCB18" w14:textId="22BB0CC5" w:rsidR="007C1CF0" w:rsidRPr="00BC6835" w:rsidRDefault="007C1CF0" w:rsidP="00BC6835">
      <w:pPr>
        <w:jc w:val="center"/>
      </w:pPr>
    </w:p>
    <w:p w14:paraId="7CE5AC1E" w14:textId="345A3ECB" w:rsidR="007C1CF0" w:rsidRPr="00BC6835" w:rsidRDefault="007C1CF0" w:rsidP="00BC6835">
      <w:pPr>
        <w:jc w:val="center"/>
      </w:pPr>
      <w:r w:rsidRPr="00BC6835">
        <w:t>“</w:t>
      </w:r>
      <w:r w:rsidR="00145D98" w:rsidRPr="00BC6835">
        <w:t>ACTUALIZACIÓN DEL PLAN DE DESARROLLO Y ORDENAMIENTO TERRITORIAL Y EL</w:t>
      </w:r>
      <w:r w:rsidRPr="00BC6835">
        <w:t xml:space="preserve"> PLAN DE USO Y GESTIÓN DE SUELO PARA EL CANTÓN </w:t>
      </w:r>
      <w:r w:rsidR="00BB63D4" w:rsidRPr="00BC6835">
        <w:t>JOYA DE LOS SACHAS</w:t>
      </w:r>
      <w:r w:rsidRPr="00BC6835">
        <w:t xml:space="preserve">, PROVINCIA DE </w:t>
      </w:r>
      <w:r w:rsidR="00BB63D4" w:rsidRPr="00BC6835">
        <w:t>ORELLANA</w:t>
      </w:r>
      <w:r w:rsidRPr="00BC6835">
        <w:t>”</w:t>
      </w:r>
    </w:p>
    <w:p w14:paraId="30FC75B4" w14:textId="77777777" w:rsidR="00DC27E8" w:rsidRPr="00BC6835" w:rsidRDefault="00DC27E8" w:rsidP="00BC6835">
      <w:pPr>
        <w:jc w:val="center"/>
      </w:pPr>
    </w:p>
    <w:p w14:paraId="603C4CF6" w14:textId="77777777" w:rsidR="00DC27E8" w:rsidRPr="00BC6835" w:rsidRDefault="00DC27E8" w:rsidP="00BC6835">
      <w:pPr>
        <w:jc w:val="center"/>
      </w:pPr>
    </w:p>
    <w:p w14:paraId="25B91ECE" w14:textId="3C817246" w:rsidR="00DC27E8" w:rsidRPr="00BC6835" w:rsidRDefault="00DC27E8" w:rsidP="00BC6835">
      <w:pPr>
        <w:jc w:val="center"/>
      </w:pPr>
    </w:p>
    <w:p w14:paraId="5A04E136" w14:textId="77777777" w:rsidR="00DA2DC9" w:rsidRPr="00BC6835" w:rsidRDefault="00DA2DC9" w:rsidP="0039579F"/>
    <w:p w14:paraId="09AF557A" w14:textId="043C1DBA" w:rsidR="007C1CF0" w:rsidRPr="00BC6835" w:rsidRDefault="007C1CF0" w:rsidP="00BC6835">
      <w:pPr>
        <w:jc w:val="center"/>
      </w:pPr>
    </w:p>
    <w:p w14:paraId="114D087E" w14:textId="534B8BC9" w:rsidR="0070485C" w:rsidRPr="00BC6835" w:rsidRDefault="0070485C" w:rsidP="00BC6835">
      <w:pPr>
        <w:jc w:val="center"/>
      </w:pPr>
    </w:p>
    <w:p w14:paraId="143E78D6" w14:textId="77777777" w:rsidR="0070485C" w:rsidRPr="00BC6835" w:rsidRDefault="0070485C" w:rsidP="00BC6835">
      <w:pPr>
        <w:jc w:val="center"/>
      </w:pPr>
    </w:p>
    <w:p w14:paraId="06910366" w14:textId="758F0A05" w:rsidR="0070485C" w:rsidRPr="00BC6835" w:rsidRDefault="00145D98" w:rsidP="00BC6835">
      <w:pPr>
        <w:jc w:val="center"/>
      </w:pPr>
      <w:r w:rsidRPr="00BC6835">
        <w:t>ORDENANZA SUSTITUTIVA QUE APRUEBA EL PLAN DE DESARROLLO Y ORDENAMIENTO TERRITORIAL Y SU ALINEACIÓN AL PLAN NACIONAL DE DESARROLLO 2024-2025; Y, EL PLAN DE USO Y GESTIÓN DEL SUELO DEL CANTÓN LA JOYA DE LOS SACHAS</w:t>
      </w:r>
      <w:r w:rsidR="001702D8">
        <w:t>.</w:t>
      </w:r>
    </w:p>
    <w:p w14:paraId="4CF12AF6" w14:textId="77777777" w:rsidR="00DC27E8" w:rsidRPr="00BC6835" w:rsidRDefault="00DC27E8" w:rsidP="00BC6835">
      <w:pPr>
        <w:jc w:val="center"/>
      </w:pPr>
    </w:p>
    <w:p w14:paraId="5B09F77C" w14:textId="77777777" w:rsidR="00DC27E8" w:rsidRPr="00BC6835" w:rsidRDefault="00DC27E8" w:rsidP="00BC6835">
      <w:pPr>
        <w:jc w:val="center"/>
      </w:pPr>
    </w:p>
    <w:p w14:paraId="60FEDF00" w14:textId="4C2CE2CC" w:rsidR="00A31148" w:rsidRPr="00BC6835" w:rsidRDefault="00BB63D4" w:rsidP="00BC6835">
      <w:pPr>
        <w:jc w:val="center"/>
      </w:pPr>
      <w:r w:rsidRPr="00BC6835">
        <w:t>2024</w:t>
      </w:r>
    </w:p>
    <w:p w14:paraId="30994EE4" w14:textId="77777777" w:rsidR="008D2E7A" w:rsidRPr="00BC6835" w:rsidRDefault="008D2E7A" w:rsidP="00BC6835">
      <w:pPr>
        <w:jc w:val="center"/>
      </w:pPr>
    </w:p>
    <w:p w14:paraId="7C2DB1BB" w14:textId="77777777" w:rsidR="008D2E7A" w:rsidRPr="00B24A80" w:rsidRDefault="008D2E7A" w:rsidP="00570627">
      <w:pPr>
        <w:tabs>
          <w:tab w:val="center" w:pos="4249"/>
        </w:tabs>
        <w:jc w:val="center"/>
        <w:rPr>
          <w:rFonts w:asciiTheme="majorHAnsi" w:hAnsiTheme="majorHAnsi" w:cstheme="majorHAnsi"/>
          <w:b/>
          <w:sz w:val="22"/>
          <w:szCs w:val="22"/>
        </w:rPr>
      </w:pPr>
    </w:p>
    <w:p w14:paraId="56B71209" w14:textId="483BCF51" w:rsidR="008D2E7A" w:rsidRPr="00B24A80" w:rsidRDefault="008D2E7A">
      <w:pPr>
        <w:jc w:val="left"/>
        <w:rPr>
          <w:rFonts w:asciiTheme="majorHAnsi" w:hAnsiTheme="majorHAnsi" w:cstheme="majorHAnsi"/>
          <w:b/>
          <w:sz w:val="22"/>
          <w:szCs w:val="22"/>
        </w:rPr>
      </w:pPr>
      <w:r w:rsidRPr="00B24A80">
        <w:rPr>
          <w:rFonts w:asciiTheme="majorHAnsi" w:hAnsiTheme="majorHAnsi" w:cstheme="majorHAnsi"/>
          <w:b/>
          <w:sz w:val="22"/>
          <w:szCs w:val="22"/>
        </w:rPr>
        <w:br w:type="page"/>
      </w:r>
    </w:p>
    <w:p w14:paraId="398D3B0E" w14:textId="77777777" w:rsidR="008D2E7A" w:rsidRPr="00B24A80" w:rsidRDefault="008D2E7A" w:rsidP="00570627">
      <w:pPr>
        <w:tabs>
          <w:tab w:val="center" w:pos="4249"/>
        </w:tabs>
        <w:jc w:val="center"/>
        <w:rPr>
          <w:rFonts w:asciiTheme="majorHAnsi" w:hAnsiTheme="majorHAnsi" w:cstheme="majorHAnsi"/>
          <w:b/>
          <w:sz w:val="22"/>
          <w:szCs w:val="22"/>
        </w:rPr>
      </w:pPr>
    </w:p>
    <w:p w14:paraId="2202401C" w14:textId="40484095" w:rsidR="005D38BF" w:rsidRDefault="008D2E7A">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r w:rsidRPr="00B24A80">
        <w:rPr>
          <w:rFonts w:cstheme="majorHAnsi"/>
          <w:sz w:val="22"/>
          <w:szCs w:val="22"/>
        </w:rPr>
        <w:fldChar w:fldCharType="begin"/>
      </w:r>
      <w:r w:rsidRPr="00B24A80">
        <w:rPr>
          <w:rFonts w:cstheme="majorHAnsi"/>
          <w:sz w:val="22"/>
          <w:szCs w:val="22"/>
        </w:rPr>
        <w:instrText xml:space="preserve"> TOC \o "1-5" \h \z \u </w:instrText>
      </w:r>
      <w:r w:rsidRPr="00B24A80">
        <w:rPr>
          <w:rFonts w:cstheme="majorHAnsi"/>
          <w:sz w:val="22"/>
          <w:szCs w:val="22"/>
        </w:rPr>
        <w:fldChar w:fldCharType="separate"/>
      </w:r>
      <w:hyperlink w:anchor="_Toc181374060" w:history="1">
        <w:r w:rsidR="005D38BF" w:rsidRPr="00451D28">
          <w:rPr>
            <w:rStyle w:val="Hipervnculo"/>
            <w:rFonts w:cstheme="majorHAnsi"/>
            <w:noProof/>
          </w:rPr>
          <w:t>EXPOSICIÓN DE MOTIVOS:</w:t>
        </w:r>
        <w:r w:rsidR="005D38BF">
          <w:rPr>
            <w:noProof/>
            <w:webHidden/>
          </w:rPr>
          <w:tab/>
        </w:r>
        <w:r w:rsidR="005D38BF">
          <w:rPr>
            <w:noProof/>
            <w:webHidden/>
          </w:rPr>
          <w:fldChar w:fldCharType="begin"/>
        </w:r>
        <w:r w:rsidR="005D38BF">
          <w:rPr>
            <w:noProof/>
            <w:webHidden/>
          </w:rPr>
          <w:instrText xml:space="preserve"> PAGEREF _Toc181374060 \h </w:instrText>
        </w:r>
        <w:r w:rsidR="005D38BF">
          <w:rPr>
            <w:noProof/>
            <w:webHidden/>
          </w:rPr>
        </w:r>
        <w:r w:rsidR="005D38BF">
          <w:rPr>
            <w:noProof/>
            <w:webHidden/>
          </w:rPr>
          <w:fldChar w:fldCharType="separate"/>
        </w:r>
        <w:r w:rsidR="005D38BF">
          <w:rPr>
            <w:noProof/>
            <w:webHidden/>
          </w:rPr>
          <w:t>5</w:t>
        </w:r>
        <w:r w:rsidR="005D38BF">
          <w:rPr>
            <w:noProof/>
            <w:webHidden/>
          </w:rPr>
          <w:fldChar w:fldCharType="end"/>
        </w:r>
      </w:hyperlink>
    </w:p>
    <w:p w14:paraId="4B624019" w14:textId="4469746D"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61" w:history="1">
        <w:r w:rsidRPr="00451D28">
          <w:rPr>
            <w:rStyle w:val="Hipervnculo"/>
            <w:rFonts w:eastAsia="Calibri" w:cstheme="majorHAnsi"/>
            <w:noProof/>
          </w:rPr>
          <w:t>ORDENANZA SUSTITUTIVA QUE APRUEBA EL PLAN DE DESARROLLO Y ORDENAMIENTO TERRITORIAL Y SU ALINEACIÓN AL PLAN NACIONAL DE DESARROLLO 2024-2025; Y EL PLAN DE USO Y GESTIÓN DEL SUELO DEL CANTÓN LA JOYA DE LOS SACHAS</w:t>
        </w:r>
        <w:r>
          <w:rPr>
            <w:noProof/>
            <w:webHidden/>
          </w:rPr>
          <w:tab/>
        </w:r>
        <w:r>
          <w:rPr>
            <w:noProof/>
            <w:webHidden/>
          </w:rPr>
          <w:fldChar w:fldCharType="begin"/>
        </w:r>
        <w:r>
          <w:rPr>
            <w:noProof/>
            <w:webHidden/>
          </w:rPr>
          <w:instrText xml:space="preserve"> PAGEREF _Toc181374061 \h </w:instrText>
        </w:r>
        <w:r>
          <w:rPr>
            <w:noProof/>
            <w:webHidden/>
          </w:rPr>
        </w:r>
        <w:r>
          <w:rPr>
            <w:noProof/>
            <w:webHidden/>
          </w:rPr>
          <w:fldChar w:fldCharType="separate"/>
        </w:r>
        <w:r>
          <w:rPr>
            <w:noProof/>
            <w:webHidden/>
          </w:rPr>
          <w:t>20</w:t>
        </w:r>
        <w:r>
          <w:rPr>
            <w:noProof/>
            <w:webHidden/>
          </w:rPr>
          <w:fldChar w:fldCharType="end"/>
        </w:r>
      </w:hyperlink>
    </w:p>
    <w:p w14:paraId="1341D554" w14:textId="117431E7"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62" w:history="1">
        <w:r w:rsidRPr="00451D28">
          <w:rPr>
            <w:rStyle w:val="Hipervnculo"/>
            <w:rFonts w:eastAsia="Calibri" w:cstheme="majorHAnsi"/>
            <w:noProof/>
          </w:rPr>
          <w:t>LIBRO I</w:t>
        </w:r>
        <w:r>
          <w:rPr>
            <w:noProof/>
            <w:webHidden/>
          </w:rPr>
          <w:tab/>
        </w:r>
        <w:r>
          <w:rPr>
            <w:noProof/>
            <w:webHidden/>
          </w:rPr>
          <w:fldChar w:fldCharType="begin"/>
        </w:r>
        <w:r>
          <w:rPr>
            <w:noProof/>
            <w:webHidden/>
          </w:rPr>
          <w:instrText xml:space="preserve"> PAGEREF _Toc181374062 \h </w:instrText>
        </w:r>
        <w:r>
          <w:rPr>
            <w:noProof/>
            <w:webHidden/>
          </w:rPr>
        </w:r>
        <w:r>
          <w:rPr>
            <w:noProof/>
            <w:webHidden/>
          </w:rPr>
          <w:fldChar w:fldCharType="separate"/>
        </w:r>
        <w:r>
          <w:rPr>
            <w:noProof/>
            <w:webHidden/>
          </w:rPr>
          <w:t>20</w:t>
        </w:r>
        <w:r>
          <w:rPr>
            <w:noProof/>
            <w:webHidden/>
          </w:rPr>
          <w:fldChar w:fldCharType="end"/>
        </w:r>
      </w:hyperlink>
    </w:p>
    <w:p w14:paraId="5FA1AD9D" w14:textId="1432A898"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63" w:history="1">
        <w:r w:rsidRPr="00451D28">
          <w:rPr>
            <w:rStyle w:val="Hipervnculo"/>
            <w:rFonts w:eastAsia="Calibri" w:cstheme="majorHAnsi"/>
            <w:noProof/>
          </w:rPr>
          <w:t xml:space="preserve">TÍTULO I </w:t>
        </w:r>
        <w:r w:rsidRPr="00451D28">
          <w:rPr>
            <w:rStyle w:val="Hipervnculo"/>
            <w:rFonts w:cstheme="majorHAnsi"/>
            <w:noProof/>
          </w:rPr>
          <w:t>DISPOSICIONES PRELIMINARES</w:t>
        </w:r>
        <w:r>
          <w:rPr>
            <w:noProof/>
            <w:webHidden/>
          </w:rPr>
          <w:tab/>
        </w:r>
        <w:r>
          <w:rPr>
            <w:noProof/>
            <w:webHidden/>
          </w:rPr>
          <w:fldChar w:fldCharType="begin"/>
        </w:r>
        <w:r>
          <w:rPr>
            <w:noProof/>
            <w:webHidden/>
          </w:rPr>
          <w:instrText xml:space="preserve"> PAGEREF _Toc181374063 \h </w:instrText>
        </w:r>
        <w:r>
          <w:rPr>
            <w:noProof/>
            <w:webHidden/>
          </w:rPr>
        </w:r>
        <w:r>
          <w:rPr>
            <w:noProof/>
            <w:webHidden/>
          </w:rPr>
          <w:fldChar w:fldCharType="separate"/>
        </w:r>
        <w:r>
          <w:rPr>
            <w:noProof/>
            <w:webHidden/>
          </w:rPr>
          <w:t>20</w:t>
        </w:r>
        <w:r>
          <w:rPr>
            <w:noProof/>
            <w:webHidden/>
          </w:rPr>
          <w:fldChar w:fldCharType="end"/>
        </w:r>
      </w:hyperlink>
    </w:p>
    <w:p w14:paraId="588E3F6B" w14:textId="706C6AD9"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64" w:history="1">
        <w:r w:rsidRPr="00451D28">
          <w:rPr>
            <w:rStyle w:val="Hipervnculo"/>
            <w:rFonts w:cstheme="majorHAnsi"/>
            <w:noProof/>
          </w:rPr>
          <w:t>CAPÍTULO I Objeto, Ámbito, Vigencia y Revisión</w:t>
        </w:r>
        <w:r>
          <w:rPr>
            <w:noProof/>
            <w:webHidden/>
          </w:rPr>
          <w:tab/>
        </w:r>
        <w:r>
          <w:rPr>
            <w:noProof/>
            <w:webHidden/>
          </w:rPr>
          <w:fldChar w:fldCharType="begin"/>
        </w:r>
        <w:r>
          <w:rPr>
            <w:noProof/>
            <w:webHidden/>
          </w:rPr>
          <w:instrText xml:space="preserve"> PAGEREF _Toc181374064 \h </w:instrText>
        </w:r>
        <w:r>
          <w:rPr>
            <w:noProof/>
            <w:webHidden/>
          </w:rPr>
        </w:r>
        <w:r>
          <w:rPr>
            <w:noProof/>
            <w:webHidden/>
          </w:rPr>
          <w:fldChar w:fldCharType="separate"/>
        </w:r>
        <w:r>
          <w:rPr>
            <w:noProof/>
            <w:webHidden/>
          </w:rPr>
          <w:t>20</w:t>
        </w:r>
        <w:r>
          <w:rPr>
            <w:noProof/>
            <w:webHidden/>
          </w:rPr>
          <w:fldChar w:fldCharType="end"/>
        </w:r>
      </w:hyperlink>
    </w:p>
    <w:p w14:paraId="6423CE7A" w14:textId="73DEE898"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65" w:history="1">
        <w:r w:rsidRPr="00451D28">
          <w:rPr>
            <w:rStyle w:val="Hipervnculo"/>
            <w:rFonts w:cstheme="majorHAnsi"/>
            <w:noProof/>
          </w:rPr>
          <w:t>CAPÍTULO II</w:t>
        </w:r>
        <w:r>
          <w:rPr>
            <w:noProof/>
            <w:webHidden/>
          </w:rPr>
          <w:tab/>
        </w:r>
        <w:r>
          <w:rPr>
            <w:noProof/>
            <w:webHidden/>
          </w:rPr>
          <w:fldChar w:fldCharType="begin"/>
        </w:r>
        <w:r>
          <w:rPr>
            <w:noProof/>
            <w:webHidden/>
          </w:rPr>
          <w:instrText xml:space="preserve"> PAGEREF _Toc181374065 \h </w:instrText>
        </w:r>
        <w:r>
          <w:rPr>
            <w:noProof/>
            <w:webHidden/>
          </w:rPr>
        </w:r>
        <w:r>
          <w:rPr>
            <w:noProof/>
            <w:webHidden/>
          </w:rPr>
          <w:fldChar w:fldCharType="separate"/>
        </w:r>
        <w:r>
          <w:rPr>
            <w:noProof/>
            <w:webHidden/>
          </w:rPr>
          <w:t>34</w:t>
        </w:r>
        <w:r>
          <w:rPr>
            <w:noProof/>
            <w:webHidden/>
          </w:rPr>
          <w:fldChar w:fldCharType="end"/>
        </w:r>
      </w:hyperlink>
    </w:p>
    <w:p w14:paraId="4CB4F9A8" w14:textId="6C306C21"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66" w:history="1">
        <w:r w:rsidRPr="00451D28">
          <w:rPr>
            <w:rStyle w:val="Hipervnculo"/>
            <w:rFonts w:cstheme="majorHAnsi"/>
            <w:noProof/>
          </w:rPr>
          <w:t>SECCIÓN I Efectos y Contenido</w:t>
        </w:r>
        <w:r>
          <w:rPr>
            <w:noProof/>
            <w:webHidden/>
          </w:rPr>
          <w:tab/>
        </w:r>
        <w:r>
          <w:rPr>
            <w:noProof/>
            <w:webHidden/>
          </w:rPr>
          <w:fldChar w:fldCharType="begin"/>
        </w:r>
        <w:r>
          <w:rPr>
            <w:noProof/>
            <w:webHidden/>
          </w:rPr>
          <w:instrText xml:space="preserve"> PAGEREF _Toc181374066 \h </w:instrText>
        </w:r>
        <w:r>
          <w:rPr>
            <w:noProof/>
            <w:webHidden/>
          </w:rPr>
        </w:r>
        <w:r>
          <w:rPr>
            <w:noProof/>
            <w:webHidden/>
          </w:rPr>
          <w:fldChar w:fldCharType="separate"/>
        </w:r>
        <w:r>
          <w:rPr>
            <w:noProof/>
            <w:webHidden/>
          </w:rPr>
          <w:t>34</w:t>
        </w:r>
        <w:r>
          <w:rPr>
            <w:noProof/>
            <w:webHidden/>
          </w:rPr>
          <w:fldChar w:fldCharType="end"/>
        </w:r>
      </w:hyperlink>
    </w:p>
    <w:p w14:paraId="55DA8BFB" w14:textId="3CE78F25"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67" w:history="1">
        <w:r w:rsidRPr="00451D28">
          <w:rPr>
            <w:rStyle w:val="Hipervnculo"/>
            <w:rFonts w:cstheme="majorHAnsi"/>
            <w:noProof/>
          </w:rPr>
          <w:t>SECCIÓN II  Políticas de gestión del Suelo</w:t>
        </w:r>
        <w:r>
          <w:rPr>
            <w:noProof/>
            <w:webHidden/>
          </w:rPr>
          <w:tab/>
        </w:r>
        <w:r>
          <w:rPr>
            <w:noProof/>
            <w:webHidden/>
          </w:rPr>
          <w:fldChar w:fldCharType="begin"/>
        </w:r>
        <w:r>
          <w:rPr>
            <w:noProof/>
            <w:webHidden/>
          </w:rPr>
          <w:instrText xml:space="preserve"> PAGEREF _Toc181374067 \h </w:instrText>
        </w:r>
        <w:r>
          <w:rPr>
            <w:noProof/>
            <w:webHidden/>
          </w:rPr>
        </w:r>
        <w:r>
          <w:rPr>
            <w:noProof/>
            <w:webHidden/>
          </w:rPr>
          <w:fldChar w:fldCharType="separate"/>
        </w:r>
        <w:r>
          <w:rPr>
            <w:noProof/>
            <w:webHidden/>
          </w:rPr>
          <w:t>34</w:t>
        </w:r>
        <w:r>
          <w:rPr>
            <w:noProof/>
            <w:webHidden/>
          </w:rPr>
          <w:fldChar w:fldCharType="end"/>
        </w:r>
      </w:hyperlink>
    </w:p>
    <w:p w14:paraId="3C38EFE1" w14:textId="392AF512"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68" w:history="1">
        <w:r w:rsidRPr="00451D28">
          <w:rPr>
            <w:rStyle w:val="Hipervnculo"/>
            <w:rFonts w:cstheme="majorHAnsi"/>
            <w:noProof/>
          </w:rPr>
          <w:t>CAPÍTULO III Instrumentos de Planificación</w:t>
        </w:r>
        <w:r>
          <w:rPr>
            <w:noProof/>
            <w:webHidden/>
          </w:rPr>
          <w:tab/>
        </w:r>
        <w:r>
          <w:rPr>
            <w:noProof/>
            <w:webHidden/>
          </w:rPr>
          <w:fldChar w:fldCharType="begin"/>
        </w:r>
        <w:r>
          <w:rPr>
            <w:noProof/>
            <w:webHidden/>
          </w:rPr>
          <w:instrText xml:space="preserve"> PAGEREF _Toc181374068 \h </w:instrText>
        </w:r>
        <w:r>
          <w:rPr>
            <w:noProof/>
            <w:webHidden/>
          </w:rPr>
        </w:r>
        <w:r>
          <w:rPr>
            <w:noProof/>
            <w:webHidden/>
          </w:rPr>
          <w:fldChar w:fldCharType="separate"/>
        </w:r>
        <w:r>
          <w:rPr>
            <w:noProof/>
            <w:webHidden/>
          </w:rPr>
          <w:t>36</w:t>
        </w:r>
        <w:r>
          <w:rPr>
            <w:noProof/>
            <w:webHidden/>
          </w:rPr>
          <w:fldChar w:fldCharType="end"/>
        </w:r>
      </w:hyperlink>
    </w:p>
    <w:p w14:paraId="6F576074" w14:textId="0ACE2C43"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69" w:history="1">
        <w:r w:rsidRPr="00451D28">
          <w:rPr>
            <w:rStyle w:val="Hipervnculo"/>
            <w:rFonts w:cstheme="majorHAnsi"/>
            <w:noProof/>
          </w:rPr>
          <w:t>TÍTULO II USO Y GESTIÓN DEL SUELO</w:t>
        </w:r>
        <w:r>
          <w:rPr>
            <w:noProof/>
            <w:webHidden/>
          </w:rPr>
          <w:tab/>
        </w:r>
        <w:r>
          <w:rPr>
            <w:noProof/>
            <w:webHidden/>
          </w:rPr>
          <w:fldChar w:fldCharType="begin"/>
        </w:r>
        <w:r>
          <w:rPr>
            <w:noProof/>
            <w:webHidden/>
          </w:rPr>
          <w:instrText xml:space="preserve"> PAGEREF _Toc181374069 \h </w:instrText>
        </w:r>
        <w:r>
          <w:rPr>
            <w:noProof/>
            <w:webHidden/>
          </w:rPr>
        </w:r>
        <w:r>
          <w:rPr>
            <w:noProof/>
            <w:webHidden/>
          </w:rPr>
          <w:fldChar w:fldCharType="separate"/>
        </w:r>
        <w:r>
          <w:rPr>
            <w:noProof/>
            <w:webHidden/>
          </w:rPr>
          <w:t>38</w:t>
        </w:r>
        <w:r>
          <w:rPr>
            <w:noProof/>
            <w:webHidden/>
          </w:rPr>
          <w:fldChar w:fldCharType="end"/>
        </w:r>
      </w:hyperlink>
    </w:p>
    <w:p w14:paraId="061C3A8E" w14:textId="3A91001A"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0" w:history="1">
        <w:r w:rsidRPr="00451D28">
          <w:rPr>
            <w:rStyle w:val="Hipervnculo"/>
            <w:rFonts w:cstheme="majorHAnsi"/>
            <w:noProof/>
          </w:rPr>
          <w:t>CAPÍTULO I Clasificación del Suelo</w:t>
        </w:r>
        <w:r>
          <w:rPr>
            <w:noProof/>
            <w:webHidden/>
          </w:rPr>
          <w:tab/>
        </w:r>
        <w:r>
          <w:rPr>
            <w:noProof/>
            <w:webHidden/>
          </w:rPr>
          <w:fldChar w:fldCharType="begin"/>
        </w:r>
        <w:r>
          <w:rPr>
            <w:noProof/>
            <w:webHidden/>
          </w:rPr>
          <w:instrText xml:space="preserve"> PAGEREF _Toc181374070 \h </w:instrText>
        </w:r>
        <w:r>
          <w:rPr>
            <w:noProof/>
            <w:webHidden/>
          </w:rPr>
        </w:r>
        <w:r>
          <w:rPr>
            <w:noProof/>
            <w:webHidden/>
          </w:rPr>
          <w:fldChar w:fldCharType="separate"/>
        </w:r>
        <w:r>
          <w:rPr>
            <w:noProof/>
            <w:webHidden/>
          </w:rPr>
          <w:t>38</w:t>
        </w:r>
        <w:r>
          <w:rPr>
            <w:noProof/>
            <w:webHidden/>
          </w:rPr>
          <w:fldChar w:fldCharType="end"/>
        </w:r>
      </w:hyperlink>
    </w:p>
    <w:p w14:paraId="03FF092B" w14:textId="1E1302C5"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1" w:history="1">
        <w:r w:rsidRPr="00451D28">
          <w:rPr>
            <w:rStyle w:val="Hipervnculo"/>
            <w:rFonts w:cstheme="majorHAnsi"/>
            <w:noProof/>
          </w:rPr>
          <w:t>CAPÍTULO II Planificación y Gestión del Suelo</w:t>
        </w:r>
        <w:r>
          <w:rPr>
            <w:noProof/>
            <w:webHidden/>
          </w:rPr>
          <w:tab/>
        </w:r>
        <w:r>
          <w:rPr>
            <w:noProof/>
            <w:webHidden/>
          </w:rPr>
          <w:fldChar w:fldCharType="begin"/>
        </w:r>
        <w:r>
          <w:rPr>
            <w:noProof/>
            <w:webHidden/>
          </w:rPr>
          <w:instrText xml:space="preserve"> PAGEREF _Toc181374071 \h </w:instrText>
        </w:r>
        <w:r>
          <w:rPr>
            <w:noProof/>
            <w:webHidden/>
          </w:rPr>
        </w:r>
        <w:r>
          <w:rPr>
            <w:noProof/>
            <w:webHidden/>
          </w:rPr>
          <w:fldChar w:fldCharType="separate"/>
        </w:r>
        <w:r>
          <w:rPr>
            <w:noProof/>
            <w:webHidden/>
          </w:rPr>
          <w:t>39</w:t>
        </w:r>
        <w:r>
          <w:rPr>
            <w:noProof/>
            <w:webHidden/>
          </w:rPr>
          <w:fldChar w:fldCharType="end"/>
        </w:r>
      </w:hyperlink>
    </w:p>
    <w:p w14:paraId="6A0F7735" w14:textId="56DBE127"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2" w:history="1">
        <w:r w:rsidRPr="00451D28">
          <w:rPr>
            <w:rStyle w:val="Hipervnculo"/>
            <w:rFonts w:cstheme="majorHAnsi"/>
            <w:noProof/>
          </w:rPr>
          <w:t>CAPÍTULO III Control y Gestión Territorial</w:t>
        </w:r>
        <w:r>
          <w:rPr>
            <w:noProof/>
            <w:webHidden/>
          </w:rPr>
          <w:tab/>
        </w:r>
        <w:r>
          <w:rPr>
            <w:noProof/>
            <w:webHidden/>
          </w:rPr>
          <w:fldChar w:fldCharType="begin"/>
        </w:r>
        <w:r>
          <w:rPr>
            <w:noProof/>
            <w:webHidden/>
          </w:rPr>
          <w:instrText xml:space="preserve"> PAGEREF _Toc181374072 \h </w:instrText>
        </w:r>
        <w:r>
          <w:rPr>
            <w:noProof/>
            <w:webHidden/>
          </w:rPr>
        </w:r>
        <w:r>
          <w:rPr>
            <w:noProof/>
            <w:webHidden/>
          </w:rPr>
          <w:fldChar w:fldCharType="separate"/>
        </w:r>
        <w:r>
          <w:rPr>
            <w:noProof/>
            <w:webHidden/>
          </w:rPr>
          <w:t>40</w:t>
        </w:r>
        <w:r>
          <w:rPr>
            <w:noProof/>
            <w:webHidden/>
          </w:rPr>
          <w:fldChar w:fldCharType="end"/>
        </w:r>
      </w:hyperlink>
    </w:p>
    <w:p w14:paraId="6E5D1C1F" w14:textId="6AAADA84"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73" w:history="1">
        <w:r w:rsidRPr="00451D28">
          <w:rPr>
            <w:rStyle w:val="Hipervnculo"/>
            <w:rFonts w:cstheme="majorHAnsi"/>
            <w:noProof/>
          </w:rPr>
          <w:t>TÍTULO III NORMATIVA URBANÍSTICA</w:t>
        </w:r>
        <w:r>
          <w:rPr>
            <w:noProof/>
            <w:webHidden/>
          </w:rPr>
          <w:tab/>
        </w:r>
        <w:r>
          <w:rPr>
            <w:noProof/>
            <w:webHidden/>
          </w:rPr>
          <w:fldChar w:fldCharType="begin"/>
        </w:r>
        <w:r>
          <w:rPr>
            <w:noProof/>
            <w:webHidden/>
          </w:rPr>
          <w:instrText xml:space="preserve"> PAGEREF _Toc181374073 \h </w:instrText>
        </w:r>
        <w:r>
          <w:rPr>
            <w:noProof/>
            <w:webHidden/>
          </w:rPr>
        </w:r>
        <w:r>
          <w:rPr>
            <w:noProof/>
            <w:webHidden/>
          </w:rPr>
          <w:fldChar w:fldCharType="separate"/>
        </w:r>
        <w:r>
          <w:rPr>
            <w:noProof/>
            <w:webHidden/>
          </w:rPr>
          <w:t>41</w:t>
        </w:r>
        <w:r>
          <w:rPr>
            <w:noProof/>
            <w:webHidden/>
          </w:rPr>
          <w:fldChar w:fldCharType="end"/>
        </w:r>
      </w:hyperlink>
    </w:p>
    <w:p w14:paraId="050CB25F" w14:textId="35E1809F"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4" w:history="1">
        <w:r w:rsidRPr="00451D28">
          <w:rPr>
            <w:rStyle w:val="Hipervnculo"/>
            <w:rFonts w:cstheme="majorHAnsi"/>
            <w:noProof/>
          </w:rPr>
          <w:t>CAPÍTULO I Componente Urbanístico</w:t>
        </w:r>
        <w:r>
          <w:rPr>
            <w:noProof/>
            <w:webHidden/>
          </w:rPr>
          <w:tab/>
        </w:r>
        <w:r>
          <w:rPr>
            <w:noProof/>
            <w:webHidden/>
          </w:rPr>
          <w:fldChar w:fldCharType="begin"/>
        </w:r>
        <w:r>
          <w:rPr>
            <w:noProof/>
            <w:webHidden/>
          </w:rPr>
          <w:instrText xml:space="preserve"> PAGEREF _Toc181374074 \h </w:instrText>
        </w:r>
        <w:r>
          <w:rPr>
            <w:noProof/>
            <w:webHidden/>
          </w:rPr>
        </w:r>
        <w:r>
          <w:rPr>
            <w:noProof/>
            <w:webHidden/>
          </w:rPr>
          <w:fldChar w:fldCharType="separate"/>
        </w:r>
        <w:r>
          <w:rPr>
            <w:noProof/>
            <w:webHidden/>
          </w:rPr>
          <w:t>41</w:t>
        </w:r>
        <w:r>
          <w:rPr>
            <w:noProof/>
            <w:webHidden/>
          </w:rPr>
          <w:fldChar w:fldCharType="end"/>
        </w:r>
      </w:hyperlink>
    </w:p>
    <w:p w14:paraId="5323A992" w14:textId="5786C376"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5" w:history="1">
        <w:r w:rsidRPr="00451D28">
          <w:rPr>
            <w:rStyle w:val="Hipervnculo"/>
            <w:rFonts w:cstheme="majorHAnsi"/>
            <w:noProof/>
          </w:rPr>
          <w:t>SECCIÓN I Límite Urbano y Subclasificación del Suelo</w:t>
        </w:r>
        <w:r>
          <w:rPr>
            <w:noProof/>
            <w:webHidden/>
          </w:rPr>
          <w:tab/>
        </w:r>
        <w:r>
          <w:rPr>
            <w:noProof/>
            <w:webHidden/>
          </w:rPr>
          <w:fldChar w:fldCharType="begin"/>
        </w:r>
        <w:r>
          <w:rPr>
            <w:noProof/>
            <w:webHidden/>
          </w:rPr>
          <w:instrText xml:space="preserve"> PAGEREF _Toc181374075 \h </w:instrText>
        </w:r>
        <w:r>
          <w:rPr>
            <w:noProof/>
            <w:webHidden/>
          </w:rPr>
        </w:r>
        <w:r>
          <w:rPr>
            <w:noProof/>
            <w:webHidden/>
          </w:rPr>
          <w:fldChar w:fldCharType="separate"/>
        </w:r>
        <w:r>
          <w:rPr>
            <w:noProof/>
            <w:webHidden/>
          </w:rPr>
          <w:t>41</w:t>
        </w:r>
        <w:r>
          <w:rPr>
            <w:noProof/>
            <w:webHidden/>
          </w:rPr>
          <w:fldChar w:fldCharType="end"/>
        </w:r>
      </w:hyperlink>
    </w:p>
    <w:p w14:paraId="1A2D35AF" w14:textId="7442C74E"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6" w:history="1">
        <w:r w:rsidRPr="00451D28">
          <w:rPr>
            <w:rStyle w:val="Hipervnculo"/>
            <w:rFonts w:cstheme="majorHAnsi"/>
            <w:noProof/>
          </w:rPr>
          <w:t>SECCIÓN III Determinación de Tratamientos Urbanísticos</w:t>
        </w:r>
        <w:r>
          <w:rPr>
            <w:noProof/>
            <w:webHidden/>
          </w:rPr>
          <w:tab/>
        </w:r>
        <w:r>
          <w:rPr>
            <w:noProof/>
            <w:webHidden/>
          </w:rPr>
          <w:fldChar w:fldCharType="begin"/>
        </w:r>
        <w:r>
          <w:rPr>
            <w:noProof/>
            <w:webHidden/>
          </w:rPr>
          <w:instrText xml:space="preserve"> PAGEREF _Toc181374076 \h </w:instrText>
        </w:r>
        <w:r>
          <w:rPr>
            <w:noProof/>
            <w:webHidden/>
          </w:rPr>
        </w:r>
        <w:r>
          <w:rPr>
            <w:noProof/>
            <w:webHidden/>
          </w:rPr>
          <w:fldChar w:fldCharType="separate"/>
        </w:r>
        <w:r>
          <w:rPr>
            <w:noProof/>
            <w:webHidden/>
          </w:rPr>
          <w:t>42</w:t>
        </w:r>
        <w:r>
          <w:rPr>
            <w:noProof/>
            <w:webHidden/>
          </w:rPr>
          <w:fldChar w:fldCharType="end"/>
        </w:r>
      </w:hyperlink>
    </w:p>
    <w:p w14:paraId="537146C7" w14:textId="068B86B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7" w:history="1">
        <w:r w:rsidRPr="00451D28">
          <w:rPr>
            <w:rStyle w:val="Hipervnculo"/>
            <w:rFonts w:cstheme="majorHAnsi"/>
            <w:noProof/>
          </w:rPr>
          <w:t>SECCIÓN IV Usos de Suelo</w:t>
        </w:r>
        <w:r>
          <w:rPr>
            <w:noProof/>
            <w:webHidden/>
          </w:rPr>
          <w:tab/>
        </w:r>
        <w:r>
          <w:rPr>
            <w:noProof/>
            <w:webHidden/>
          </w:rPr>
          <w:fldChar w:fldCharType="begin"/>
        </w:r>
        <w:r>
          <w:rPr>
            <w:noProof/>
            <w:webHidden/>
          </w:rPr>
          <w:instrText xml:space="preserve"> PAGEREF _Toc181374077 \h </w:instrText>
        </w:r>
        <w:r>
          <w:rPr>
            <w:noProof/>
            <w:webHidden/>
          </w:rPr>
        </w:r>
        <w:r>
          <w:rPr>
            <w:noProof/>
            <w:webHidden/>
          </w:rPr>
          <w:fldChar w:fldCharType="separate"/>
        </w:r>
        <w:r>
          <w:rPr>
            <w:noProof/>
            <w:webHidden/>
          </w:rPr>
          <w:t>46</w:t>
        </w:r>
        <w:r>
          <w:rPr>
            <w:noProof/>
            <w:webHidden/>
          </w:rPr>
          <w:fldChar w:fldCharType="end"/>
        </w:r>
      </w:hyperlink>
    </w:p>
    <w:p w14:paraId="3BB50FB8" w14:textId="346B40DE"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78" w:history="1">
        <w:r w:rsidRPr="00451D28">
          <w:rPr>
            <w:rStyle w:val="Hipervnculo"/>
            <w:rFonts w:cstheme="majorHAnsi"/>
            <w:noProof/>
          </w:rPr>
          <w:t>SECCIÓN V Clasificación de Usos</w:t>
        </w:r>
        <w:r>
          <w:rPr>
            <w:noProof/>
            <w:webHidden/>
          </w:rPr>
          <w:tab/>
        </w:r>
        <w:r>
          <w:rPr>
            <w:noProof/>
            <w:webHidden/>
          </w:rPr>
          <w:fldChar w:fldCharType="begin"/>
        </w:r>
        <w:r>
          <w:rPr>
            <w:noProof/>
            <w:webHidden/>
          </w:rPr>
          <w:instrText xml:space="preserve"> PAGEREF _Toc181374078 \h </w:instrText>
        </w:r>
        <w:r>
          <w:rPr>
            <w:noProof/>
            <w:webHidden/>
          </w:rPr>
        </w:r>
        <w:r>
          <w:rPr>
            <w:noProof/>
            <w:webHidden/>
          </w:rPr>
          <w:fldChar w:fldCharType="separate"/>
        </w:r>
        <w:r>
          <w:rPr>
            <w:noProof/>
            <w:webHidden/>
          </w:rPr>
          <w:t>47</w:t>
        </w:r>
        <w:r>
          <w:rPr>
            <w:noProof/>
            <w:webHidden/>
          </w:rPr>
          <w:fldChar w:fldCharType="end"/>
        </w:r>
      </w:hyperlink>
    </w:p>
    <w:p w14:paraId="2C28CE00" w14:textId="0E04F49F"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79" w:history="1">
        <w:r w:rsidRPr="00451D28">
          <w:rPr>
            <w:rStyle w:val="Hipervnculo"/>
            <w:rFonts w:cstheme="majorHAnsi"/>
            <w:noProof/>
          </w:rPr>
          <w:t>TÍTULO IV NORMATIVA ESTRUCTURANTE</w:t>
        </w:r>
        <w:r>
          <w:rPr>
            <w:noProof/>
            <w:webHidden/>
          </w:rPr>
          <w:tab/>
        </w:r>
        <w:r>
          <w:rPr>
            <w:noProof/>
            <w:webHidden/>
          </w:rPr>
          <w:fldChar w:fldCharType="begin"/>
        </w:r>
        <w:r>
          <w:rPr>
            <w:noProof/>
            <w:webHidden/>
          </w:rPr>
          <w:instrText xml:space="preserve"> PAGEREF _Toc181374079 \h </w:instrText>
        </w:r>
        <w:r>
          <w:rPr>
            <w:noProof/>
            <w:webHidden/>
          </w:rPr>
        </w:r>
        <w:r>
          <w:rPr>
            <w:noProof/>
            <w:webHidden/>
          </w:rPr>
          <w:fldChar w:fldCharType="separate"/>
        </w:r>
        <w:r>
          <w:rPr>
            <w:noProof/>
            <w:webHidden/>
          </w:rPr>
          <w:t>71</w:t>
        </w:r>
        <w:r>
          <w:rPr>
            <w:noProof/>
            <w:webHidden/>
          </w:rPr>
          <w:fldChar w:fldCharType="end"/>
        </w:r>
      </w:hyperlink>
    </w:p>
    <w:p w14:paraId="3473ACC5" w14:textId="3C006CEE"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0" w:history="1">
        <w:r w:rsidRPr="00451D28">
          <w:rPr>
            <w:rStyle w:val="Hipervnculo"/>
            <w:rFonts w:cstheme="majorHAnsi"/>
            <w:noProof/>
          </w:rPr>
          <w:t>CAPÍTULO I Componente Estructurante</w:t>
        </w:r>
        <w:r>
          <w:rPr>
            <w:noProof/>
            <w:webHidden/>
          </w:rPr>
          <w:tab/>
        </w:r>
        <w:r>
          <w:rPr>
            <w:noProof/>
            <w:webHidden/>
          </w:rPr>
          <w:fldChar w:fldCharType="begin"/>
        </w:r>
        <w:r>
          <w:rPr>
            <w:noProof/>
            <w:webHidden/>
          </w:rPr>
          <w:instrText xml:space="preserve"> PAGEREF _Toc181374080 \h </w:instrText>
        </w:r>
        <w:r>
          <w:rPr>
            <w:noProof/>
            <w:webHidden/>
          </w:rPr>
        </w:r>
        <w:r>
          <w:rPr>
            <w:noProof/>
            <w:webHidden/>
          </w:rPr>
          <w:fldChar w:fldCharType="separate"/>
        </w:r>
        <w:r>
          <w:rPr>
            <w:noProof/>
            <w:webHidden/>
          </w:rPr>
          <w:t>71</w:t>
        </w:r>
        <w:r>
          <w:rPr>
            <w:noProof/>
            <w:webHidden/>
          </w:rPr>
          <w:fldChar w:fldCharType="end"/>
        </w:r>
      </w:hyperlink>
    </w:p>
    <w:p w14:paraId="54B7C214" w14:textId="4F8B5102"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1" w:history="1">
        <w:r w:rsidRPr="00451D28">
          <w:rPr>
            <w:rStyle w:val="Hipervnculo"/>
            <w:rFonts w:cstheme="majorHAnsi"/>
            <w:noProof/>
          </w:rPr>
          <w:t>SECCIÓN I Subclasificación del Suelo Rural</w:t>
        </w:r>
        <w:r>
          <w:rPr>
            <w:noProof/>
            <w:webHidden/>
          </w:rPr>
          <w:tab/>
        </w:r>
        <w:r>
          <w:rPr>
            <w:noProof/>
            <w:webHidden/>
          </w:rPr>
          <w:fldChar w:fldCharType="begin"/>
        </w:r>
        <w:r>
          <w:rPr>
            <w:noProof/>
            <w:webHidden/>
          </w:rPr>
          <w:instrText xml:space="preserve"> PAGEREF _Toc181374081 \h </w:instrText>
        </w:r>
        <w:r>
          <w:rPr>
            <w:noProof/>
            <w:webHidden/>
          </w:rPr>
        </w:r>
        <w:r>
          <w:rPr>
            <w:noProof/>
            <w:webHidden/>
          </w:rPr>
          <w:fldChar w:fldCharType="separate"/>
        </w:r>
        <w:r>
          <w:rPr>
            <w:noProof/>
            <w:webHidden/>
          </w:rPr>
          <w:t>71</w:t>
        </w:r>
        <w:r>
          <w:rPr>
            <w:noProof/>
            <w:webHidden/>
          </w:rPr>
          <w:fldChar w:fldCharType="end"/>
        </w:r>
      </w:hyperlink>
    </w:p>
    <w:p w14:paraId="289D622B" w14:textId="54FB0A8B"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2" w:history="1">
        <w:r w:rsidRPr="00451D28">
          <w:rPr>
            <w:rStyle w:val="Hipervnculo"/>
            <w:rFonts w:cstheme="majorHAnsi"/>
            <w:noProof/>
          </w:rPr>
          <w:t>SECCIÓN II Componente urbanístico en suelo rural</w:t>
        </w:r>
        <w:r>
          <w:rPr>
            <w:noProof/>
            <w:webHidden/>
          </w:rPr>
          <w:tab/>
        </w:r>
        <w:r>
          <w:rPr>
            <w:noProof/>
            <w:webHidden/>
          </w:rPr>
          <w:fldChar w:fldCharType="begin"/>
        </w:r>
        <w:r>
          <w:rPr>
            <w:noProof/>
            <w:webHidden/>
          </w:rPr>
          <w:instrText xml:space="preserve"> PAGEREF _Toc181374082 \h </w:instrText>
        </w:r>
        <w:r>
          <w:rPr>
            <w:noProof/>
            <w:webHidden/>
          </w:rPr>
        </w:r>
        <w:r>
          <w:rPr>
            <w:noProof/>
            <w:webHidden/>
          </w:rPr>
          <w:fldChar w:fldCharType="separate"/>
        </w:r>
        <w:r>
          <w:rPr>
            <w:noProof/>
            <w:webHidden/>
          </w:rPr>
          <w:t>72</w:t>
        </w:r>
        <w:r>
          <w:rPr>
            <w:noProof/>
            <w:webHidden/>
          </w:rPr>
          <w:fldChar w:fldCharType="end"/>
        </w:r>
      </w:hyperlink>
    </w:p>
    <w:p w14:paraId="38CBCA7D" w14:textId="0AB7747F"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3" w:history="1">
        <w:r w:rsidRPr="00451D28">
          <w:rPr>
            <w:rStyle w:val="Hipervnculo"/>
            <w:rFonts w:cstheme="majorHAnsi"/>
            <w:noProof/>
          </w:rPr>
          <w:t>SECCIÓN III</w:t>
        </w:r>
        <w:r>
          <w:rPr>
            <w:noProof/>
            <w:webHidden/>
          </w:rPr>
          <w:tab/>
        </w:r>
        <w:r>
          <w:rPr>
            <w:noProof/>
            <w:webHidden/>
          </w:rPr>
          <w:fldChar w:fldCharType="begin"/>
        </w:r>
        <w:r>
          <w:rPr>
            <w:noProof/>
            <w:webHidden/>
          </w:rPr>
          <w:instrText xml:space="preserve"> PAGEREF _Toc181374083 \h </w:instrText>
        </w:r>
        <w:r>
          <w:rPr>
            <w:noProof/>
            <w:webHidden/>
          </w:rPr>
        </w:r>
        <w:r>
          <w:rPr>
            <w:noProof/>
            <w:webHidden/>
          </w:rPr>
          <w:fldChar w:fldCharType="separate"/>
        </w:r>
        <w:r>
          <w:rPr>
            <w:noProof/>
            <w:webHidden/>
          </w:rPr>
          <w:t>87</w:t>
        </w:r>
        <w:r>
          <w:rPr>
            <w:noProof/>
            <w:webHidden/>
          </w:rPr>
          <w:fldChar w:fldCharType="end"/>
        </w:r>
      </w:hyperlink>
    </w:p>
    <w:p w14:paraId="7D23E018" w14:textId="36820376"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4" w:history="1">
        <w:r w:rsidRPr="00451D28">
          <w:rPr>
            <w:rStyle w:val="Hipervnculo"/>
            <w:rFonts w:cstheme="majorHAnsi"/>
            <w:noProof/>
          </w:rPr>
          <w:t>SECCIÓN IV</w:t>
        </w:r>
        <w:r>
          <w:rPr>
            <w:noProof/>
            <w:webHidden/>
          </w:rPr>
          <w:tab/>
        </w:r>
        <w:r>
          <w:rPr>
            <w:noProof/>
            <w:webHidden/>
          </w:rPr>
          <w:fldChar w:fldCharType="begin"/>
        </w:r>
        <w:r>
          <w:rPr>
            <w:noProof/>
            <w:webHidden/>
          </w:rPr>
          <w:instrText xml:space="preserve"> PAGEREF _Toc181374084 \h </w:instrText>
        </w:r>
        <w:r>
          <w:rPr>
            <w:noProof/>
            <w:webHidden/>
          </w:rPr>
        </w:r>
        <w:r>
          <w:rPr>
            <w:noProof/>
            <w:webHidden/>
          </w:rPr>
          <w:fldChar w:fldCharType="separate"/>
        </w:r>
        <w:r>
          <w:rPr>
            <w:noProof/>
            <w:webHidden/>
          </w:rPr>
          <w:t>87</w:t>
        </w:r>
        <w:r>
          <w:rPr>
            <w:noProof/>
            <w:webHidden/>
          </w:rPr>
          <w:fldChar w:fldCharType="end"/>
        </w:r>
      </w:hyperlink>
    </w:p>
    <w:p w14:paraId="6458EBE2" w14:textId="55BA9680"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085" w:history="1">
        <w:r w:rsidRPr="00451D28">
          <w:rPr>
            <w:rStyle w:val="Hipervnculo"/>
            <w:rFonts w:cstheme="majorHAnsi"/>
            <w:noProof/>
          </w:rPr>
          <w:t>TÍTULO V NORMAS Y MODIFICACIONES AL PLAN DE USO Y GESTIÓN DEL SUELO</w:t>
        </w:r>
        <w:r>
          <w:rPr>
            <w:noProof/>
            <w:webHidden/>
          </w:rPr>
          <w:tab/>
        </w:r>
        <w:r>
          <w:rPr>
            <w:noProof/>
            <w:webHidden/>
          </w:rPr>
          <w:fldChar w:fldCharType="begin"/>
        </w:r>
        <w:r>
          <w:rPr>
            <w:noProof/>
            <w:webHidden/>
          </w:rPr>
          <w:instrText xml:space="preserve"> PAGEREF _Toc181374085 \h </w:instrText>
        </w:r>
        <w:r>
          <w:rPr>
            <w:noProof/>
            <w:webHidden/>
          </w:rPr>
        </w:r>
        <w:r>
          <w:rPr>
            <w:noProof/>
            <w:webHidden/>
          </w:rPr>
          <w:fldChar w:fldCharType="separate"/>
        </w:r>
        <w:r>
          <w:rPr>
            <w:noProof/>
            <w:webHidden/>
          </w:rPr>
          <w:t>87</w:t>
        </w:r>
        <w:r>
          <w:rPr>
            <w:noProof/>
            <w:webHidden/>
          </w:rPr>
          <w:fldChar w:fldCharType="end"/>
        </w:r>
      </w:hyperlink>
    </w:p>
    <w:p w14:paraId="425E1DFC" w14:textId="31DF7715"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6" w:history="1">
        <w:r w:rsidRPr="00451D28">
          <w:rPr>
            <w:rStyle w:val="Hipervnculo"/>
            <w:rFonts w:cstheme="majorHAnsi"/>
            <w:noProof/>
          </w:rPr>
          <w:t>CAPÍTULO I Modificaciones al Plan de Uso y Gestión del Suelo</w:t>
        </w:r>
        <w:r>
          <w:rPr>
            <w:noProof/>
            <w:webHidden/>
          </w:rPr>
          <w:tab/>
        </w:r>
        <w:r>
          <w:rPr>
            <w:noProof/>
            <w:webHidden/>
          </w:rPr>
          <w:fldChar w:fldCharType="begin"/>
        </w:r>
        <w:r>
          <w:rPr>
            <w:noProof/>
            <w:webHidden/>
          </w:rPr>
          <w:instrText xml:space="preserve"> PAGEREF _Toc181374086 \h </w:instrText>
        </w:r>
        <w:r>
          <w:rPr>
            <w:noProof/>
            <w:webHidden/>
          </w:rPr>
        </w:r>
        <w:r>
          <w:rPr>
            <w:noProof/>
            <w:webHidden/>
          </w:rPr>
          <w:fldChar w:fldCharType="separate"/>
        </w:r>
        <w:r>
          <w:rPr>
            <w:noProof/>
            <w:webHidden/>
          </w:rPr>
          <w:t>87</w:t>
        </w:r>
        <w:r>
          <w:rPr>
            <w:noProof/>
            <w:webHidden/>
          </w:rPr>
          <w:fldChar w:fldCharType="end"/>
        </w:r>
      </w:hyperlink>
    </w:p>
    <w:p w14:paraId="2FB12111" w14:textId="10646B55"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7" w:history="1">
        <w:r w:rsidRPr="00451D28">
          <w:rPr>
            <w:rStyle w:val="Hipervnculo"/>
            <w:rFonts w:cstheme="majorHAnsi"/>
            <w:noProof/>
          </w:rPr>
          <w:t>CAPÍTULO II Normas para el Uso de Suelo</w:t>
        </w:r>
        <w:r>
          <w:rPr>
            <w:noProof/>
            <w:webHidden/>
          </w:rPr>
          <w:tab/>
        </w:r>
        <w:r>
          <w:rPr>
            <w:noProof/>
            <w:webHidden/>
          </w:rPr>
          <w:fldChar w:fldCharType="begin"/>
        </w:r>
        <w:r>
          <w:rPr>
            <w:noProof/>
            <w:webHidden/>
          </w:rPr>
          <w:instrText xml:space="preserve"> PAGEREF _Toc181374087 \h </w:instrText>
        </w:r>
        <w:r>
          <w:rPr>
            <w:noProof/>
            <w:webHidden/>
          </w:rPr>
        </w:r>
        <w:r>
          <w:rPr>
            <w:noProof/>
            <w:webHidden/>
          </w:rPr>
          <w:fldChar w:fldCharType="separate"/>
        </w:r>
        <w:r>
          <w:rPr>
            <w:noProof/>
            <w:webHidden/>
          </w:rPr>
          <w:t>88</w:t>
        </w:r>
        <w:r>
          <w:rPr>
            <w:noProof/>
            <w:webHidden/>
          </w:rPr>
          <w:fldChar w:fldCharType="end"/>
        </w:r>
      </w:hyperlink>
    </w:p>
    <w:p w14:paraId="394E5ED2" w14:textId="1D36C49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8" w:history="1">
        <w:r w:rsidRPr="00451D28">
          <w:rPr>
            <w:rStyle w:val="Hipervnculo"/>
            <w:rFonts w:cstheme="majorHAnsi"/>
            <w:noProof/>
          </w:rPr>
          <w:t>SECCIÓN I Consideraciones Técnicas</w:t>
        </w:r>
        <w:r>
          <w:rPr>
            <w:noProof/>
            <w:webHidden/>
          </w:rPr>
          <w:tab/>
        </w:r>
        <w:r>
          <w:rPr>
            <w:noProof/>
            <w:webHidden/>
          </w:rPr>
          <w:fldChar w:fldCharType="begin"/>
        </w:r>
        <w:r>
          <w:rPr>
            <w:noProof/>
            <w:webHidden/>
          </w:rPr>
          <w:instrText xml:space="preserve"> PAGEREF _Toc181374088 \h </w:instrText>
        </w:r>
        <w:r>
          <w:rPr>
            <w:noProof/>
            <w:webHidden/>
          </w:rPr>
        </w:r>
        <w:r>
          <w:rPr>
            <w:noProof/>
            <w:webHidden/>
          </w:rPr>
          <w:fldChar w:fldCharType="separate"/>
        </w:r>
        <w:r>
          <w:rPr>
            <w:noProof/>
            <w:webHidden/>
          </w:rPr>
          <w:t>88</w:t>
        </w:r>
        <w:r>
          <w:rPr>
            <w:noProof/>
            <w:webHidden/>
          </w:rPr>
          <w:fldChar w:fldCharType="end"/>
        </w:r>
      </w:hyperlink>
    </w:p>
    <w:p w14:paraId="0E98695F" w14:textId="798125F1"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89" w:history="1">
        <w:r w:rsidRPr="00451D28">
          <w:rPr>
            <w:rStyle w:val="Hipervnculo"/>
            <w:rFonts w:cstheme="majorHAnsi"/>
            <w:noProof/>
          </w:rPr>
          <w:t>SECCIÓN II Normativa Específica de Uso Industrial de bajo y mediano impacto</w:t>
        </w:r>
        <w:r>
          <w:rPr>
            <w:noProof/>
            <w:webHidden/>
          </w:rPr>
          <w:tab/>
        </w:r>
        <w:r>
          <w:rPr>
            <w:noProof/>
            <w:webHidden/>
          </w:rPr>
          <w:fldChar w:fldCharType="begin"/>
        </w:r>
        <w:r>
          <w:rPr>
            <w:noProof/>
            <w:webHidden/>
          </w:rPr>
          <w:instrText xml:space="preserve"> PAGEREF _Toc181374089 \h </w:instrText>
        </w:r>
        <w:r>
          <w:rPr>
            <w:noProof/>
            <w:webHidden/>
          </w:rPr>
        </w:r>
        <w:r>
          <w:rPr>
            <w:noProof/>
            <w:webHidden/>
          </w:rPr>
          <w:fldChar w:fldCharType="separate"/>
        </w:r>
        <w:r>
          <w:rPr>
            <w:noProof/>
            <w:webHidden/>
          </w:rPr>
          <w:t>89</w:t>
        </w:r>
        <w:r>
          <w:rPr>
            <w:noProof/>
            <w:webHidden/>
          </w:rPr>
          <w:fldChar w:fldCharType="end"/>
        </w:r>
      </w:hyperlink>
    </w:p>
    <w:p w14:paraId="080F1524" w14:textId="7CCA5C66"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0" w:history="1">
        <w:r w:rsidRPr="00451D28">
          <w:rPr>
            <w:rStyle w:val="Hipervnculo"/>
            <w:rFonts w:cstheme="majorHAnsi"/>
            <w:noProof/>
          </w:rPr>
          <w:t>SECCIÓN III Normativa Específica de Uso de Equipamiento de Servicios</w:t>
        </w:r>
        <w:r>
          <w:rPr>
            <w:noProof/>
            <w:webHidden/>
          </w:rPr>
          <w:tab/>
        </w:r>
        <w:r>
          <w:rPr>
            <w:noProof/>
            <w:webHidden/>
          </w:rPr>
          <w:fldChar w:fldCharType="begin"/>
        </w:r>
        <w:r>
          <w:rPr>
            <w:noProof/>
            <w:webHidden/>
          </w:rPr>
          <w:instrText xml:space="preserve"> PAGEREF _Toc181374090 \h </w:instrText>
        </w:r>
        <w:r>
          <w:rPr>
            <w:noProof/>
            <w:webHidden/>
          </w:rPr>
        </w:r>
        <w:r>
          <w:rPr>
            <w:noProof/>
            <w:webHidden/>
          </w:rPr>
          <w:fldChar w:fldCharType="separate"/>
        </w:r>
        <w:r>
          <w:rPr>
            <w:noProof/>
            <w:webHidden/>
          </w:rPr>
          <w:t>91</w:t>
        </w:r>
        <w:r>
          <w:rPr>
            <w:noProof/>
            <w:webHidden/>
          </w:rPr>
          <w:fldChar w:fldCharType="end"/>
        </w:r>
      </w:hyperlink>
    </w:p>
    <w:p w14:paraId="45AABF53" w14:textId="713D3438"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1" w:history="1">
        <w:r w:rsidRPr="00451D28">
          <w:rPr>
            <w:rStyle w:val="Hipervnculo"/>
            <w:rFonts w:cstheme="majorHAnsi"/>
            <w:noProof/>
          </w:rPr>
          <w:t>SECCIÓN IV Norma Específica de Uso Suelo de Protección</w:t>
        </w:r>
        <w:r>
          <w:rPr>
            <w:noProof/>
            <w:webHidden/>
          </w:rPr>
          <w:tab/>
        </w:r>
        <w:r>
          <w:rPr>
            <w:noProof/>
            <w:webHidden/>
          </w:rPr>
          <w:fldChar w:fldCharType="begin"/>
        </w:r>
        <w:r>
          <w:rPr>
            <w:noProof/>
            <w:webHidden/>
          </w:rPr>
          <w:instrText xml:space="preserve"> PAGEREF _Toc181374091 \h </w:instrText>
        </w:r>
        <w:r>
          <w:rPr>
            <w:noProof/>
            <w:webHidden/>
          </w:rPr>
        </w:r>
        <w:r>
          <w:rPr>
            <w:noProof/>
            <w:webHidden/>
          </w:rPr>
          <w:fldChar w:fldCharType="separate"/>
        </w:r>
        <w:r>
          <w:rPr>
            <w:noProof/>
            <w:webHidden/>
          </w:rPr>
          <w:t>91</w:t>
        </w:r>
        <w:r>
          <w:rPr>
            <w:noProof/>
            <w:webHidden/>
          </w:rPr>
          <w:fldChar w:fldCharType="end"/>
        </w:r>
      </w:hyperlink>
    </w:p>
    <w:p w14:paraId="427AA44D" w14:textId="729A808E"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2" w:history="1">
        <w:r w:rsidRPr="00451D28">
          <w:rPr>
            <w:rStyle w:val="Hipervnculo"/>
            <w:rFonts w:cstheme="majorHAnsi"/>
            <w:noProof/>
          </w:rPr>
          <w:t>SECCIÓN V De los riesgos</w:t>
        </w:r>
        <w:r>
          <w:rPr>
            <w:noProof/>
            <w:webHidden/>
          </w:rPr>
          <w:tab/>
        </w:r>
        <w:r>
          <w:rPr>
            <w:noProof/>
            <w:webHidden/>
          </w:rPr>
          <w:fldChar w:fldCharType="begin"/>
        </w:r>
        <w:r>
          <w:rPr>
            <w:noProof/>
            <w:webHidden/>
          </w:rPr>
          <w:instrText xml:space="preserve"> PAGEREF _Toc181374092 \h </w:instrText>
        </w:r>
        <w:r>
          <w:rPr>
            <w:noProof/>
            <w:webHidden/>
          </w:rPr>
        </w:r>
        <w:r>
          <w:rPr>
            <w:noProof/>
            <w:webHidden/>
          </w:rPr>
          <w:fldChar w:fldCharType="separate"/>
        </w:r>
        <w:r>
          <w:rPr>
            <w:noProof/>
            <w:webHidden/>
          </w:rPr>
          <w:t>92</w:t>
        </w:r>
        <w:r>
          <w:rPr>
            <w:noProof/>
            <w:webHidden/>
          </w:rPr>
          <w:fldChar w:fldCharType="end"/>
        </w:r>
      </w:hyperlink>
    </w:p>
    <w:p w14:paraId="75FDECF2" w14:textId="4578D88E"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3" w:history="1">
        <w:r w:rsidRPr="00451D28">
          <w:rPr>
            <w:rStyle w:val="Hipervnculo"/>
            <w:rFonts w:cstheme="majorHAnsi"/>
            <w:noProof/>
          </w:rPr>
          <w:t>CAPÍTULO III Urbanización y edificación</w:t>
        </w:r>
        <w:r>
          <w:rPr>
            <w:noProof/>
            <w:webHidden/>
          </w:rPr>
          <w:tab/>
        </w:r>
        <w:r>
          <w:rPr>
            <w:noProof/>
            <w:webHidden/>
          </w:rPr>
          <w:fldChar w:fldCharType="begin"/>
        </w:r>
        <w:r>
          <w:rPr>
            <w:noProof/>
            <w:webHidden/>
          </w:rPr>
          <w:instrText xml:space="preserve"> PAGEREF _Toc181374093 \h </w:instrText>
        </w:r>
        <w:r>
          <w:rPr>
            <w:noProof/>
            <w:webHidden/>
          </w:rPr>
        </w:r>
        <w:r>
          <w:rPr>
            <w:noProof/>
            <w:webHidden/>
          </w:rPr>
          <w:fldChar w:fldCharType="separate"/>
        </w:r>
        <w:r>
          <w:rPr>
            <w:noProof/>
            <w:webHidden/>
          </w:rPr>
          <w:t>92</w:t>
        </w:r>
        <w:r>
          <w:rPr>
            <w:noProof/>
            <w:webHidden/>
          </w:rPr>
          <w:fldChar w:fldCharType="end"/>
        </w:r>
      </w:hyperlink>
    </w:p>
    <w:p w14:paraId="2977EAFD" w14:textId="7AE20F1B"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4" w:history="1">
        <w:r w:rsidRPr="00451D28">
          <w:rPr>
            <w:rStyle w:val="Hipervnculo"/>
            <w:rFonts w:cstheme="majorHAnsi"/>
            <w:noProof/>
          </w:rPr>
          <w:t>CAPÍTULO IV De las exigencias técnicas y administrativas</w:t>
        </w:r>
        <w:r>
          <w:rPr>
            <w:noProof/>
            <w:webHidden/>
          </w:rPr>
          <w:tab/>
        </w:r>
        <w:r>
          <w:rPr>
            <w:noProof/>
            <w:webHidden/>
          </w:rPr>
          <w:fldChar w:fldCharType="begin"/>
        </w:r>
        <w:r>
          <w:rPr>
            <w:noProof/>
            <w:webHidden/>
          </w:rPr>
          <w:instrText xml:space="preserve"> PAGEREF _Toc181374094 \h </w:instrText>
        </w:r>
        <w:r>
          <w:rPr>
            <w:noProof/>
            <w:webHidden/>
          </w:rPr>
        </w:r>
        <w:r>
          <w:rPr>
            <w:noProof/>
            <w:webHidden/>
          </w:rPr>
          <w:fldChar w:fldCharType="separate"/>
        </w:r>
        <w:r>
          <w:rPr>
            <w:noProof/>
            <w:webHidden/>
          </w:rPr>
          <w:t>93</w:t>
        </w:r>
        <w:r>
          <w:rPr>
            <w:noProof/>
            <w:webHidden/>
          </w:rPr>
          <w:fldChar w:fldCharType="end"/>
        </w:r>
      </w:hyperlink>
    </w:p>
    <w:p w14:paraId="787EB51D" w14:textId="2AA64F37"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5" w:history="1">
        <w:r w:rsidRPr="00451D28">
          <w:rPr>
            <w:rStyle w:val="Hipervnculo"/>
            <w:rFonts w:cstheme="majorHAnsi"/>
            <w:noProof/>
          </w:rPr>
          <w:t>SECCIÓN I Relativos a funcionalidad seguridad y habitabilidad</w:t>
        </w:r>
        <w:r>
          <w:rPr>
            <w:noProof/>
            <w:webHidden/>
          </w:rPr>
          <w:tab/>
        </w:r>
        <w:r>
          <w:rPr>
            <w:noProof/>
            <w:webHidden/>
          </w:rPr>
          <w:fldChar w:fldCharType="begin"/>
        </w:r>
        <w:r>
          <w:rPr>
            <w:noProof/>
            <w:webHidden/>
          </w:rPr>
          <w:instrText xml:space="preserve"> PAGEREF _Toc181374095 \h </w:instrText>
        </w:r>
        <w:r>
          <w:rPr>
            <w:noProof/>
            <w:webHidden/>
          </w:rPr>
        </w:r>
        <w:r>
          <w:rPr>
            <w:noProof/>
            <w:webHidden/>
          </w:rPr>
          <w:fldChar w:fldCharType="separate"/>
        </w:r>
        <w:r>
          <w:rPr>
            <w:noProof/>
            <w:webHidden/>
          </w:rPr>
          <w:t>93</w:t>
        </w:r>
        <w:r>
          <w:rPr>
            <w:noProof/>
            <w:webHidden/>
          </w:rPr>
          <w:fldChar w:fldCharType="end"/>
        </w:r>
      </w:hyperlink>
    </w:p>
    <w:p w14:paraId="2FF70522" w14:textId="1F430B58"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6" w:history="1">
        <w:r w:rsidRPr="00451D28">
          <w:rPr>
            <w:rStyle w:val="Hipervnculo"/>
            <w:rFonts w:cstheme="majorHAnsi"/>
            <w:noProof/>
          </w:rPr>
          <w:t>SECCIÓN II Exigencias administrativas</w:t>
        </w:r>
        <w:r>
          <w:rPr>
            <w:noProof/>
            <w:webHidden/>
          </w:rPr>
          <w:tab/>
        </w:r>
        <w:r>
          <w:rPr>
            <w:noProof/>
            <w:webHidden/>
          </w:rPr>
          <w:fldChar w:fldCharType="begin"/>
        </w:r>
        <w:r>
          <w:rPr>
            <w:noProof/>
            <w:webHidden/>
          </w:rPr>
          <w:instrText xml:space="preserve"> PAGEREF _Toc181374096 \h </w:instrText>
        </w:r>
        <w:r>
          <w:rPr>
            <w:noProof/>
            <w:webHidden/>
          </w:rPr>
        </w:r>
        <w:r>
          <w:rPr>
            <w:noProof/>
            <w:webHidden/>
          </w:rPr>
          <w:fldChar w:fldCharType="separate"/>
        </w:r>
        <w:r>
          <w:rPr>
            <w:noProof/>
            <w:webHidden/>
          </w:rPr>
          <w:t>95</w:t>
        </w:r>
        <w:r>
          <w:rPr>
            <w:noProof/>
            <w:webHidden/>
          </w:rPr>
          <w:fldChar w:fldCharType="end"/>
        </w:r>
      </w:hyperlink>
    </w:p>
    <w:p w14:paraId="328CBCE6" w14:textId="1811C950"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7" w:history="1">
        <w:r w:rsidRPr="00451D28">
          <w:rPr>
            <w:rStyle w:val="Hipervnculo"/>
            <w:rFonts w:cstheme="majorHAnsi"/>
            <w:noProof/>
          </w:rPr>
          <w:t>CAPÍTULO V Fraccionamiento de suelos</w:t>
        </w:r>
        <w:r>
          <w:rPr>
            <w:noProof/>
            <w:webHidden/>
          </w:rPr>
          <w:tab/>
        </w:r>
        <w:r>
          <w:rPr>
            <w:noProof/>
            <w:webHidden/>
          </w:rPr>
          <w:fldChar w:fldCharType="begin"/>
        </w:r>
        <w:r>
          <w:rPr>
            <w:noProof/>
            <w:webHidden/>
          </w:rPr>
          <w:instrText xml:space="preserve"> PAGEREF _Toc181374097 \h </w:instrText>
        </w:r>
        <w:r>
          <w:rPr>
            <w:noProof/>
            <w:webHidden/>
          </w:rPr>
        </w:r>
        <w:r>
          <w:rPr>
            <w:noProof/>
            <w:webHidden/>
          </w:rPr>
          <w:fldChar w:fldCharType="separate"/>
        </w:r>
        <w:r>
          <w:rPr>
            <w:noProof/>
            <w:webHidden/>
          </w:rPr>
          <w:t>96</w:t>
        </w:r>
        <w:r>
          <w:rPr>
            <w:noProof/>
            <w:webHidden/>
          </w:rPr>
          <w:fldChar w:fldCharType="end"/>
        </w:r>
      </w:hyperlink>
    </w:p>
    <w:p w14:paraId="5C378B56" w14:textId="6A9C75F3"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8" w:history="1">
        <w:r w:rsidRPr="00451D28">
          <w:rPr>
            <w:rStyle w:val="Hipervnculo"/>
            <w:rFonts w:cstheme="majorHAnsi"/>
            <w:noProof/>
          </w:rPr>
          <w:t>SECCIÓN I Fraccionamiento en suelo urbano</w:t>
        </w:r>
        <w:r>
          <w:rPr>
            <w:noProof/>
            <w:webHidden/>
          </w:rPr>
          <w:tab/>
        </w:r>
        <w:r>
          <w:rPr>
            <w:noProof/>
            <w:webHidden/>
          </w:rPr>
          <w:fldChar w:fldCharType="begin"/>
        </w:r>
        <w:r>
          <w:rPr>
            <w:noProof/>
            <w:webHidden/>
          </w:rPr>
          <w:instrText xml:space="preserve"> PAGEREF _Toc181374098 \h </w:instrText>
        </w:r>
        <w:r>
          <w:rPr>
            <w:noProof/>
            <w:webHidden/>
          </w:rPr>
        </w:r>
        <w:r>
          <w:rPr>
            <w:noProof/>
            <w:webHidden/>
          </w:rPr>
          <w:fldChar w:fldCharType="separate"/>
        </w:r>
        <w:r>
          <w:rPr>
            <w:noProof/>
            <w:webHidden/>
          </w:rPr>
          <w:t>96</w:t>
        </w:r>
        <w:r>
          <w:rPr>
            <w:noProof/>
            <w:webHidden/>
          </w:rPr>
          <w:fldChar w:fldCharType="end"/>
        </w:r>
      </w:hyperlink>
    </w:p>
    <w:p w14:paraId="59E93C88" w14:textId="184B65DF"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099" w:history="1">
        <w:r w:rsidRPr="00451D28">
          <w:rPr>
            <w:rStyle w:val="Hipervnculo"/>
            <w:rFonts w:cstheme="majorHAnsi"/>
            <w:noProof/>
          </w:rPr>
          <w:t>SECCIÓN II Fraccionamiento en suelo rural</w:t>
        </w:r>
        <w:r>
          <w:rPr>
            <w:noProof/>
            <w:webHidden/>
          </w:rPr>
          <w:tab/>
        </w:r>
        <w:r>
          <w:rPr>
            <w:noProof/>
            <w:webHidden/>
          </w:rPr>
          <w:fldChar w:fldCharType="begin"/>
        </w:r>
        <w:r>
          <w:rPr>
            <w:noProof/>
            <w:webHidden/>
          </w:rPr>
          <w:instrText xml:space="preserve"> PAGEREF _Toc181374099 \h </w:instrText>
        </w:r>
        <w:r>
          <w:rPr>
            <w:noProof/>
            <w:webHidden/>
          </w:rPr>
        </w:r>
        <w:r>
          <w:rPr>
            <w:noProof/>
            <w:webHidden/>
          </w:rPr>
          <w:fldChar w:fldCharType="separate"/>
        </w:r>
        <w:r>
          <w:rPr>
            <w:noProof/>
            <w:webHidden/>
          </w:rPr>
          <w:t>106</w:t>
        </w:r>
        <w:r>
          <w:rPr>
            <w:noProof/>
            <w:webHidden/>
          </w:rPr>
          <w:fldChar w:fldCharType="end"/>
        </w:r>
      </w:hyperlink>
    </w:p>
    <w:p w14:paraId="63C40286" w14:textId="797D2A14"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0" w:history="1">
        <w:r w:rsidRPr="00451D28">
          <w:rPr>
            <w:rStyle w:val="Hipervnculo"/>
            <w:noProof/>
          </w:rPr>
          <w:t>CAPÍTULO VI</w:t>
        </w:r>
        <w:r>
          <w:rPr>
            <w:noProof/>
            <w:webHidden/>
          </w:rPr>
          <w:tab/>
        </w:r>
        <w:r>
          <w:rPr>
            <w:noProof/>
            <w:webHidden/>
          </w:rPr>
          <w:fldChar w:fldCharType="begin"/>
        </w:r>
        <w:r>
          <w:rPr>
            <w:noProof/>
            <w:webHidden/>
          </w:rPr>
          <w:instrText xml:space="preserve"> PAGEREF _Toc181374100 \h </w:instrText>
        </w:r>
        <w:r>
          <w:rPr>
            <w:noProof/>
            <w:webHidden/>
          </w:rPr>
        </w:r>
        <w:r>
          <w:rPr>
            <w:noProof/>
            <w:webHidden/>
          </w:rPr>
          <w:fldChar w:fldCharType="separate"/>
        </w:r>
        <w:r>
          <w:rPr>
            <w:noProof/>
            <w:webHidden/>
          </w:rPr>
          <w:t>110</w:t>
        </w:r>
        <w:r>
          <w:rPr>
            <w:noProof/>
            <w:webHidden/>
          </w:rPr>
          <w:fldChar w:fldCharType="end"/>
        </w:r>
      </w:hyperlink>
    </w:p>
    <w:p w14:paraId="71A1B5B4" w14:textId="78EED01B"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1" w:history="1">
        <w:r w:rsidRPr="00451D28">
          <w:rPr>
            <w:rStyle w:val="Hipervnculo"/>
            <w:rFonts w:cstheme="majorHAnsi"/>
            <w:noProof/>
          </w:rPr>
          <w:t>SECCIÓN I Aprobación de planos para edificaciones</w:t>
        </w:r>
        <w:r>
          <w:rPr>
            <w:noProof/>
            <w:webHidden/>
          </w:rPr>
          <w:tab/>
        </w:r>
        <w:r>
          <w:rPr>
            <w:noProof/>
            <w:webHidden/>
          </w:rPr>
          <w:fldChar w:fldCharType="begin"/>
        </w:r>
        <w:r>
          <w:rPr>
            <w:noProof/>
            <w:webHidden/>
          </w:rPr>
          <w:instrText xml:space="preserve"> PAGEREF _Toc181374101 \h </w:instrText>
        </w:r>
        <w:r>
          <w:rPr>
            <w:noProof/>
            <w:webHidden/>
          </w:rPr>
        </w:r>
        <w:r>
          <w:rPr>
            <w:noProof/>
            <w:webHidden/>
          </w:rPr>
          <w:fldChar w:fldCharType="separate"/>
        </w:r>
        <w:r>
          <w:rPr>
            <w:noProof/>
            <w:webHidden/>
          </w:rPr>
          <w:t>110</w:t>
        </w:r>
        <w:r>
          <w:rPr>
            <w:noProof/>
            <w:webHidden/>
          </w:rPr>
          <w:fldChar w:fldCharType="end"/>
        </w:r>
      </w:hyperlink>
    </w:p>
    <w:p w14:paraId="63C4B13A" w14:textId="08E391E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2" w:history="1">
        <w:r w:rsidRPr="00451D28">
          <w:rPr>
            <w:rStyle w:val="Hipervnculo"/>
            <w:rFonts w:cstheme="majorHAnsi"/>
            <w:noProof/>
          </w:rPr>
          <w:t>SECCIÓN II Autorización de intervenciones constructivas menores.</w:t>
        </w:r>
        <w:r>
          <w:rPr>
            <w:noProof/>
            <w:webHidden/>
          </w:rPr>
          <w:tab/>
        </w:r>
        <w:r>
          <w:rPr>
            <w:noProof/>
            <w:webHidden/>
          </w:rPr>
          <w:fldChar w:fldCharType="begin"/>
        </w:r>
        <w:r>
          <w:rPr>
            <w:noProof/>
            <w:webHidden/>
          </w:rPr>
          <w:instrText xml:space="preserve"> PAGEREF _Toc181374102 \h </w:instrText>
        </w:r>
        <w:r>
          <w:rPr>
            <w:noProof/>
            <w:webHidden/>
          </w:rPr>
        </w:r>
        <w:r>
          <w:rPr>
            <w:noProof/>
            <w:webHidden/>
          </w:rPr>
          <w:fldChar w:fldCharType="separate"/>
        </w:r>
        <w:r>
          <w:rPr>
            <w:noProof/>
            <w:webHidden/>
          </w:rPr>
          <w:t>117</w:t>
        </w:r>
        <w:r>
          <w:rPr>
            <w:noProof/>
            <w:webHidden/>
          </w:rPr>
          <w:fldChar w:fldCharType="end"/>
        </w:r>
      </w:hyperlink>
    </w:p>
    <w:p w14:paraId="0BCFDB36" w14:textId="16BA1CD4"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3" w:history="1">
        <w:r w:rsidRPr="00451D28">
          <w:rPr>
            <w:rStyle w:val="Hipervnculo"/>
            <w:rFonts w:cstheme="majorHAnsi"/>
            <w:noProof/>
          </w:rPr>
          <w:t>SECCIÓN III Autorización de intervenciones constructivas mayores.</w:t>
        </w:r>
        <w:r>
          <w:rPr>
            <w:noProof/>
            <w:webHidden/>
          </w:rPr>
          <w:tab/>
        </w:r>
        <w:r>
          <w:rPr>
            <w:noProof/>
            <w:webHidden/>
          </w:rPr>
          <w:fldChar w:fldCharType="begin"/>
        </w:r>
        <w:r>
          <w:rPr>
            <w:noProof/>
            <w:webHidden/>
          </w:rPr>
          <w:instrText xml:space="preserve"> PAGEREF _Toc181374103 \h </w:instrText>
        </w:r>
        <w:r>
          <w:rPr>
            <w:noProof/>
            <w:webHidden/>
          </w:rPr>
        </w:r>
        <w:r>
          <w:rPr>
            <w:noProof/>
            <w:webHidden/>
          </w:rPr>
          <w:fldChar w:fldCharType="separate"/>
        </w:r>
        <w:r>
          <w:rPr>
            <w:noProof/>
            <w:webHidden/>
          </w:rPr>
          <w:t>119</w:t>
        </w:r>
        <w:r>
          <w:rPr>
            <w:noProof/>
            <w:webHidden/>
          </w:rPr>
          <w:fldChar w:fldCharType="end"/>
        </w:r>
      </w:hyperlink>
    </w:p>
    <w:p w14:paraId="401951A0" w14:textId="39EF94A7"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4" w:history="1">
        <w:r w:rsidRPr="00451D28">
          <w:rPr>
            <w:rStyle w:val="Hipervnculo"/>
            <w:rFonts w:cstheme="majorHAnsi"/>
            <w:noProof/>
          </w:rPr>
          <w:t>CAPÍTULO VII Régimen de Propiedad Horizontal.</w:t>
        </w:r>
        <w:r>
          <w:rPr>
            <w:noProof/>
            <w:webHidden/>
          </w:rPr>
          <w:tab/>
        </w:r>
        <w:r>
          <w:rPr>
            <w:noProof/>
            <w:webHidden/>
          </w:rPr>
          <w:fldChar w:fldCharType="begin"/>
        </w:r>
        <w:r>
          <w:rPr>
            <w:noProof/>
            <w:webHidden/>
          </w:rPr>
          <w:instrText xml:space="preserve"> PAGEREF _Toc181374104 \h </w:instrText>
        </w:r>
        <w:r>
          <w:rPr>
            <w:noProof/>
            <w:webHidden/>
          </w:rPr>
        </w:r>
        <w:r>
          <w:rPr>
            <w:noProof/>
            <w:webHidden/>
          </w:rPr>
          <w:fldChar w:fldCharType="separate"/>
        </w:r>
        <w:r>
          <w:rPr>
            <w:noProof/>
            <w:webHidden/>
          </w:rPr>
          <w:t>123</w:t>
        </w:r>
        <w:r>
          <w:rPr>
            <w:noProof/>
            <w:webHidden/>
          </w:rPr>
          <w:fldChar w:fldCharType="end"/>
        </w:r>
      </w:hyperlink>
    </w:p>
    <w:p w14:paraId="265D4B02" w14:textId="5E3B70F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5" w:history="1">
        <w:r w:rsidRPr="00451D28">
          <w:rPr>
            <w:rStyle w:val="Hipervnculo"/>
            <w:rFonts w:cstheme="majorHAnsi"/>
            <w:noProof/>
          </w:rPr>
          <w:t>SECCIÓN I Ámbito general</w:t>
        </w:r>
        <w:r>
          <w:rPr>
            <w:noProof/>
            <w:webHidden/>
          </w:rPr>
          <w:tab/>
        </w:r>
        <w:r>
          <w:rPr>
            <w:noProof/>
            <w:webHidden/>
          </w:rPr>
          <w:fldChar w:fldCharType="begin"/>
        </w:r>
        <w:r>
          <w:rPr>
            <w:noProof/>
            <w:webHidden/>
          </w:rPr>
          <w:instrText xml:space="preserve"> PAGEREF _Toc181374105 \h </w:instrText>
        </w:r>
        <w:r>
          <w:rPr>
            <w:noProof/>
            <w:webHidden/>
          </w:rPr>
        </w:r>
        <w:r>
          <w:rPr>
            <w:noProof/>
            <w:webHidden/>
          </w:rPr>
          <w:fldChar w:fldCharType="separate"/>
        </w:r>
        <w:r>
          <w:rPr>
            <w:noProof/>
            <w:webHidden/>
          </w:rPr>
          <w:t>123</w:t>
        </w:r>
        <w:r>
          <w:rPr>
            <w:noProof/>
            <w:webHidden/>
          </w:rPr>
          <w:fldChar w:fldCharType="end"/>
        </w:r>
      </w:hyperlink>
    </w:p>
    <w:p w14:paraId="64134412" w14:textId="756499CA"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6" w:history="1">
        <w:r w:rsidRPr="00451D28">
          <w:rPr>
            <w:rStyle w:val="Hipervnculo"/>
            <w:rFonts w:cstheme="majorHAnsi"/>
            <w:noProof/>
          </w:rPr>
          <w:t>SECCIÓN II Implantación de proyectos sujetos al régimen de propiedad horizontal</w:t>
        </w:r>
        <w:r>
          <w:rPr>
            <w:noProof/>
            <w:webHidden/>
          </w:rPr>
          <w:tab/>
        </w:r>
        <w:r>
          <w:rPr>
            <w:noProof/>
            <w:webHidden/>
          </w:rPr>
          <w:fldChar w:fldCharType="begin"/>
        </w:r>
        <w:r>
          <w:rPr>
            <w:noProof/>
            <w:webHidden/>
          </w:rPr>
          <w:instrText xml:space="preserve"> PAGEREF _Toc181374106 \h </w:instrText>
        </w:r>
        <w:r>
          <w:rPr>
            <w:noProof/>
            <w:webHidden/>
          </w:rPr>
        </w:r>
        <w:r>
          <w:rPr>
            <w:noProof/>
            <w:webHidden/>
          </w:rPr>
          <w:fldChar w:fldCharType="separate"/>
        </w:r>
        <w:r>
          <w:rPr>
            <w:noProof/>
            <w:webHidden/>
          </w:rPr>
          <w:t>125</w:t>
        </w:r>
        <w:r>
          <w:rPr>
            <w:noProof/>
            <w:webHidden/>
          </w:rPr>
          <w:fldChar w:fldCharType="end"/>
        </w:r>
      </w:hyperlink>
    </w:p>
    <w:p w14:paraId="52275728" w14:textId="61C1174D"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7" w:history="1">
        <w:r w:rsidRPr="00451D28">
          <w:rPr>
            <w:rStyle w:val="Hipervnculo"/>
            <w:rFonts w:cstheme="majorHAnsi"/>
            <w:noProof/>
          </w:rPr>
          <w:t>CAPÍTULO VIII</w:t>
        </w:r>
        <w:r>
          <w:rPr>
            <w:noProof/>
            <w:webHidden/>
          </w:rPr>
          <w:tab/>
        </w:r>
        <w:r>
          <w:rPr>
            <w:noProof/>
            <w:webHidden/>
          </w:rPr>
          <w:fldChar w:fldCharType="begin"/>
        </w:r>
        <w:r>
          <w:rPr>
            <w:noProof/>
            <w:webHidden/>
          </w:rPr>
          <w:instrText xml:space="preserve"> PAGEREF _Toc181374107 \h </w:instrText>
        </w:r>
        <w:r>
          <w:rPr>
            <w:noProof/>
            <w:webHidden/>
          </w:rPr>
        </w:r>
        <w:r>
          <w:rPr>
            <w:noProof/>
            <w:webHidden/>
          </w:rPr>
          <w:fldChar w:fldCharType="separate"/>
        </w:r>
        <w:r>
          <w:rPr>
            <w:noProof/>
            <w:webHidden/>
          </w:rPr>
          <w:t>126</w:t>
        </w:r>
        <w:r>
          <w:rPr>
            <w:noProof/>
            <w:webHidden/>
          </w:rPr>
          <w:fldChar w:fldCharType="end"/>
        </w:r>
      </w:hyperlink>
    </w:p>
    <w:p w14:paraId="4A477398" w14:textId="0E9A9112"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8" w:history="1">
        <w:r w:rsidRPr="00451D28">
          <w:rPr>
            <w:rStyle w:val="Hipervnculo"/>
            <w:rFonts w:cstheme="majorHAnsi"/>
            <w:noProof/>
          </w:rPr>
          <w:t>SECCIÓN I De la cabida mínima de lotes y fajas de terreno</w:t>
        </w:r>
        <w:r>
          <w:rPr>
            <w:noProof/>
            <w:webHidden/>
          </w:rPr>
          <w:tab/>
        </w:r>
        <w:r>
          <w:rPr>
            <w:noProof/>
            <w:webHidden/>
          </w:rPr>
          <w:fldChar w:fldCharType="begin"/>
        </w:r>
        <w:r>
          <w:rPr>
            <w:noProof/>
            <w:webHidden/>
          </w:rPr>
          <w:instrText xml:space="preserve"> PAGEREF _Toc181374108 \h </w:instrText>
        </w:r>
        <w:r>
          <w:rPr>
            <w:noProof/>
            <w:webHidden/>
          </w:rPr>
        </w:r>
        <w:r>
          <w:rPr>
            <w:noProof/>
            <w:webHidden/>
          </w:rPr>
          <w:fldChar w:fldCharType="separate"/>
        </w:r>
        <w:r>
          <w:rPr>
            <w:noProof/>
            <w:webHidden/>
          </w:rPr>
          <w:t>126</w:t>
        </w:r>
        <w:r>
          <w:rPr>
            <w:noProof/>
            <w:webHidden/>
          </w:rPr>
          <w:fldChar w:fldCharType="end"/>
        </w:r>
      </w:hyperlink>
    </w:p>
    <w:p w14:paraId="322A74CC" w14:textId="5517B857"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09" w:history="1">
        <w:r w:rsidRPr="00451D28">
          <w:rPr>
            <w:rStyle w:val="Hipervnculo"/>
            <w:rFonts w:cstheme="majorHAnsi"/>
            <w:noProof/>
          </w:rPr>
          <w:t>SECCIÓN II Expropiación de áreas de terreno</w:t>
        </w:r>
        <w:r>
          <w:rPr>
            <w:noProof/>
            <w:webHidden/>
          </w:rPr>
          <w:tab/>
        </w:r>
        <w:r>
          <w:rPr>
            <w:noProof/>
            <w:webHidden/>
          </w:rPr>
          <w:fldChar w:fldCharType="begin"/>
        </w:r>
        <w:r>
          <w:rPr>
            <w:noProof/>
            <w:webHidden/>
          </w:rPr>
          <w:instrText xml:space="preserve"> PAGEREF _Toc181374109 \h </w:instrText>
        </w:r>
        <w:r>
          <w:rPr>
            <w:noProof/>
            <w:webHidden/>
          </w:rPr>
        </w:r>
        <w:r>
          <w:rPr>
            <w:noProof/>
            <w:webHidden/>
          </w:rPr>
          <w:fldChar w:fldCharType="separate"/>
        </w:r>
        <w:r>
          <w:rPr>
            <w:noProof/>
            <w:webHidden/>
          </w:rPr>
          <w:t>127</w:t>
        </w:r>
        <w:r>
          <w:rPr>
            <w:noProof/>
            <w:webHidden/>
          </w:rPr>
          <w:fldChar w:fldCharType="end"/>
        </w:r>
      </w:hyperlink>
    </w:p>
    <w:p w14:paraId="21CF8323" w14:textId="55F1D0C2"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0" w:history="1">
        <w:r w:rsidRPr="00451D28">
          <w:rPr>
            <w:rStyle w:val="Hipervnculo"/>
            <w:rFonts w:cstheme="majorHAnsi"/>
            <w:noProof/>
          </w:rPr>
          <w:t>SECCIÓN III Zonas de protección asociados a los recursos hídricos.</w:t>
        </w:r>
        <w:r>
          <w:rPr>
            <w:noProof/>
            <w:webHidden/>
          </w:rPr>
          <w:tab/>
        </w:r>
        <w:r>
          <w:rPr>
            <w:noProof/>
            <w:webHidden/>
          </w:rPr>
          <w:fldChar w:fldCharType="begin"/>
        </w:r>
        <w:r>
          <w:rPr>
            <w:noProof/>
            <w:webHidden/>
          </w:rPr>
          <w:instrText xml:space="preserve"> PAGEREF _Toc181374110 \h </w:instrText>
        </w:r>
        <w:r>
          <w:rPr>
            <w:noProof/>
            <w:webHidden/>
          </w:rPr>
        </w:r>
        <w:r>
          <w:rPr>
            <w:noProof/>
            <w:webHidden/>
          </w:rPr>
          <w:fldChar w:fldCharType="separate"/>
        </w:r>
        <w:r>
          <w:rPr>
            <w:noProof/>
            <w:webHidden/>
          </w:rPr>
          <w:t>127</w:t>
        </w:r>
        <w:r>
          <w:rPr>
            <w:noProof/>
            <w:webHidden/>
          </w:rPr>
          <w:fldChar w:fldCharType="end"/>
        </w:r>
      </w:hyperlink>
    </w:p>
    <w:p w14:paraId="30E6A511" w14:textId="773E7B4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1" w:history="1">
        <w:r w:rsidRPr="00451D28">
          <w:rPr>
            <w:rStyle w:val="Hipervnculo"/>
            <w:rFonts w:cstheme="majorHAnsi"/>
            <w:noProof/>
          </w:rPr>
          <w:t>SECCIÓN IV De la publicidad estática y antenas de comunicación</w:t>
        </w:r>
        <w:r>
          <w:rPr>
            <w:noProof/>
            <w:webHidden/>
          </w:rPr>
          <w:tab/>
        </w:r>
        <w:r>
          <w:rPr>
            <w:noProof/>
            <w:webHidden/>
          </w:rPr>
          <w:fldChar w:fldCharType="begin"/>
        </w:r>
        <w:r>
          <w:rPr>
            <w:noProof/>
            <w:webHidden/>
          </w:rPr>
          <w:instrText xml:space="preserve"> PAGEREF _Toc181374111 \h </w:instrText>
        </w:r>
        <w:r>
          <w:rPr>
            <w:noProof/>
            <w:webHidden/>
          </w:rPr>
        </w:r>
        <w:r>
          <w:rPr>
            <w:noProof/>
            <w:webHidden/>
          </w:rPr>
          <w:fldChar w:fldCharType="separate"/>
        </w:r>
        <w:r>
          <w:rPr>
            <w:noProof/>
            <w:webHidden/>
          </w:rPr>
          <w:t>129</w:t>
        </w:r>
        <w:r>
          <w:rPr>
            <w:noProof/>
            <w:webHidden/>
          </w:rPr>
          <w:fldChar w:fldCharType="end"/>
        </w:r>
      </w:hyperlink>
    </w:p>
    <w:p w14:paraId="1B573E5E" w14:textId="046A4224"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2" w:history="1">
        <w:r w:rsidRPr="00451D28">
          <w:rPr>
            <w:rStyle w:val="Hipervnculo"/>
            <w:rFonts w:cstheme="majorHAnsi"/>
            <w:noProof/>
          </w:rPr>
          <w:t>SECCIÓN V Inclusión para la accesibilidad universal</w:t>
        </w:r>
        <w:r>
          <w:rPr>
            <w:noProof/>
            <w:webHidden/>
          </w:rPr>
          <w:tab/>
        </w:r>
        <w:r>
          <w:rPr>
            <w:noProof/>
            <w:webHidden/>
          </w:rPr>
          <w:fldChar w:fldCharType="begin"/>
        </w:r>
        <w:r>
          <w:rPr>
            <w:noProof/>
            <w:webHidden/>
          </w:rPr>
          <w:instrText xml:space="preserve"> PAGEREF _Toc181374112 \h </w:instrText>
        </w:r>
        <w:r>
          <w:rPr>
            <w:noProof/>
            <w:webHidden/>
          </w:rPr>
        </w:r>
        <w:r>
          <w:rPr>
            <w:noProof/>
            <w:webHidden/>
          </w:rPr>
          <w:fldChar w:fldCharType="separate"/>
        </w:r>
        <w:r>
          <w:rPr>
            <w:noProof/>
            <w:webHidden/>
          </w:rPr>
          <w:t>131</w:t>
        </w:r>
        <w:r>
          <w:rPr>
            <w:noProof/>
            <w:webHidden/>
          </w:rPr>
          <w:fldChar w:fldCharType="end"/>
        </w:r>
      </w:hyperlink>
    </w:p>
    <w:p w14:paraId="7D0050AB" w14:textId="0675B7F7"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3" w:history="1">
        <w:r w:rsidRPr="00451D28">
          <w:rPr>
            <w:rStyle w:val="Hipervnculo"/>
            <w:rFonts w:cstheme="majorHAnsi"/>
            <w:noProof/>
          </w:rPr>
          <w:t>SECCIÓN VI Prevención y Protección</w:t>
        </w:r>
        <w:r>
          <w:rPr>
            <w:noProof/>
            <w:webHidden/>
          </w:rPr>
          <w:tab/>
        </w:r>
        <w:r>
          <w:rPr>
            <w:noProof/>
            <w:webHidden/>
          </w:rPr>
          <w:fldChar w:fldCharType="begin"/>
        </w:r>
        <w:r>
          <w:rPr>
            <w:noProof/>
            <w:webHidden/>
          </w:rPr>
          <w:instrText xml:space="preserve"> PAGEREF _Toc181374113 \h </w:instrText>
        </w:r>
        <w:r>
          <w:rPr>
            <w:noProof/>
            <w:webHidden/>
          </w:rPr>
        </w:r>
        <w:r>
          <w:rPr>
            <w:noProof/>
            <w:webHidden/>
          </w:rPr>
          <w:fldChar w:fldCharType="separate"/>
        </w:r>
        <w:r>
          <w:rPr>
            <w:noProof/>
            <w:webHidden/>
          </w:rPr>
          <w:t>132</w:t>
        </w:r>
        <w:r>
          <w:rPr>
            <w:noProof/>
            <w:webHidden/>
          </w:rPr>
          <w:fldChar w:fldCharType="end"/>
        </w:r>
      </w:hyperlink>
    </w:p>
    <w:p w14:paraId="1023BCFD" w14:textId="355B2D5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4" w:history="1">
        <w:r w:rsidRPr="00451D28">
          <w:rPr>
            <w:rStyle w:val="Hipervnculo"/>
            <w:rFonts w:cstheme="majorHAnsi"/>
            <w:noProof/>
          </w:rPr>
          <w:t>SECCIÓN VII Cobertura vegetal, Fauna, Elementos Naturales y Sitios Arqueológicos</w:t>
        </w:r>
        <w:r>
          <w:rPr>
            <w:noProof/>
            <w:webHidden/>
          </w:rPr>
          <w:tab/>
        </w:r>
        <w:r>
          <w:rPr>
            <w:noProof/>
            <w:webHidden/>
          </w:rPr>
          <w:fldChar w:fldCharType="begin"/>
        </w:r>
        <w:r>
          <w:rPr>
            <w:noProof/>
            <w:webHidden/>
          </w:rPr>
          <w:instrText xml:space="preserve"> PAGEREF _Toc181374114 \h </w:instrText>
        </w:r>
        <w:r>
          <w:rPr>
            <w:noProof/>
            <w:webHidden/>
          </w:rPr>
        </w:r>
        <w:r>
          <w:rPr>
            <w:noProof/>
            <w:webHidden/>
          </w:rPr>
          <w:fldChar w:fldCharType="separate"/>
        </w:r>
        <w:r>
          <w:rPr>
            <w:noProof/>
            <w:webHidden/>
          </w:rPr>
          <w:t>133</w:t>
        </w:r>
        <w:r>
          <w:rPr>
            <w:noProof/>
            <w:webHidden/>
          </w:rPr>
          <w:fldChar w:fldCharType="end"/>
        </w:r>
      </w:hyperlink>
    </w:p>
    <w:p w14:paraId="4615FBF8" w14:textId="6742D23B"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5" w:history="1">
        <w:r w:rsidRPr="00451D28">
          <w:rPr>
            <w:rStyle w:val="Hipervnculo"/>
            <w:rFonts w:cstheme="majorHAnsi"/>
            <w:noProof/>
          </w:rPr>
          <w:t>SECCIÓN VIII Cementerios y Criptas</w:t>
        </w:r>
        <w:r>
          <w:rPr>
            <w:noProof/>
            <w:webHidden/>
          </w:rPr>
          <w:tab/>
        </w:r>
        <w:r>
          <w:rPr>
            <w:noProof/>
            <w:webHidden/>
          </w:rPr>
          <w:fldChar w:fldCharType="begin"/>
        </w:r>
        <w:r>
          <w:rPr>
            <w:noProof/>
            <w:webHidden/>
          </w:rPr>
          <w:instrText xml:space="preserve"> PAGEREF _Toc181374115 \h </w:instrText>
        </w:r>
        <w:r>
          <w:rPr>
            <w:noProof/>
            <w:webHidden/>
          </w:rPr>
        </w:r>
        <w:r>
          <w:rPr>
            <w:noProof/>
            <w:webHidden/>
          </w:rPr>
          <w:fldChar w:fldCharType="separate"/>
        </w:r>
        <w:r>
          <w:rPr>
            <w:noProof/>
            <w:webHidden/>
          </w:rPr>
          <w:t>135</w:t>
        </w:r>
        <w:r>
          <w:rPr>
            <w:noProof/>
            <w:webHidden/>
          </w:rPr>
          <w:fldChar w:fldCharType="end"/>
        </w:r>
      </w:hyperlink>
    </w:p>
    <w:p w14:paraId="54702C90" w14:textId="304C3CA1"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6" w:history="1">
        <w:r w:rsidRPr="00451D28">
          <w:rPr>
            <w:rStyle w:val="Hipervnculo"/>
            <w:rFonts w:cstheme="majorHAnsi"/>
            <w:noProof/>
          </w:rPr>
          <w:t>SECCIÓN IX Camal o centros de faenamiento</w:t>
        </w:r>
        <w:r>
          <w:rPr>
            <w:noProof/>
            <w:webHidden/>
          </w:rPr>
          <w:tab/>
        </w:r>
        <w:r>
          <w:rPr>
            <w:noProof/>
            <w:webHidden/>
          </w:rPr>
          <w:fldChar w:fldCharType="begin"/>
        </w:r>
        <w:r>
          <w:rPr>
            <w:noProof/>
            <w:webHidden/>
          </w:rPr>
          <w:instrText xml:space="preserve"> PAGEREF _Toc181374116 \h </w:instrText>
        </w:r>
        <w:r>
          <w:rPr>
            <w:noProof/>
            <w:webHidden/>
          </w:rPr>
        </w:r>
        <w:r>
          <w:rPr>
            <w:noProof/>
            <w:webHidden/>
          </w:rPr>
          <w:fldChar w:fldCharType="separate"/>
        </w:r>
        <w:r>
          <w:rPr>
            <w:noProof/>
            <w:webHidden/>
          </w:rPr>
          <w:t>136</w:t>
        </w:r>
        <w:r>
          <w:rPr>
            <w:noProof/>
            <w:webHidden/>
          </w:rPr>
          <w:fldChar w:fldCharType="end"/>
        </w:r>
      </w:hyperlink>
    </w:p>
    <w:p w14:paraId="6E6A777C" w14:textId="136A6AC0"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7" w:history="1">
        <w:r w:rsidRPr="00451D28">
          <w:rPr>
            <w:rStyle w:val="Hipervnculo"/>
            <w:rFonts w:cstheme="majorHAnsi"/>
            <w:noProof/>
          </w:rPr>
          <w:t>SECCIÓN X Explotación de Áridos y Pétreos</w:t>
        </w:r>
        <w:r>
          <w:rPr>
            <w:noProof/>
            <w:webHidden/>
          </w:rPr>
          <w:tab/>
        </w:r>
        <w:r>
          <w:rPr>
            <w:noProof/>
            <w:webHidden/>
          </w:rPr>
          <w:fldChar w:fldCharType="begin"/>
        </w:r>
        <w:r>
          <w:rPr>
            <w:noProof/>
            <w:webHidden/>
          </w:rPr>
          <w:instrText xml:space="preserve"> PAGEREF _Toc181374117 \h </w:instrText>
        </w:r>
        <w:r>
          <w:rPr>
            <w:noProof/>
            <w:webHidden/>
          </w:rPr>
        </w:r>
        <w:r>
          <w:rPr>
            <w:noProof/>
            <w:webHidden/>
          </w:rPr>
          <w:fldChar w:fldCharType="separate"/>
        </w:r>
        <w:r>
          <w:rPr>
            <w:noProof/>
            <w:webHidden/>
          </w:rPr>
          <w:t>139</w:t>
        </w:r>
        <w:r>
          <w:rPr>
            <w:noProof/>
            <w:webHidden/>
          </w:rPr>
          <w:fldChar w:fldCharType="end"/>
        </w:r>
      </w:hyperlink>
    </w:p>
    <w:p w14:paraId="0576D4D3" w14:textId="0ED4C392"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8" w:history="1">
        <w:r w:rsidRPr="00451D28">
          <w:rPr>
            <w:rStyle w:val="Hipervnculo"/>
            <w:rFonts w:cstheme="majorHAnsi"/>
            <w:noProof/>
          </w:rPr>
          <w:t>SECCIÓN XI De los Organismos de Regulación y Control</w:t>
        </w:r>
        <w:r>
          <w:rPr>
            <w:noProof/>
            <w:webHidden/>
          </w:rPr>
          <w:tab/>
        </w:r>
        <w:r>
          <w:rPr>
            <w:noProof/>
            <w:webHidden/>
          </w:rPr>
          <w:fldChar w:fldCharType="begin"/>
        </w:r>
        <w:r>
          <w:rPr>
            <w:noProof/>
            <w:webHidden/>
          </w:rPr>
          <w:instrText xml:space="preserve"> PAGEREF _Toc181374118 \h </w:instrText>
        </w:r>
        <w:r>
          <w:rPr>
            <w:noProof/>
            <w:webHidden/>
          </w:rPr>
        </w:r>
        <w:r>
          <w:rPr>
            <w:noProof/>
            <w:webHidden/>
          </w:rPr>
          <w:fldChar w:fldCharType="separate"/>
        </w:r>
        <w:r>
          <w:rPr>
            <w:noProof/>
            <w:webHidden/>
          </w:rPr>
          <w:t>139</w:t>
        </w:r>
        <w:r>
          <w:rPr>
            <w:noProof/>
            <w:webHidden/>
          </w:rPr>
          <w:fldChar w:fldCharType="end"/>
        </w:r>
      </w:hyperlink>
    </w:p>
    <w:p w14:paraId="3ACF5109" w14:textId="286D7AAF"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19" w:history="1">
        <w:r w:rsidRPr="00451D28">
          <w:rPr>
            <w:rStyle w:val="Hipervnculo"/>
            <w:rFonts w:cstheme="majorHAnsi"/>
            <w:noProof/>
          </w:rPr>
          <w:t>CAPÍTULO IX Reglas Relativas a la Transferencia de Inmuebles</w:t>
        </w:r>
        <w:r>
          <w:rPr>
            <w:noProof/>
            <w:webHidden/>
          </w:rPr>
          <w:tab/>
        </w:r>
        <w:r>
          <w:rPr>
            <w:noProof/>
            <w:webHidden/>
          </w:rPr>
          <w:fldChar w:fldCharType="begin"/>
        </w:r>
        <w:r>
          <w:rPr>
            <w:noProof/>
            <w:webHidden/>
          </w:rPr>
          <w:instrText xml:space="preserve"> PAGEREF _Toc181374119 \h </w:instrText>
        </w:r>
        <w:r>
          <w:rPr>
            <w:noProof/>
            <w:webHidden/>
          </w:rPr>
        </w:r>
        <w:r>
          <w:rPr>
            <w:noProof/>
            <w:webHidden/>
          </w:rPr>
          <w:fldChar w:fldCharType="separate"/>
        </w:r>
        <w:r>
          <w:rPr>
            <w:noProof/>
            <w:webHidden/>
          </w:rPr>
          <w:t>140</w:t>
        </w:r>
        <w:r>
          <w:rPr>
            <w:noProof/>
            <w:webHidden/>
          </w:rPr>
          <w:fldChar w:fldCharType="end"/>
        </w:r>
      </w:hyperlink>
    </w:p>
    <w:p w14:paraId="3E648A74" w14:textId="10A865E6"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0" w:history="1">
        <w:r w:rsidRPr="00451D28">
          <w:rPr>
            <w:rStyle w:val="Hipervnculo"/>
            <w:rFonts w:cstheme="majorHAnsi"/>
            <w:noProof/>
          </w:rPr>
          <w:t>SECCIÓN I De la Transferencia de domino de Lotes Urbanos</w:t>
        </w:r>
        <w:r>
          <w:rPr>
            <w:noProof/>
            <w:webHidden/>
          </w:rPr>
          <w:tab/>
        </w:r>
        <w:r>
          <w:rPr>
            <w:noProof/>
            <w:webHidden/>
          </w:rPr>
          <w:fldChar w:fldCharType="begin"/>
        </w:r>
        <w:r>
          <w:rPr>
            <w:noProof/>
            <w:webHidden/>
          </w:rPr>
          <w:instrText xml:space="preserve"> PAGEREF _Toc181374120 \h </w:instrText>
        </w:r>
        <w:r>
          <w:rPr>
            <w:noProof/>
            <w:webHidden/>
          </w:rPr>
        </w:r>
        <w:r>
          <w:rPr>
            <w:noProof/>
            <w:webHidden/>
          </w:rPr>
          <w:fldChar w:fldCharType="separate"/>
        </w:r>
        <w:r>
          <w:rPr>
            <w:noProof/>
            <w:webHidden/>
          </w:rPr>
          <w:t>140</w:t>
        </w:r>
        <w:r>
          <w:rPr>
            <w:noProof/>
            <w:webHidden/>
          </w:rPr>
          <w:fldChar w:fldCharType="end"/>
        </w:r>
      </w:hyperlink>
    </w:p>
    <w:p w14:paraId="32206938" w14:textId="0BAFD42F"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1" w:history="1">
        <w:r w:rsidRPr="00451D28">
          <w:rPr>
            <w:rStyle w:val="Hipervnculo"/>
            <w:rFonts w:cstheme="majorHAnsi"/>
            <w:noProof/>
          </w:rPr>
          <w:t>SECCIÓN II De la Transferencia de dominio de lotes Rurales</w:t>
        </w:r>
        <w:r>
          <w:rPr>
            <w:noProof/>
            <w:webHidden/>
          </w:rPr>
          <w:tab/>
        </w:r>
        <w:r>
          <w:rPr>
            <w:noProof/>
            <w:webHidden/>
          </w:rPr>
          <w:fldChar w:fldCharType="begin"/>
        </w:r>
        <w:r>
          <w:rPr>
            <w:noProof/>
            <w:webHidden/>
          </w:rPr>
          <w:instrText xml:space="preserve"> PAGEREF _Toc181374121 \h </w:instrText>
        </w:r>
        <w:r>
          <w:rPr>
            <w:noProof/>
            <w:webHidden/>
          </w:rPr>
        </w:r>
        <w:r>
          <w:rPr>
            <w:noProof/>
            <w:webHidden/>
          </w:rPr>
          <w:fldChar w:fldCharType="separate"/>
        </w:r>
        <w:r>
          <w:rPr>
            <w:noProof/>
            <w:webHidden/>
          </w:rPr>
          <w:t>140</w:t>
        </w:r>
        <w:r>
          <w:rPr>
            <w:noProof/>
            <w:webHidden/>
          </w:rPr>
          <w:fldChar w:fldCharType="end"/>
        </w:r>
      </w:hyperlink>
    </w:p>
    <w:p w14:paraId="20716475" w14:textId="506DCA9E"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2" w:history="1">
        <w:r w:rsidRPr="00451D28">
          <w:rPr>
            <w:rStyle w:val="Hipervnculo"/>
            <w:rFonts w:cstheme="majorHAnsi"/>
            <w:noProof/>
          </w:rPr>
          <w:t>SECCIÓN III De la reestructuración o reajuste de terrenos (excedentes o diferencia de áreas,)</w:t>
        </w:r>
        <w:r>
          <w:rPr>
            <w:noProof/>
            <w:webHidden/>
          </w:rPr>
          <w:tab/>
        </w:r>
        <w:r>
          <w:rPr>
            <w:noProof/>
            <w:webHidden/>
          </w:rPr>
          <w:fldChar w:fldCharType="begin"/>
        </w:r>
        <w:r>
          <w:rPr>
            <w:noProof/>
            <w:webHidden/>
          </w:rPr>
          <w:instrText xml:space="preserve"> PAGEREF _Toc181374122 \h </w:instrText>
        </w:r>
        <w:r>
          <w:rPr>
            <w:noProof/>
            <w:webHidden/>
          </w:rPr>
        </w:r>
        <w:r>
          <w:rPr>
            <w:noProof/>
            <w:webHidden/>
          </w:rPr>
          <w:fldChar w:fldCharType="separate"/>
        </w:r>
        <w:r>
          <w:rPr>
            <w:noProof/>
            <w:webHidden/>
          </w:rPr>
          <w:t>141</w:t>
        </w:r>
        <w:r>
          <w:rPr>
            <w:noProof/>
            <w:webHidden/>
          </w:rPr>
          <w:fldChar w:fldCharType="end"/>
        </w:r>
      </w:hyperlink>
    </w:p>
    <w:p w14:paraId="3927B18C" w14:textId="2E26C5E2"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123" w:history="1">
        <w:r w:rsidRPr="00451D28">
          <w:rPr>
            <w:rStyle w:val="Hipervnculo"/>
            <w:rFonts w:cstheme="majorHAnsi"/>
            <w:noProof/>
          </w:rPr>
          <w:t>TÍTULO VII GESTIÓN DEL SUELO</w:t>
        </w:r>
        <w:r>
          <w:rPr>
            <w:noProof/>
            <w:webHidden/>
          </w:rPr>
          <w:tab/>
        </w:r>
        <w:r>
          <w:rPr>
            <w:noProof/>
            <w:webHidden/>
          </w:rPr>
          <w:fldChar w:fldCharType="begin"/>
        </w:r>
        <w:r>
          <w:rPr>
            <w:noProof/>
            <w:webHidden/>
          </w:rPr>
          <w:instrText xml:space="preserve"> PAGEREF _Toc181374123 \h </w:instrText>
        </w:r>
        <w:r>
          <w:rPr>
            <w:noProof/>
            <w:webHidden/>
          </w:rPr>
        </w:r>
        <w:r>
          <w:rPr>
            <w:noProof/>
            <w:webHidden/>
          </w:rPr>
          <w:fldChar w:fldCharType="separate"/>
        </w:r>
        <w:r>
          <w:rPr>
            <w:noProof/>
            <w:webHidden/>
          </w:rPr>
          <w:t>142</w:t>
        </w:r>
        <w:r>
          <w:rPr>
            <w:noProof/>
            <w:webHidden/>
          </w:rPr>
          <w:fldChar w:fldCharType="end"/>
        </w:r>
      </w:hyperlink>
    </w:p>
    <w:p w14:paraId="42D327EB" w14:textId="0BF72596"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4" w:history="1">
        <w:r w:rsidRPr="00451D28">
          <w:rPr>
            <w:rStyle w:val="Hipervnculo"/>
            <w:rFonts w:cstheme="majorHAnsi"/>
            <w:noProof/>
          </w:rPr>
          <w:t>CAPÍTULO I Vivienda y Hábitat</w:t>
        </w:r>
        <w:r>
          <w:rPr>
            <w:noProof/>
            <w:webHidden/>
          </w:rPr>
          <w:tab/>
        </w:r>
        <w:r>
          <w:rPr>
            <w:noProof/>
            <w:webHidden/>
          </w:rPr>
          <w:fldChar w:fldCharType="begin"/>
        </w:r>
        <w:r>
          <w:rPr>
            <w:noProof/>
            <w:webHidden/>
          </w:rPr>
          <w:instrText xml:space="preserve"> PAGEREF _Toc181374124 \h </w:instrText>
        </w:r>
        <w:r>
          <w:rPr>
            <w:noProof/>
            <w:webHidden/>
          </w:rPr>
        </w:r>
        <w:r>
          <w:rPr>
            <w:noProof/>
            <w:webHidden/>
          </w:rPr>
          <w:fldChar w:fldCharType="separate"/>
        </w:r>
        <w:r>
          <w:rPr>
            <w:noProof/>
            <w:webHidden/>
          </w:rPr>
          <w:t>142</w:t>
        </w:r>
        <w:r>
          <w:rPr>
            <w:noProof/>
            <w:webHidden/>
          </w:rPr>
          <w:fldChar w:fldCharType="end"/>
        </w:r>
      </w:hyperlink>
    </w:p>
    <w:p w14:paraId="39AF36F7" w14:textId="5BBC790D"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5" w:history="1">
        <w:r w:rsidRPr="00451D28">
          <w:rPr>
            <w:rStyle w:val="Hipervnculo"/>
            <w:rFonts w:cstheme="majorHAnsi"/>
            <w:noProof/>
          </w:rPr>
          <w:t>CAPÍTULO II  Instrumentos de Gestión</w:t>
        </w:r>
        <w:r>
          <w:rPr>
            <w:noProof/>
            <w:webHidden/>
          </w:rPr>
          <w:tab/>
        </w:r>
        <w:r>
          <w:rPr>
            <w:noProof/>
            <w:webHidden/>
          </w:rPr>
          <w:fldChar w:fldCharType="begin"/>
        </w:r>
        <w:r>
          <w:rPr>
            <w:noProof/>
            <w:webHidden/>
          </w:rPr>
          <w:instrText xml:space="preserve"> PAGEREF _Toc181374125 \h </w:instrText>
        </w:r>
        <w:r>
          <w:rPr>
            <w:noProof/>
            <w:webHidden/>
          </w:rPr>
        </w:r>
        <w:r>
          <w:rPr>
            <w:noProof/>
            <w:webHidden/>
          </w:rPr>
          <w:fldChar w:fldCharType="separate"/>
        </w:r>
        <w:r>
          <w:rPr>
            <w:noProof/>
            <w:webHidden/>
          </w:rPr>
          <w:t>147</w:t>
        </w:r>
        <w:r>
          <w:rPr>
            <w:noProof/>
            <w:webHidden/>
          </w:rPr>
          <w:fldChar w:fldCharType="end"/>
        </w:r>
      </w:hyperlink>
    </w:p>
    <w:p w14:paraId="11DC7E58" w14:textId="58930327"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6" w:history="1">
        <w:r w:rsidRPr="00451D28">
          <w:rPr>
            <w:rStyle w:val="Hipervnculo"/>
            <w:rFonts w:cstheme="majorHAnsi"/>
            <w:noProof/>
          </w:rPr>
          <w:t>CAPÍTULO III Mercado de suelo</w:t>
        </w:r>
        <w:r>
          <w:rPr>
            <w:noProof/>
            <w:webHidden/>
          </w:rPr>
          <w:tab/>
        </w:r>
        <w:r>
          <w:rPr>
            <w:noProof/>
            <w:webHidden/>
          </w:rPr>
          <w:fldChar w:fldCharType="begin"/>
        </w:r>
        <w:r>
          <w:rPr>
            <w:noProof/>
            <w:webHidden/>
          </w:rPr>
          <w:instrText xml:space="preserve"> PAGEREF _Toc181374126 \h </w:instrText>
        </w:r>
        <w:r>
          <w:rPr>
            <w:noProof/>
            <w:webHidden/>
          </w:rPr>
        </w:r>
        <w:r>
          <w:rPr>
            <w:noProof/>
            <w:webHidden/>
          </w:rPr>
          <w:fldChar w:fldCharType="separate"/>
        </w:r>
        <w:r>
          <w:rPr>
            <w:noProof/>
            <w:webHidden/>
          </w:rPr>
          <w:t>148</w:t>
        </w:r>
        <w:r>
          <w:rPr>
            <w:noProof/>
            <w:webHidden/>
          </w:rPr>
          <w:fldChar w:fldCharType="end"/>
        </w:r>
      </w:hyperlink>
    </w:p>
    <w:p w14:paraId="52E7BCED" w14:textId="46146181"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7" w:history="1">
        <w:r w:rsidRPr="00451D28">
          <w:rPr>
            <w:rStyle w:val="Hipervnculo"/>
            <w:rFonts w:cstheme="majorHAnsi"/>
            <w:noProof/>
          </w:rPr>
          <w:t>CAPÍTULO IV Financiamiento del desarrollo urbano</w:t>
        </w:r>
        <w:r>
          <w:rPr>
            <w:noProof/>
            <w:webHidden/>
          </w:rPr>
          <w:tab/>
        </w:r>
        <w:r>
          <w:rPr>
            <w:noProof/>
            <w:webHidden/>
          </w:rPr>
          <w:fldChar w:fldCharType="begin"/>
        </w:r>
        <w:r>
          <w:rPr>
            <w:noProof/>
            <w:webHidden/>
          </w:rPr>
          <w:instrText xml:space="preserve"> PAGEREF _Toc181374127 \h </w:instrText>
        </w:r>
        <w:r>
          <w:rPr>
            <w:noProof/>
            <w:webHidden/>
          </w:rPr>
        </w:r>
        <w:r>
          <w:rPr>
            <w:noProof/>
            <w:webHidden/>
          </w:rPr>
          <w:fldChar w:fldCharType="separate"/>
        </w:r>
        <w:r>
          <w:rPr>
            <w:noProof/>
            <w:webHidden/>
          </w:rPr>
          <w:t>149</w:t>
        </w:r>
        <w:r>
          <w:rPr>
            <w:noProof/>
            <w:webHidden/>
          </w:rPr>
          <w:fldChar w:fldCharType="end"/>
        </w:r>
      </w:hyperlink>
    </w:p>
    <w:p w14:paraId="1F47AA77" w14:textId="72283463"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28" w:history="1">
        <w:r w:rsidRPr="00451D28">
          <w:rPr>
            <w:rStyle w:val="Hipervnculo"/>
            <w:rFonts w:cstheme="majorHAnsi"/>
            <w:noProof/>
          </w:rPr>
          <w:t>CAPÍTULO V Gestión del suelo de asentamientos de hecho</w:t>
        </w:r>
        <w:r>
          <w:rPr>
            <w:noProof/>
            <w:webHidden/>
          </w:rPr>
          <w:tab/>
        </w:r>
        <w:r>
          <w:rPr>
            <w:noProof/>
            <w:webHidden/>
          </w:rPr>
          <w:fldChar w:fldCharType="begin"/>
        </w:r>
        <w:r>
          <w:rPr>
            <w:noProof/>
            <w:webHidden/>
          </w:rPr>
          <w:instrText xml:space="preserve"> PAGEREF _Toc181374128 \h </w:instrText>
        </w:r>
        <w:r>
          <w:rPr>
            <w:noProof/>
            <w:webHidden/>
          </w:rPr>
        </w:r>
        <w:r>
          <w:rPr>
            <w:noProof/>
            <w:webHidden/>
          </w:rPr>
          <w:fldChar w:fldCharType="separate"/>
        </w:r>
        <w:r>
          <w:rPr>
            <w:noProof/>
            <w:webHidden/>
          </w:rPr>
          <w:t>149</w:t>
        </w:r>
        <w:r>
          <w:rPr>
            <w:noProof/>
            <w:webHidden/>
          </w:rPr>
          <w:fldChar w:fldCharType="end"/>
        </w:r>
      </w:hyperlink>
    </w:p>
    <w:p w14:paraId="1B634CF5" w14:textId="4C2C5A87" w:rsidR="005D38BF" w:rsidRDefault="005D38BF">
      <w:pPr>
        <w:pStyle w:val="TDC2"/>
        <w:rPr>
          <w:rFonts w:asciiTheme="minorHAnsi" w:eastAsiaTheme="minorEastAsia" w:hAnsiTheme="minorHAnsi" w:cstheme="minorBidi"/>
          <w:noProof/>
          <w:kern w:val="2"/>
          <w:sz w:val="24"/>
          <w:lang w:val="es-EC" w:eastAsia="es-EC"/>
          <w14:ligatures w14:val="standardContextual"/>
        </w:rPr>
      </w:pPr>
      <w:hyperlink w:anchor="_Toc181374129" w:history="1">
        <w:r w:rsidRPr="00451D28">
          <w:rPr>
            <w:rStyle w:val="Hipervnculo"/>
            <w:rFonts w:cstheme="majorHAnsi"/>
            <w:noProof/>
          </w:rPr>
          <w:t>TÍTULO VIII</w:t>
        </w:r>
        <w:r>
          <w:rPr>
            <w:noProof/>
            <w:webHidden/>
          </w:rPr>
          <w:tab/>
        </w:r>
        <w:r>
          <w:rPr>
            <w:noProof/>
            <w:webHidden/>
          </w:rPr>
          <w:fldChar w:fldCharType="begin"/>
        </w:r>
        <w:r>
          <w:rPr>
            <w:noProof/>
            <w:webHidden/>
          </w:rPr>
          <w:instrText xml:space="preserve"> PAGEREF _Toc181374129 \h </w:instrText>
        </w:r>
        <w:r>
          <w:rPr>
            <w:noProof/>
            <w:webHidden/>
          </w:rPr>
        </w:r>
        <w:r>
          <w:rPr>
            <w:noProof/>
            <w:webHidden/>
          </w:rPr>
          <w:fldChar w:fldCharType="separate"/>
        </w:r>
        <w:r>
          <w:rPr>
            <w:noProof/>
            <w:webHidden/>
          </w:rPr>
          <w:t>150</w:t>
        </w:r>
        <w:r>
          <w:rPr>
            <w:noProof/>
            <w:webHidden/>
          </w:rPr>
          <w:fldChar w:fldCharType="end"/>
        </w:r>
      </w:hyperlink>
    </w:p>
    <w:p w14:paraId="4B8C0F8C" w14:textId="19C6DFBC" w:rsidR="005D38BF" w:rsidRDefault="005D38BF">
      <w:pPr>
        <w:pStyle w:val="TDC3"/>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0" w:history="1">
        <w:r w:rsidRPr="00451D28">
          <w:rPr>
            <w:rStyle w:val="Hipervnculo"/>
            <w:rFonts w:cstheme="majorHAnsi"/>
            <w:noProof/>
          </w:rPr>
          <w:t>CAPÍTULO I Infracciones y sanciones</w:t>
        </w:r>
        <w:r>
          <w:rPr>
            <w:noProof/>
            <w:webHidden/>
          </w:rPr>
          <w:tab/>
        </w:r>
        <w:r>
          <w:rPr>
            <w:noProof/>
            <w:webHidden/>
          </w:rPr>
          <w:fldChar w:fldCharType="begin"/>
        </w:r>
        <w:r>
          <w:rPr>
            <w:noProof/>
            <w:webHidden/>
          </w:rPr>
          <w:instrText xml:space="preserve"> PAGEREF _Toc181374130 \h </w:instrText>
        </w:r>
        <w:r>
          <w:rPr>
            <w:noProof/>
            <w:webHidden/>
          </w:rPr>
        </w:r>
        <w:r>
          <w:rPr>
            <w:noProof/>
            <w:webHidden/>
          </w:rPr>
          <w:fldChar w:fldCharType="separate"/>
        </w:r>
        <w:r>
          <w:rPr>
            <w:noProof/>
            <w:webHidden/>
          </w:rPr>
          <w:t>150</w:t>
        </w:r>
        <w:r>
          <w:rPr>
            <w:noProof/>
            <w:webHidden/>
          </w:rPr>
          <w:fldChar w:fldCharType="end"/>
        </w:r>
      </w:hyperlink>
    </w:p>
    <w:p w14:paraId="573D3EB5" w14:textId="294B7A67"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1" w:history="1">
        <w:r w:rsidRPr="00451D28">
          <w:rPr>
            <w:rStyle w:val="Hipervnculo"/>
            <w:rFonts w:cstheme="majorHAnsi"/>
            <w:noProof/>
          </w:rPr>
          <w:t>SECCIÓN I Reglas Generales</w:t>
        </w:r>
        <w:r>
          <w:rPr>
            <w:noProof/>
            <w:webHidden/>
          </w:rPr>
          <w:tab/>
        </w:r>
        <w:r>
          <w:rPr>
            <w:noProof/>
            <w:webHidden/>
          </w:rPr>
          <w:fldChar w:fldCharType="begin"/>
        </w:r>
        <w:r>
          <w:rPr>
            <w:noProof/>
            <w:webHidden/>
          </w:rPr>
          <w:instrText xml:space="preserve"> PAGEREF _Toc181374131 \h </w:instrText>
        </w:r>
        <w:r>
          <w:rPr>
            <w:noProof/>
            <w:webHidden/>
          </w:rPr>
        </w:r>
        <w:r>
          <w:rPr>
            <w:noProof/>
            <w:webHidden/>
          </w:rPr>
          <w:fldChar w:fldCharType="separate"/>
        </w:r>
        <w:r>
          <w:rPr>
            <w:noProof/>
            <w:webHidden/>
          </w:rPr>
          <w:t>150</w:t>
        </w:r>
        <w:r>
          <w:rPr>
            <w:noProof/>
            <w:webHidden/>
          </w:rPr>
          <w:fldChar w:fldCharType="end"/>
        </w:r>
      </w:hyperlink>
    </w:p>
    <w:p w14:paraId="639B7F37" w14:textId="0C64DC49"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2" w:history="1">
        <w:r w:rsidRPr="00451D28">
          <w:rPr>
            <w:rStyle w:val="Hipervnculo"/>
            <w:rFonts w:cstheme="majorHAnsi"/>
            <w:noProof/>
          </w:rPr>
          <w:t>SECCIÓN II Procedimientos</w:t>
        </w:r>
        <w:r>
          <w:rPr>
            <w:noProof/>
            <w:webHidden/>
          </w:rPr>
          <w:tab/>
        </w:r>
        <w:r>
          <w:rPr>
            <w:noProof/>
            <w:webHidden/>
          </w:rPr>
          <w:fldChar w:fldCharType="begin"/>
        </w:r>
        <w:r>
          <w:rPr>
            <w:noProof/>
            <w:webHidden/>
          </w:rPr>
          <w:instrText xml:space="preserve"> PAGEREF _Toc181374132 \h </w:instrText>
        </w:r>
        <w:r>
          <w:rPr>
            <w:noProof/>
            <w:webHidden/>
          </w:rPr>
        </w:r>
        <w:r>
          <w:rPr>
            <w:noProof/>
            <w:webHidden/>
          </w:rPr>
          <w:fldChar w:fldCharType="separate"/>
        </w:r>
        <w:r>
          <w:rPr>
            <w:noProof/>
            <w:webHidden/>
          </w:rPr>
          <w:t>151</w:t>
        </w:r>
        <w:r>
          <w:rPr>
            <w:noProof/>
            <w:webHidden/>
          </w:rPr>
          <w:fldChar w:fldCharType="end"/>
        </w:r>
      </w:hyperlink>
    </w:p>
    <w:p w14:paraId="5F6C5C89" w14:textId="72CABB02"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3" w:history="1">
        <w:r w:rsidRPr="00451D28">
          <w:rPr>
            <w:rStyle w:val="Hipervnculo"/>
            <w:rFonts w:cstheme="majorHAnsi"/>
            <w:noProof/>
          </w:rPr>
          <w:t>SECCIÓN III Sanciones</w:t>
        </w:r>
        <w:r>
          <w:rPr>
            <w:noProof/>
            <w:webHidden/>
          </w:rPr>
          <w:tab/>
        </w:r>
        <w:r>
          <w:rPr>
            <w:noProof/>
            <w:webHidden/>
          </w:rPr>
          <w:fldChar w:fldCharType="begin"/>
        </w:r>
        <w:r>
          <w:rPr>
            <w:noProof/>
            <w:webHidden/>
          </w:rPr>
          <w:instrText xml:space="preserve"> PAGEREF _Toc181374133 \h </w:instrText>
        </w:r>
        <w:r>
          <w:rPr>
            <w:noProof/>
            <w:webHidden/>
          </w:rPr>
        </w:r>
        <w:r>
          <w:rPr>
            <w:noProof/>
            <w:webHidden/>
          </w:rPr>
          <w:fldChar w:fldCharType="separate"/>
        </w:r>
        <w:r>
          <w:rPr>
            <w:noProof/>
            <w:webHidden/>
          </w:rPr>
          <w:t>151</w:t>
        </w:r>
        <w:r>
          <w:rPr>
            <w:noProof/>
            <w:webHidden/>
          </w:rPr>
          <w:fldChar w:fldCharType="end"/>
        </w:r>
      </w:hyperlink>
    </w:p>
    <w:p w14:paraId="5B26E1C3" w14:textId="59335F2C"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4" w:history="1">
        <w:r w:rsidRPr="00451D28">
          <w:rPr>
            <w:rStyle w:val="Hipervnculo"/>
            <w:rFonts w:cstheme="majorHAnsi"/>
            <w:noProof/>
          </w:rPr>
          <w:t>SECCIÓN IV Infracciones Generales</w:t>
        </w:r>
        <w:r>
          <w:rPr>
            <w:noProof/>
            <w:webHidden/>
          </w:rPr>
          <w:tab/>
        </w:r>
        <w:r>
          <w:rPr>
            <w:noProof/>
            <w:webHidden/>
          </w:rPr>
          <w:fldChar w:fldCharType="begin"/>
        </w:r>
        <w:r>
          <w:rPr>
            <w:noProof/>
            <w:webHidden/>
          </w:rPr>
          <w:instrText xml:space="preserve"> PAGEREF _Toc181374134 \h </w:instrText>
        </w:r>
        <w:r>
          <w:rPr>
            <w:noProof/>
            <w:webHidden/>
          </w:rPr>
        </w:r>
        <w:r>
          <w:rPr>
            <w:noProof/>
            <w:webHidden/>
          </w:rPr>
          <w:fldChar w:fldCharType="separate"/>
        </w:r>
        <w:r>
          <w:rPr>
            <w:noProof/>
            <w:webHidden/>
          </w:rPr>
          <w:t>152</w:t>
        </w:r>
        <w:r>
          <w:rPr>
            <w:noProof/>
            <w:webHidden/>
          </w:rPr>
          <w:fldChar w:fldCharType="end"/>
        </w:r>
      </w:hyperlink>
    </w:p>
    <w:p w14:paraId="7DAFE88D" w14:textId="08546154"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5" w:history="1">
        <w:r w:rsidRPr="00451D28">
          <w:rPr>
            <w:rStyle w:val="Hipervnculo"/>
            <w:rFonts w:cstheme="majorHAnsi"/>
            <w:noProof/>
          </w:rPr>
          <w:t>CONCEPTOS</w:t>
        </w:r>
        <w:r>
          <w:rPr>
            <w:noProof/>
            <w:webHidden/>
          </w:rPr>
          <w:tab/>
        </w:r>
        <w:r>
          <w:rPr>
            <w:noProof/>
            <w:webHidden/>
          </w:rPr>
          <w:fldChar w:fldCharType="begin"/>
        </w:r>
        <w:r>
          <w:rPr>
            <w:noProof/>
            <w:webHidden/>
          </w:rPr>
          <w:instrText xml:space="preserve"> PAGEREF _Toc181374135 \h </w:instrText>
        </w:r>
        <w:r>
          <w:rPr>
            <w:noProof/>
            <w:webHidden/>
          </w:rPr>
        </w:r>
        <w:r>
          <w:rPr>
            <w:noProof/>
            <w:webHidden/>
          </w:rPr>
          <w:fldChar w:fldCharType="separate"/>
        </w:r>
        <w:r>
          <w:rPr>
            <w:noProof/>
            <w:webHidden/>
          </w:rPr>
          <w:t>156</w:t>
        </w:r>
        <w:r>
          <w:rPr>
            <w:noProof/>
            <w:webHidden/>
          </w:rPr>
          <w:fldChar w:fldCharType="end"/>
        </w:r>
      </w:hyperlink>
    </w:p>
    <w:p w14:paraId="60796CF2" w14:textId="055E1629" w:rsidR="005D38BF" w:rsidRDefault="005D38BF">
      <w:pPr>
        <w:pStyle w:val="TDC4"/>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6" w:history="1">
        <w:r w:rsidRPr="00451D28">
          <w:rPr>
            <w:rStyle w:val="Hipervnculo"/>
            <w:rFonts w:cstheme="majorHAnsi"/>
            <w:noProof/>
          </w:rPr>
          <w:t>SECCIÓN I Definiciones en orden alfabético</w:t>
        </w:r>
        <w:r>
          <w:rPr>
            <w:noProof/>
            <w:webHidden/>
          </w:rPr>
          <w:tab/>
        </w:r>
        <w:r>
          <w:rPr>
            <w:noProof/>
            <w:webHidden/>
          </w:rPr>
          <w:fldChar w:fldCharType="begin"/>
        </w:r>
        <w:r>
          <w:rPr>
            <w:noProof/>
            <w:webHidden/>
          </w:rPr>
          <w:instrText xml:space="preserve"> PAGEREF _Toc181374136 \h </w:instrText>
        </w:r>
        <w:r>
          <w:rPr>
            <w:noProof/>
            <w:webHidden/>
          </w:rPr>
        </w:r>
        <w:r>
          <w:rPr>
            <w:noProof/>
            <w:webHidden/>
          </w:rPr>
          <w:fldChar w:fldCharType="separate"/>
        </w:r>
        <w:r>
          <w:rPr>
            <w:noProof/>
            <w:webHidden/>
          </w:rPr>
          <w:t>156</w:t>
        </w:r>
        <w:r>
          <w:rPr>
            <w:noProof/>
            <w:webHidden/>
          </w:rPr>
          <w:fldChar w:fldCharType="end"/>
        </w:r>
      </w:hyperlink>
    </w:p>
    <w:p w14:paraId="2D556658" w14:textId="10E190B9"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7" w:history="1">
        <w:r w:rsidRPr="00451D28">
          <w:rPr>
            <w:rStyle w:val="Hipervnculo"/>
            <w:rFonts w:cstheme="majorHAnsi"/>
            <w:noProof/>
          </w:rPr>
          <w:t>DISPOSICIONES GENERALES</w:t>
        </w:r>
        <w:r>
          <w:rPr>
            <w:noProof/>
            <w:webHidden/>
          </w:rPr>
          <w:tab/>
        </w:r>
        <w:r>
          <w:rPr>
            <w:noProof/>
            <w:webHidden/>
          </w:rPr>
          <w:fldChar w:fldCharType="begin"/>
        </w:r>
        <w:r>
          <w:rPr>
            <w:noProof/>
            <w:webHidden/>
          </w:rPr>
          <w:instrText xml:space="preserve"> PAGEREF _Toc181374137 \h </w:instrText>
        </w:r>
        <w:r>
          <w:rPr>
            <w:noProof/>
            <w:webHidden/>
          </w:rPr>
        </w:r>
        <w:r>
          <w:rPr>
            <w:noProof/>
            <w:webHidden/>
          </w:rPr>
          <w:fldChar w:fldCharType="separate"/>
        </w:r>
        <w:r>
          <w:rPr>
            <w:noProof/>
            <w:webHidden/>
          </w:rPr>
          <w:t>158</w:t>
        </w:r>
        <w:r>
          <w:rPr>
            <w:noProof/>
            <w:webHidden/>
          </w:rPr>
          <w:fldChar w:fldCharType="end"/>
        </w:r>
      </w:hyperlink>
    </w:p>
    <w:p w14:paraId="4043FD0F" w14:textId="13DBD17C"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8" w:history="1">
        <w:r w:rsidRPr="00451D28">
          <w:rPr>
            <w:rStyle w:val="Hipervnculo"/>
            <w:rFonts w:cstheme="majorHAnsi"/>
            <w:noProof/>
          </w:rPr>
          <w:t>DISPOSICIÓN TRANSITORIA</w:t>
        </w:r>
        <w:r>
          <w:rPr>
            <w:noProof/>
            <w:webHidden/>
          </w:rPr>
          <w:tab/>
        </w:r>
        <w:r>
          <w:rPr>
            <w:noProof/>
            <w:webHidden/>
          </w:rPr>
          <w:fldChar w:fldCharType="begin"/>
        </w:r>
        <w:r>
          <w:rPr>
            <w:noProof/>
            <w:webHidden/>
          </w:rPr>
          <w:instrText xml:space="preserve"> PAGEREF _Toc181374138 \h </w:instrText>
        </w:r>
        <w:r>
          <w:rPr>
            <w:noProof/>
            <w:webHidden/>
          </w:rPr>
        </w:r>
        <w:r>
          <w:rPr>
            <w:noProof/>
            <w:webHidden/>
          </w:rPr>
          <w:fldChar w:fldCharType="separate"/>
        </w:r>
        <w:r>
          <w:rPr>
            <w:noProof/>
            <w:webHidden/>
          </w:rPr>
          <w:t>160</w:t>
        </w:r>
        <w:r>
          <w:rPr>
            <w:noProof/>
            <w:webHidden/>
          </w:rPr>
          <w:fldChar w:fldCharType="end"/>
        </w:r>
      </w:hyperlink>
    </w:p>
    <w:p w14:paraId="0B50000B" w14:textId="37BE010F"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39" w:history="1">
        <w:r w:rsidRPr="00451D28">
          <w:rPr>
            <w:rStyle w:val="Hipervnculo"/>
            <w:rFonts w:cstheme="majorHAnsi"/>
            <w:noProof/>
          </w:rPr>
          <w:t>DISPOSICIÓN DEROGATORIA</w:t>
        </w:r>
        <w:r>
          <w:rPr>
            <w:noProof/>
            <w:webHidden/>
          </w:rPr>
          <w:tab/>
        </w:r>
        <w:r>
          <w:rPr>
            <w:noProof/>
            <w:webHidden/>
          </w:rPr>
          <w:fldChar w:fldCharType="begin"/>
        </w:r>
        <w:r>
          <w:rPr>
            <w:noProof/>
            <w:webHidden/>
          </w:rPr>
          <w:instrText xml:space="preserve"> PAGEREF _Toc181374139 \h </w:instrText>
        </w:r>
        <w:r>
          <w:rPr>
            <w:noProof/>
            <w:webHidden/>
          </w:rPr>
        </w:r>
        <w:r>
          <w:rPr>
            <w:noProof/>
            <w:webHidden/>
          </w:rPr>
          <w:fldChar w:fldCharType="separate"/>
        </w:r>
        <w:r>
          <w:rPr>
            <w:noProof/>
            <w:webHidden/>
          </w:rPr>
          <w:t>164</w:t>
        </w:r>
        <w:r>
          <w:rPr>
            <w:noProof/>
            <w:webHidden/>
          </w:rPr>
          <w:fldChar w:fldCharType="end"/>
        </w:r>
      </w:hyperlink>
    </w:p>
    <w:p w14:paraId="171E6670" w14:textId="6D2713A8"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40" w:history="1">
        <w:r w:rsidRPr="00451D28">
          <w:rPr>
            <w:rStyle w:val="Hipervnculo"/>
            <w:rFonts w:cstheme="majorHAnsi"/>
            <w:noProof/>
          </w:rPr>
          <w:t>DISPOSICIONES FINALES</w:t>
        </w:r>
        <w:r>
          <w:rPr>
            <w:noProof/>
            <w:webHidden/>
          </w:rPr>
          <w:tab/>
        </w:r>
        <w:r>
          <w:rPr>
            <w:noProof/>
            <w:webHidden/>
          </w:rPr>
          <w:fldChar w:fldCharType="begin"/>
        </w:r>
        <w:r>
          <w:rPr>
            <w:noProof/>
            <w:webHidden/>
          </w:rPr>
          <w:instrText xml:space="preserve"> PAGEREF _Toc181374140 \h </w:instrText>
        </w:r>
        <w:r>
          <w:rPr>
            <w:noProof/>
            <w:webHidden/>
          </w:rPr>
        </w:r>
        <w:r>
          <w:rPr>
            <w:noProof/>
            <w:webHidden/>
          </w:rPr>
          <w:fldChar w:fldCharType="separate"/>
        </w:r>
        <w:r>
          <w:rPr>
            <w:noProof/>
            <w:webHidden/>
          </w:rPr>
          <w:t>164</w:t>
        </w:r>
        <w:r>
          <w:rPr>
            <w:noProof/>
            <w:webHidden/>
          </w:rPr>
          <w:fldChar w:fldCharType="end"/>
        </w:r>
      </w:hyperlink>
    </w:p>
    <w:p w14:paraId="044C9242" w14:textId="7285C820"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41" w:history="1">
        <w:r w:rsidRPr="00451D28">
          <w:rPr>
            <w:rStyle w:val="Hipervnculo"/>
            <w:noProof/>
          </w:rPr>
          <w:t>ANEXOS:</w:t>
        </w:r>
        <w:r>
          <w:rPr>
            <w:noProof/>
            <w:webHidden/>
          </w:rPr>
          <w:tab/>
        </w:r>
        <w:r>
          <w:rPr>
            <w:noProof/>
            <w:webHidden/>
          </w:rPr>
          <w:fldChar w:fldCharType="begin"/>
        </w:r>
        <w:r>
          <w:rPr>
            <w:noProof/>
            <w:webHidden/>
          </w:rPr>
          <w:instrText xml:space="preserve"> PAGEREF _Toc181374141 \h </w:instrText>
        </w:r>
        <w:r>
          <w:rPr>
            <w:noProof/>
            <w:webHidden/>
          </w:rPr>
        </w:r>
        <w:r>
          <w:rPr>
            <w:noProof/>
            <w:webHidden/>
          </w:rPr>
          <w:fldChar w:fldCharType="separate"/>
        </w:r>
        <w:r>
          <w:rPr>
            <w:noProof/>
            <w:webHidden/>
          </w:rPr>
          <w:t>165</w:t>
        </w:r>
        <w:r>
          <w:rPr>
            <w:noProof/>
            <w:webHidden/>
          </w:rPr>
          <w:fldChar w:fldCharType="end"/>
        </w:r>
      </w:hyperlink>
    </w:p>
    <w:p w14:paraId="0893B0F7" w14:textId="08EA7291"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42" w:history="1">
        <w:r w:rsidRPr="00451D28">
          <w:rPr>
            <w:rStyle w:val="Hipervnculo"/>
            <w:rFonts w:cstheme="majorHAnsi"/>
            <w:noProof/>
          </w:rPr>
          <w:t>Anexo No. 1. IPRUS</w:t>
        </w:r>
        <w:r>
          <w:rPr>
            <w:noProof/>
            <w:webHidden/>
          </w:rPr>
          <w:tab/>
        </w:r>
        <w:r>
          <w:rPr>
            <w:noProof/>
            <w:webHidden/>
          </w:rPr>
          <w:fldChar w:fldCharType="begin"/>
        </w:r>
        <w:r>
          <w:rPr>
            <w:noProof/>
            <w:webHidden/>
          </w:rPr>
          <w:instrText xml:space="preserve"> PAGEREF _Toc181374142 \h </w:instrText>
        </w:r>
        <w:r>
          <w:rPr>
            <w:noProof/>
            <w:webHidden/>
          </w:rPr>
        </w:r>
        <w:r>
          <w:rPr>
            <w:noProof/>
            <w:webHidden/>
          </w:rPr>
          <w:fldChar w:fldCharType="separate"/>
        </w:r>
        <w:r>
          <w:rPr>
            <w:noProof/>
            <w:webHidden/>
          </w:rPr>
          <w:t>165</w:t>
        </w:r>
        <w:r>
          <w:rPr>
            <w:noProof/>
            <w:webHidden/>
          </w:rPr>
          <w:fldChar w:fldCharType="end"/>
        </w:r>
      </w:hyperlink>
    </w:p>
    <w:p w14:paraId="24F8B60B" w14:textId="531E2F1D"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43" w:history="1">
        <w:r w:rsidRPr="00451D28">
          <w:rPr>
            <w:rStyle w:val="Hipervnculo"/>
            <w:rFonts w:cstheme="majorHAnsi"/>
            <w:noProof/>
          </w:rPr>
          <w:t>Anexo No. 2</w:t>
        </w:r>
        <w:r>
          <w:rPr>
            <w:noProof/>
            <w:webHidden/>
          </w:rPr>
          <w:tab/>
        </w:r>
        <w:r>
          <w:rPr>
            <w:noProof/>
            <w:webHidden/>
          </w:rPr>
          <w:fldChar w:fldCharType="begin"/>
        </w:r>
        <w:r>
          <w:rPr>
            <w:noProof/>
            <w:webHidden/>
          </w:rPr>
          <w:instrText xml:space="preserve"> PAGEREF _Toc181374143 \h </w:instrText>
        </w:r>
        <w:r>
          <w:rPr>
            <w:noProof/>
            <w:webHidden/>
          </w:rPr>
        </w:r>
        <w:r>
          <w:rPr>
            <w:noProof/>
            <w:webHidden/>
          </w:rPr>
          <w:fldChar w:fldCharType="separate"/>
        </w:r>
        <w:r>
          <w:rPr>
            <w:noProof/>
            <w:webHidden/>
          </w:rPr>
          <w:t>166</w:t>
        </w:r>
        <w:r>
          <w:rPr>
            <w:noProof/>
            <w:webHidden/>
          </w:rPr>
          <w:fldChar w:fldCharType="end"/>
        </w:r>
      </w:hyperlink>
    </w:p>
    <w:p w14:paraId="746C9451" w14:textId="236FFB55" w:rsidR="005D38BF" w:rsidRDefault="005D38BF">
      <w:pPr>
        <w:pStyle w:val="TDC1"/>
        <w:tabs>
          <w:tab w:val="right" w:leader="underscore" w:pos="8488"/>
        </w:tabs>
        <w:rPr>
          <w:rFonts w:asciiTheme="minorHAnsi" w:eastAsiaTheme="minorEastAsia" w:hAnsiTheme="minorHAnsi" w:cstheme="minorBidi"/>
          <w:noProof/>
          <w:kern w:val="2"/>
          <w:sz w:val="24"/>
          <w:lang w:val="es-EC" w:eastAsia="es-EC"/>
          <w14:ligatures w14:val="standardContextual"/>
        </w:rPr>
      </w:pPr>
      <w:hyperlink w:anchor="_Toc181374144" w:history="1">
        <w:r w:rsidRPr="00451D28">
          <w:rPr>
            <w:rStyle w:val="Hipervnculo"/>
            <w:rFonts w:cstheme="majorHAnsi"/>
            <w:noProof/>
          </w:rPr>
          <w:t>Anexo No. 3</w:t>
        </w:r>
        <w:r>
          <w:rPr>
            <w:noProof/>
            <w:webHidden/>
          </w:rPr>
          <w:tab/>
        </w:r>
        <w:r>
          <w:rPr>
            <w:noProof/>
            <w:webHidden/>
          </w:rPr>
          <w:fldChar w:fldCharType="begin"/>
        </w:r>
        <w:r>
          <w:rPr>
            <w:noProof/>
            <w:webHidden/>
          </w:rPr>
          <w:instrText xml:space="preserve"> PAGEREF _Toc181374144 \h </w:instrText>
        </w:r>
        <w:r>
          <w:rPr>
            <w:noProof/>
            <w:webHidden/>
          </w:rPr>
        </w:r>
        <w:r>
          <w:rPr>
            <w:noProof/>
            <w:webHidden/>
          </w:rPr>
          <w:fldChar w:fldCharType="separate"/>
        </w:r>
        <w:r>
          <w:rPr>
            <w:noProof/>
            <w:webHidden/>
          </w:rPr>
          <w:t>173</w:t>
        </w:r>
        <w:r>
          <w:rPr>
            <w:noProof/>
            <w:webHidden/>
          </w:rPr>
          <w:fldChar w:fldCharType="end"/>
        </w:r>
      </w:hyperlink>
    </w:p>
    <w:p w14:paraId="4DBED762" w14:textId="0482DCD8" w:rsidR="00DC27E8" w:rsidRPr="00B24A80" w:rsidRDefault="008D2E7A" w:rsidP="00570627">
      <w:pPr>
        <w:tabs>
          <w:tab w:val="center" w:pos="4249"/>
        </w:tabs>
        <w:rPr>
          <w:rFonts w:asciiTheme="majorHAnsi" w:hAnsiTheme="majorHAnsi" w:cstheme="majorHAnsi"/>
          <w:sz w:val="22"/>
          <w:szCs w:val="22"/>
        </w:rPr>
      </w:pPr>
      <w:r w:rsidRPr="00B24A80">
        <w:rPr>
          <w:rFonts w:asciiTheme="majorHAnsi" w:hAnsiTheme="majorHAnsi" w:cstheme="majorHAnsi"/>
          <w:sz w:val="22"/>
          <w:szCs w:val="22"/>
        </w:rPr>
        <w:fldChar w:fldCharType="end"/>
      </w:r>
      <w:r w:rsidR="008E0748" w:rsidRPr="00B24A80">
        <w:rPr>
          <w:rFonts w:asciiTheme="majorHAnsi" w:eastAsia="Calibri" w:hAnsiTheme="majorHAnsi" w:cstheme="majorHAnsi"/>
          <w:noProof/>
          <w:sz w:val="22"/>
          <w:szCs w:val="22"/>
          <w:lang w:val="es-EC" w:eastAsia="es-EC"/>
        </w:rPr>
        <mc:AlternateContent>
          <mc:Choice Requires="wps">
            <w:drawing>
              <wp:anchor distT="0" distB="0" distL="114300" distR="114300" simplePos="0" relativeHeight="251667456" behindDoc="0" locked="0" layoutInCell="1" allowOverlap="1" wp14:anchorId="4FA91EB8" wp14:editId="5C76D39E">
                <wp:simplePos x="0" y="0"/>
                <wp:positionH relativeFrom="column">
                  <wp:posOffset>4867250</wp:posOffset>
                </wp:positionH>
                <wp:positionV relativeFrom="paragraph">
                  <wp:posOffset>1861820</wp:posOffset>
                </wp:positionV>
                <wp:extent cx="990600" cy="10287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990600" cy="10287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3396" id="Rectángulo 16" o:spid="_x0000_s1026" style="position:absolute;margin-left:383.25pt;margin-top:146.6pt;width:78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" fillcolor="white [3212]" strokecolor="white [3212]" strokeweight="2pt"/>
            </w:pict>
          </mc:Fallback>
        </mc:AlternateContent>
      </w:r>
      <w:r w:rsidR="007F5505" w:rsidRPr="00B24A80">
        <w:rPr>
          <w:rFonts w:asciiTheme="majorHAnsi" w:hAnsiTheme="majorHAnsi" w:cstheme="majorHAnsi"/>
          <w:sz w:val="22"/>
          <w:szCs w:val="22"/>
        </w:rPr>
        <w:br w:type="page"/>
      </w:r>
    </w:p>
    <w:p w14:paraId="0BEDEABC" w14:textId="77777777" w:rsidR="00DC27E8" w:rsidRPr="00B24A80" w:rsidRDefault="007F5505" w:rsidP="00C804CD">
      <w:pPr>
        <w:pStyle w:val="Ttulo1"/>
        <w:rPr>
          <w:rFonts w:cstheme="majorHAnsi"/>
          <w:sz w:val="22"/>
          <w:szCs w:val="22"/>
        </w:rPr>
      </w:pPr>
      <w:bookmarkStart w:id="1" w:name="_Toc65711684"/>
      <w:bookmarkStart w:id="2" w:name="_Toc81085622"/>
      <w:bookmarkStart w:id="3" w:name="_Toc181374060"/>
      <w:r w:rsidRPr="00B24A80">
        <w:rPr>
          <w:rFonts w:cstheme="majorHAnsi"/>
          <w:sz w:val="22"/>
          <w:szCs w:val="22"/>
        </w:rPr>
        <w:lastRenderedPageBreak/>
        <w:t>EXPOSICIÓN DE MOTIVOS:</w:t>
      </w:r>
      <w:bookmarkEnd w:id="1"/>
      <w:bookmarkEnd w:id="2"/>
      <w:bookmarkEnd w:id="3"/>
    </w:p>
    <w:p w14:paraId="4152DA81" w14:textId="77777777" w:rsidR="00DC27E8" w:rsidRPr="00B24A80" w:rsidRDefault="00DC27E8">
      <w:pPr>
        <w:widowControl/>
        <w:pBdr>
          <w:top w:val="nil"/>
          <w:left w:val="nil"/>
          <w:bottom w:val="nil"/>
          <w:right w:val="nil"/>
          <w:between w:val="nil"/>
        </w:pBdr>
        <w:spacing w:line="276" w:lineRule="auto"/>
        <w:ind w:right="-100"/>
        <w:jc w:val="center"/>
        <w:rPr>
          <w:rFonts w:asciiTheme="majorHAnsi" w:eastAsia="Calibri" w:hAnsiTheme="majorHAnsi" w:cstheme="majorHAnsi"/>
          <w:b/>
          <w:color w:val="000000"/>
          <w:sz w:val="22"/>
          <w:szCs w:val="22"/>
        </w:rPr>
      </w:pPr>
    </w:p>
    <w:p w14:paraId="04A381C1" w14:textId="77777777" w:rsidR="004313C9" w:rsidRPr="00B24A80" w:rsidRDefault="004313C9">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Constitución de la República establece que los ciudadanos tienen derecho al disfrute pleno de la ciudad y de sus espacios públicos, bajo los principios de sustentabilidad, justicia social, respeto a las diferentes culturas urbanas y equilibrio entre lo urbano y lo rural; y garantiza a las comunas, comunidades, pueblos y nacionalidades indígenas, los derechos colectivos a conservar la propiedad Imprescriptible de sus tierras comunitarias, que serán inalienables, inembargables e indivisibles; a mantener la posesión de las tierras y territorios ancestrales y obtener su adjudicación gratuita; a participar en el uso, usufructo, administración y conservación de los recursos naturales renovables que se hallen en sus tierras; y, a conservar y desarrollar sus propias formas de convivencia y organización social, y degeneración y ejercicio de la autoridad. </w:t>
      </w:r>
    </w:p>
    <w:p w14:paraId="58A2DFF0" w14:textId="39797C54" w:rsidR="00DC27E8" w:rsidRPr="00B24A80" w:rsidRDefault="007F5505">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El artículo 1 de la Constitución de la República reconoce al Ecuador como Estado constitucional de derechos y de justicia, esto es que la Constitución, además de regular la organización del poder y las fuentes del Derecho, genera de modo directo derechos y obligaciones inmediatamente exigibles, su eficacia ya no depende de la interposición de ninguna voluntad legislativa, sino que es directa e inmediata.</w:t>
      </w:r>
    </w:p>
    <w:p w14:paraId="7B75F0CC" w14:textId="77777777" w:rsidR="00DC27E8" w:rsidRPr="00B24A80" w:rsidRDefault="007F5505">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Conforme al artículo 238 de la Constitución de la República del Ecuador, los gobiernos autónomos descentralizados gozan de autonomía política, administrativa y financiera…, en tanto que el artículo 240 reconoce a los gobiernos autónomos descentralizados el ejercicio de la facultad legislativa en el ámbito de sus competencias y su jurisdicción territorial, con lo cual los concejos cantonales están investidos de capacidad jurídica para dictar normas de interés y aplicación obligatoria dentro de su jurisdicción.</w:t>
      </w:r>
    </w:p>
    <w:p w14:paraId="76A3B08D" w14:textId="77777777" w:rsidR="00DC27E8" w:rsidRPr="00B24A80" w:rsidRDefault="007F5505">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La Constitución de la República, el Código Orgánico de Organización Territorial, Autonomía y Descentralización,  el Código Orgánico de Planificación y Finanzas Públicas, y la Ley Orgánica de Uso y gestión de Suelo, determinan que los gobiernos municipales deben ejercer su competencia exclusiva de planificar el desarrollo y el ordenamiento territorial, así como controlar el uso y ocupación del suelo, para lo cual debe contar con la participación activa y organizada de la ciudadanía por intermedio de sus representantes.</w:t>
      </w:r>
    </w:p>
    <w:p w14:paraId="00B9078A" w14:textId="77777777" w:rsidR="00DC27E8" w:rsidRPr="00B24A80" w:rsidRDefault="007F5505">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En los componentes de los Plan de Desarrollo y Ordenamiento Territorial, se deben priorizar todos aquellos aspectos que son de trascendencia para el desarrollo Cantonal, por ello es necesario que la que la planificación guarde armonía y coherencia con la planificación de los distintos niveles de gobierno a fin de asegurar que todas las instituciones desarrollen sus actividades en la misma orientación y evitar la dispersión o duplicación de recursos, en el marco de las competencias y atribuciones de cada nivel de gobierno.</w:t>
      </w:r>
    </w:p>
    <w:p w14:paraId="4E07FAC2" w14:textId="08EDDF7C" w:rsidR="00DC27E8" w:rsidRPr="00B24A80" w:rsidRDefault="007F5505" w:rsidP="00F4271D">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Es competencia privativa de los gobiernos municipales la regulación del uso y ocupación del suelo, en cuyo caso los demás niveles de gobierno deben respetar esas decisiones municipales, las que deben gozar de legitimidad expresada a través de los espacios de participación ciud</w:t>
      </w:r>
      <w:r w:rsidR="00EE2083" w:rsidRPr="00B24A80">
        <w:rPr>
          <w:rFonts w:asciiTheme="majorHAnsi" w:eastAsia="Calibri" w:hAnsiTheme="majorHAnsi" w:cstheme="majorHAnsi"/>
          <w:sz w:val="22"/>
          <w:szCs w:val="22"/>
        </w:rPr>
        <w:t>adana como es el caso del Conc</w:t>
      </w:r>
      <w:r w:rsidRPr="00B24A80">
        <w:rPr>
          <w:rFonts w:asciiTheme="majorHAnsi" w:eastAsia="Calibri" w:hAnsiTheme="majorHAnsi" w:cstheme="majorHAnsi"/>
          <w:sz w:val="22"/>
          <w:szCs w:val="22"/>
        </w:rPr>
        <w:t>ejo Cantonal de Planificación.</w:t>
      </w:r>
    </w:p>
    <w:p w14:paraId="108EC3E9" w14:textId="517D1DBF" w:rsidR="00DC27E8" w:rsidRPr="00B24A80" w:rsidRDefault="001B1E11">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 xml:space="preserve">  </w:t>
      </w:r>
      <w:r w:rsidR="007F5505" w:rsidRPr="00B24A80">
        <w:rPr>
          <w:rFonts w:asciiTheme="majorHAnsi" w:eastAsia="Calibri" w:hAnsiTheme="majorHAnsi" w:cstheme="majorHAnsi"/>
          <w:sz w:val="22"/>
          <w:szCs w:val="22"/>
        </w:rPr>
        <w:t xml:space="preserve">Una adecuada y eficaz planificación del desarrollo, que goce de legitimidad expresada por los distintos actores sociales, son de mucha trascendencia local; sin embargo, esa participación ciudadana debe ser ordenada y organizada para evitar confusiones y caos, acorde con la realidad cantonal, en cuyo propósito se hace indispensable expedir normas regulatorias locales, con base en la normativa constitucional y legal aplicable al caso concreto. </w:t>
      </w:r>
    </w:p>
    <w:p w14:paraId="4FFE696E" w14:textId="77777777" w:rsidR="00DC27E8" w:rsidRPr="00B24A80" w:rsidRDefault="007F5505">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Es necesario entre otros aspectos estructurales dar respuesta a la emergencia a través de una real Planificación y los componentes del Plan de Desarrollo y Ordenamiento Territorial, con el objeto de garantizar los derechos de las personas, por lo que se propone un Plan que responda a las realidades cantonales en su situación actual y de forma prospectiva hasta tanto se supere la pandemia.</w:t>
      </w:r>
    </w:p>
    <w:p w14:paraId="68E8B16F" w14:textId="651EB3BD" w:rsidR="00F4271D" w:rsidRPr="00B24A80" w:rsidRDefault="007F5505" w:rsidP="00F4271D">
      <w:pPr>
        <w:spacing w:before="28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Es obligación primordial de las municipalidades procurar el bienestar material de la colectividad, así como contribuir al fomento y protección de los intereses locales, criterio que debe primar en el concejo municipal al momento de dictar las normas relativas al ejercicio de sus competencias exclusivas y concurrentes.</w:t>
      </w:r>
    </w:p>
    <w:p w14:paraId="65E248C7" w14:textId="77777777" w:rsidR="00F4271D" w:rsidRPr="00B24A80" w:rsidRDefault="00F4271D">
      <w:pPr>
        <w:rPr>
          <w:rFonts w:asciiTheme="majorHAnsi" w:eastAsia="Calibri" w:hAnsiTheme="majorHAnsi" w:cstheme="majorHAnsi"/>
          <w:sz w:val="22"/>
          <w:szCs w:val="22"/>
        </w:rPr>
      </w:pPr>
      <w:r w:rsidRPr="00B24A80">
        <w:rPr>
          <w:rFonts w:asciiTheme="majorHAnsi" w:eastAsia="Calibri" w:hAnsiTheme="majorHAnsi" w:cstheme="majorHAnsi"/>
          <w:sz w:val="22"/>
          <w:szCs w:val="22"/>
        </w:rPr>
        <w:br w:type="page"/>
      </w:r>
    </w:p>
    <w:p w14:paraId="41EBE197" w14:textId="77777777" w:rsidR="00DC27E8" w:rsidRPr="00B24A80" w:rsidRDefault="00DC27E8">
      <w:pPr>
        <w:widowControl/>
        <w:spacing w:line="276" w:lineRule="auto"/>
        <w:ind w:right="-100"/>
        <w:jc w:val="center"/>
        <w:rPr>
          <w:rFonts w:asciiTheme="majorHAnsi" w:eastAsia="Calibri" w:hAnsiTheme="majorHAnsi" w:cstheme="majorHAnsi"/>
          <w:b/>
          <w:color w:val="000000"/>
          <w:sz w:val="22"/>
          <w:szCs w:val="22"/>
        </w:rPr>
      </w:pPr>
    </w:p>
    <w:p w14:paraId="113A37C6" w14:textId="7878587E" w:rsidR="00DC27E8" w:rsidRPr="00B24A80" w:rsidRDefault="007F5505">
      <w:pPr>
        <w:widowControl/>
        <w:spacing w:line="276" w:lineRule="auto"/>
        <w:ind w:right="-100"/>
        <w:jc w:val="center"/>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EL CONCEJO </w:t>
      </w:r>
      <w:r w:rsidR="00CD4F27" w:rsidRPr="00B24A80">
        <w:rPr>
          <w:rFonts w:asciiTheme="majorHAnsi" w:eastAsia="Calibri" w:hAnsiTheme="majorHAnsi" w:cstheme="majorHAnsi"/>
          <w:b/>
          <w:color w:val="000000"/>
          <w:sz w:val="22"/>
          <w:szCs w:val="22"/>
        </w:rPr>
        <w:t>MUNICIPAL</w:t>
      </w:r>
      <w:r w:rsidR="00E21C13" w:rsidRPr="00B24A80">
        <w:rPr>
          <w:rFonts w:asciiTheme="majorHAnsi" w:eastAsia="Calibri" w:hAnsiTheme="majorHAnsi" w:cstheme="majorHAnsi"/>
          <w:b/>
          <w:color w:val="000000"/>
          <w:sz w:val="22"/>
          <w:szCs w:val="22"/>
        </w:rPr>
        <w:t xml:space="preserve"> </w:t>
      </w:r>
      <w:r w:rsidR="00CD4F27" w:rsidRPr="00B24A80">
        <w:rPr>
          <w:rFonts w:asciiTheme="majorHAnsi" w:eastAsia="Calibri" w:hAnsiTheme="majorHAnsi" w:cstheme="majorHAnsi"/>
          <w:b/>
          <w:color w:val="000000"/>
          <w:sz w:val="22"/>
          <w:szCs w:val="22"/>
        </w:rPr>
        <w:t xml:space="preserve">DEL GOBIERNO </w:t>
      </w:r>
      <w:r w:rsidRPr="00B24A80">
        <w:rPr>
          <w:rFonts w:asciiTheme="majorHAnsi" w:eastAsia="Calibri" w:hAnsiTheme="majorHAnsi" w:cstheme="majorHAnsi"/>
          <w:b/>
          <w:sz w:val="22"/>
          <w:szCs w:val="22"/>
        </w:rPr>
        <w:t>AUTÓNOMO</w:t>
      </w:r>
      <w:r w:rsidRPr="00B24A80">
        <w:rPr>
          <w:rFonts w:asciiTheme="majorHAnsi" w:eastAsia="Calibri" w:hAnsiTheme="majorHAnsi" w:cstheme="majorHAnsi"/>
          <w:b/>
          <w:color w:val="000000"/>
          <w:sz w:val="22"/>
          <w:szCs w:val="22"/>
        </w:rPr>
        <w:t xml:space="preserve"> DESCENTRALIZADO DEL CANTÓN </w:t>
      </w:r>
      <w:r w:rsidR="00BB63D4" w:rsidRPr="00B24A80">
        <w:rPr>
          <w:rFonts w:asciiTheme="majorHAnsi" w:eastAsia="Calibri" w:hAnsiTheme="majorHAnsi" w:cstheme="majorHAnsi"/>
          <w:b/>
          <w:color w:val="000000"/>
          <w:sz w:val="22"/>
          <w:szCs w:val="22"/>
        </w:rPr>
        <w:t>LA JOYA DE LOS SACHAS</w:t>
      </w:r>
      <w:r w:rsidRPr="00B24A80">
        <w:rPr>
          <w:rFonts w:asciiTheme="majorHAnsi" w:eastAsia="Calibri" w:hAnsiTheme="majorHAnsi" w:cstheme="majorHAnsi"/>
          <w:b/>
          <w:color w:val="000000"/>
          <w:sz w:val="22"/>
          <w:szCs w:val="22"/>
        </w:rPr>
        <w:t>.</w:t>
      </w:r>
    </w:p>
    <w:p w14:paraId="017A5936" w14:textId="77777777" w:rsidR="00DC27E8" w:rsidRPr="00B24A80" w:rsidRDefault="00DC27E8">
      <w:pPr>
        <w:widowControl/>
        <w:spacing w:line="276" w:lineRule="auto"/>
        <w:ind w:right="-100"/>
        <w:rPr>
          <w:rFonts w:asciiTheme="majorHAnsi" w:eastAsia="Calibri" w:hAnsiTheme="majorHAnsi" w:cstheme="majorHAnsi"/>
          <w:sz w:val="22"/>
          <w:szCs w:val="22"/>
        </w:rPr>
      </w:pPr>
    </w:p>
    <w:p w14:paraId="4DBD1B86" w14:textId="77777777" w:rsidR="00DC27E8" w:rsidRPr="00B24A80" w:rsidRDefault="00DC27E8">
      <w:pPr>
        <w:widowControl/>
        <w:spacing w:line="276" w:lineRule="auto"/>
        <w:ind w:right="-100"/>
        <w:rPr>
          <w:rFonts w:asciiTheme="majorHAnsi" w:eastAsia="Calibri" w:hAnsiTheme="majorHAnsi" w:cstheme="majorHAnsi"/>
          <w:sz w:val="22"/>
          <w:szCs w:val="22"/>
        </w:rPr>
      </w:pPr>
    </w:p>
    <w:p w14:paraId="6AD5B247" w14:textId="77777777" w:rsidR="00DC27E8" w:rsidRPr="00B24A80" w:rsidRDefault="007F5505">
      <w:pPr>
        <w:widowControl/>
        <w:pBdr>
          <w:top w:val="nil"/>
          <w:left w:val="nil"/>
          <w:bottom w:val="nil"/>
          <w:right w:val="nil"/>
          <w:between w:val="nil"/>
        </w:pBdr>
        <w:spacing w:line="276" w:lineRule="auto"/>
        <w:ind w:right="-100"/>
        <w:jc w:val="center"/>
        <w:rPr>
          <w:rFonts w:asciiTheme="majorHAnsi" w:eastAsia="Calibri" w:hAnsiTheme="majorHAnsi" w:cstheme="majorHAnsi"/>
          <w:b/>
          <w:color w:val="000000"/>
          <w:sz w:val="22"/>
          <w:szCs w:val="22"/>
        </w:rPr>
      </w:pPr>
      <w:bookmarkStart w:id="4" w:name="_heading=h.30j0zll" w:colFirst="0" w:colLast="0"/>
      <w:bookmarkEnd w:id="4"/>
      <w:r w:rsidRPr="00B24A80">
        <w:rPr>
          <w:rFonts w:asciiTheme="majorHAnsi" w:eastAsia="Calibri" w:hAnsiTheme="majorHAnsi" w:cstheme="majorHAnsi"/>
          <w:b/>
          <w:color w:val="000000"/>
          <w:sz w:val="22"/>
          <w:szCs w:val="22"/>
        </w:rPr>
        <w:t>CONSIDERANDO:</w:t>
      </w:r>
    </w:p>
    <w:p w14:paraId="232547DA" w14:textId="77777777" w:rsidR="00DC27E8" w:rsidRPr="00B24A80" w:rsidRDefault="00DC27E8">
      <w:pPr>
        <w:widowControl/>
        <w:spacing w:line="276" w:lineRule="auto"/>
        <w:ind w:right="-100"/>
        <w:jc w:val="center"/>
        <w:rPr>
          <w:rFonts w:asciiTheme="majorHAnsi" w:eastAsia="Calibri" w:hAnsiTheme="majorHAnsi" w:cstheme="majorHAnsi"/>
          <w:sz w:val="22"/>
          <w:szCs w:val="22"/>
        </w:rPr>
      </w:pPr>
    </w:p>
    <w:p w14:paraId="68424BFC" w14:textId="6364C8DA" w:rsidR="00DC27E8" w:rsidRPr="00B24A80" w:rsidRDefault="007F5505" w:rsidP="001C091C">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w:t>
      </w:r>
      <w:r w:rsidR="001C091C" w:rsidRPr="00B24A80">
        <w:rPr>
          <w:rFonts w:asciiTheme="majorHAnsi" w:eastAsia="Calibri" w:hAnsiTheme="majorHAnsi" w:cstheme="majorHAnsi"/>
          <w:sz w:val="22"/>
          <w:szCs w:val="22"/>
        </w:rPr>
        <w:t>la Constitución de la República del Ecuador, los numerales 5 y 6, en el artículo 3,</w:t>
      </w:r>
      <w:r w:rsidR="009D564A">
        <w:rPr>
          <w:rFonts w:asciiTheme="majorHAnsi" w:eastAsia="Calibri" w:hAnsiTheme="majorHAnsi" w:cstheme="majorHAnsi"/>
          <w:sz w:val="22"/>
          <w:szCs w:val="22"/>
        </w:rPr>
        <w:t xml:space="preserve"> </w:t>
      </w:r>
      <w:r w:rsidR="001C091C" w:rsidRPr="00B24A80">
        <w:rPr>
          <w:rFonts w:asciiTheme="majorHAnsi" w:eastAsia="Calibri" w:hAnsiTheme="majorHAnsi" w:cstheme="majorHAnsi"/>
          <w:sz w:val="22"/>
          <w:szCs w:val="22"/>
        </w:rPr>
        <w:t>establece que son deberes primordiales del Estado: “(...) 5. Planificar el desarrollo</w:t>
      </w:r>
      <w:r w:rsidR="009D564A">
        <w:rPr>
          <w:rFonts w:asciiTheme="majorHAnsi" w:eastAsia="Calibri" w:hAnsiTheme="majorHAnsi" w:cstheme="majorHAnsi"/>
          <w:sz w:val="22"/>
          <w:szCs w:val="22"/>
        </w:rPr>
        <w:t xml:space="preserve"> </w:t>
      </w:r>
      <w:r w:rsidR="001C091C" w:rsidRPr="00B24A80">
        <w:rPr>
          <w:rFonts w:asciiTheme="majorHAnsi" w:eastAsia="Calibri" w:hAnsiTheme="majorHAnsi" w:cstheme="majorHAnsi"/>
          <w:sz w:val="22"/>
          <w:szCs w:val="22"/>
        </w:rPr>
        <w:t>nacional, erradicar la pobreza, promover el desarrollo sustentable y la redistribución</w:t>
      </w:r>
      <w:r w:rsidR="009D564A">
        <w:rPr>
          <w:rFonts w:asciiTheme="majorHAnsi" w:eastAsia="Calibri" w:hAnsiTheme="majorHAnsi" w:cstheme="majorHAnsi"/>
          <w:sz w:val="22"/>
          <w:szCs w:val="22"/>
        </w:rPr>
        <w:t xml:space="preserve"> </w:t>
      </w:r>
      <w:r w:rsidR="001C091C" w:rsidRPr="00B24A80">
        <w:rPr>
          <w:rFonts w:asciiTheme="majorHAnsi" w:eastAsia="Calibri" w:hAnsiTheme="majorHAnsi" w:cstheme="majorHAnsi"/>
          <w:sz w:val="22"/>
          <w:szCs w:val="22"/>
        </w:rPr>
        <w:t>equitativa de los recursos y la riqueza, para acceder al buen vivir. 6. “Promover el</w:t>
      </w:r>
      <w:r w:rsidR="009D564A">
        <w:rPr>
          <w:rFonts w:asciiTheme="majorHAnsi" w:eastAsia="Calibri" w:hAnsiTheme="majorHAnsi" w:cstheme="majorHAnsi"/>
          <w:sz w:val="22"/>
          <w:szCs w:val="22"/>
        </w:rPr>
        <w:t xml:space="preserve"> </w:t>
      </w:r>
      <w:r w:rsidR="001C091C" w:rsidRPr="00B24A80">
        <w:rPr>
          <w:rFonts w:asciiTheme="majorHAnsi" w:eastAsia="Calibri" w:hAnsiTheme="majorHAnsi" w:cstheme="majorHAnsi"/>
          <w:sz w:val="22"/>
          <w:szCs w:val="22"/>
        </w:rPr>
        <w:t>desarrollo equitativo y solidario de todo el territorio, mediante el fortalecimiento del</w:t>
      </w:r>
      <w:r w:rsidR="009D564A">
        <w:rPr>
          <w:rFonts w:asciiTheme="majorHAnsi" w:eastAsia="Calibri" w:hAnsiTheme="majorHAnsi" w:cstheme="majorHAnsi"/>
          <w:sz w:val="22"/>
          <w:szCs w:val="22"/>
        </w:rPr>
        <w:t xml:space="preserve"> </w:t>
      </w:r>
      <w:r w:rsidR="001C091C" w:rsidRPr="00B24A80">
        <w:rPr>
          <w:rFonts w:asciiTheme="majorHAnsi" w:eastAsia="Calibri" w:hAnsiTheme="majorHAnsi" w:cstheme="majorHAnsi"/>
          <w:sz w:val="22"/>
          <w:szCs w:val="22"/>
        </w:rPr>
        <w:t>proceso de autonomías y descentralización”;</w:t>
      </w:r>
    </w:p>
    <w:p w14:paraId="47D8B2D8" w14:textId="67E7824C" w:rsidR="00DC27E8" w:rsidRPr="00B24A80" w:rsidRDefault="007F5505">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artículo 31 de la Constitución de la República del Ecuador, garantiza que: “Las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w:t>
      </w:r>
    </w:p>
    <w:p w14:paraId="377E7D72" w14:textId="3C490991" w:rsidR="001C091C" w:rsidRPr="00B24A80" w:rsidRDefault="001C091C" w:rsidP="001C091C">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numeral 2 del artículo 66 de la Constitución de la República del Ecuador, reconoce y garantiza a las personas: "El derecho a una vida digna, que asegure la salud, alimentación y nutrición, agua potable, vivienda, saneamiento ambiental, educación, trabajo, empleo, descanso y ocio, cultura física, vestido, </w:t>
      </w:r>
      <w:r w:rsidR="000A2EED" w:rsidRPr="00B24A80">
        <w:rPr>
          <w:rFonts w:asciiTheme="majorHAnsi" w:eastAsia="Calibri" w:hAnsiTheme="majorHAnsi" w:cstheme="majorHAnsi"/>
          <w:sz w:val="22"/>
          <w:szCs w:val="22"/>
        </w:rPr>
        <w:t>seguridad y otros servicios sociales</w:t>
      </w:r>
      <w:r w:rsidRPr="00B24A80">
        <w:rPr>
          <w:rFonts w:asciiTheme="majorHAnsi" w:eastAsia="Calibri" w:hAnsiTheme="majorHAnsi" w:cstheme="majorHAnsi"/>
          <w:sz w:val="22"/>
          <w:szCs w:val="22"/>
        </w:rPr>
        <w:t xml:space="preserve"> necesarios.";</w:t>
      </w:r>
    </w:p>
    <w:p w14:paraId="645DD71E" w14:textId="2F04C0F6" w:rsidR="00DC27E8" w:rsidRPr="00B24A80" w:rsidRDefault="007F5505">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en los artículos 57 numerales 4, 5 y 6, 58 y 59 de la Constitución se reconoce y garantiza a las comunas, comunidades, pueblos y nacionalidades indígenas, pueblo afroecuatoriano y pueblos montubios, los derechos colectivos a conservar la propiedad imprescriptible de sus tierras comunitarias, que serán inalienables, inembargables e indivisibles; a mantener la posesión de las tierras y territorios ancestrales y obtener su adjudicación gratuita; y a participar en el uso, usufructo, administración y conservación de los recursos naturales renovables que se hallen en sus tierras;</w:t>
      </w:r>
    </w:p>
    <w:p w14:paraId="1E243EDA" w14:textId="72D61AA2" w:rsidR="001C091C" w:rsidRPr="00B24A80" w:rsidRDefault="001C091C" w:rsidP="001C091C">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la Constitución de la República del Ecuador, en el artículo 238, establece: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consejos provinciales y los consejos regionales”;</w:t>
      </w:r>
    </w:p>
    <w:p w14:paraId="05A0A0CA" w14:textId="77777777" w:rsidR="00DC27E8" w:rsidRPr="00B24A80" w:rsidRDefault="007F5505">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w:t>
      </w:r>
      <w:r w:rsidRPr="00B24A80">
        <w:rPr>
          <w:rFonts w:asciiTheme="majorHAnsi" w:eastAsia="Calibri" w:hAnsiTheme="majorHAnsi" w:cstheme="majorHAnsi"/>
          <w:b/>
          <w:sz w:val="22"/>
          <w:szCs w:val="22"/>
        </w:rPr>
        <w:t xml:space="preserve"> </w:t>
      </w:r>
      <w:r w:rsidRPr="00B24A80">
        <w:rPr>
          <w:rFonts w:asciiTheme="majorHAnsi" w:eastAsia="Calibri" w:hAnsiTheme="majorHAnsi" w:cstheme="majorHAnsi"/>
          <w:sz w:val="22"/>
          <w:szCs w:val="22"/>
        </w:rPr>
        <w:t>95 ibídem, faculta a las ciudadanas y ciudadanos, en forma individual y colectiva, participar de manera protagónica en la toma de decisiones, planificación y gestión de los asuntos públicos, y en el control popular de las instituciones del Estado y la sociedad, y de sus representantes, en un proceso permanente de construcción del poder ciudadano.;</w:t>
      </w:r>
    </w:p>
    <w:p w14:paraId="39D218E0" w14:textId="77777777" w:rsidR="00DC27E8" w:rsidRPr="00B24A80" w:rsidRDefault="007F5505">
      <w:pPr>
        <w:spacing w:after="246"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lastRenderedPageBreak/>
        <w:t xml:space="preserve">Que, </w:t>
      </w:r>
      <w:r w:rsidRPr="00B24A80">
        <w:rPr>
          <w:rFonts w:asciiTheme="majorHAnsi" w:eastAsia="Calibri" w:hAnsiTheme="majorHAnsi" w:cstheme="majorHAnsi"/>
          <w:color w:val="000000"/>
          <w:sz w:val="22"/>
          <w:szCs w:val="22"/>
        </w:rPr>
        <w:t>el Art.</w:t>
      </w:r>
      <w:r w:rsidRPr="00B24A80">
        <w:rPr>
          <w:rFonts w:asciiTheme="majorHAnsi" w:eastAsia="Calibri" w:hAnsiTheme="majorHAnsi" w:cstheme="majorHAnsi"/>
          <w:b/>
          <w:color w:val="000000"/>
          <w:sz w:val="22"/>
          <w:szCs w:val="22"/>
        </w:rPr>
        <w:t xml:space="preserve"> </w:t>
      </w:r>
      <w:r w:rsidRPr="00B24A80">
        <w:rPr>
          <w:rFonts w:asciiTheme="majorHAnsi" w:eastAsia="Calibri" w:hAnsiTheme="majorHAnsi" w:cstheme="majorHAnsi"/>
          <w:color w:val="000000"/>
          <w:sz w:val="22"/>
          <w:szCs w:val="22"/>
        </w:rPr>
        <w:t>241 del cuerpo constitucional referido, establece que la planificación garantizará el ordenamiento territorial y será obligatoria en todos los gobiernos autónomos descentralizados;</w:t>
      </w:r>
    </w:p>
    <w:p w14:paraId="4C110970"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w:t>
      </w:r>
      <w:r w:rsidRPr="00B24A80">
        <w:rPr>
          <w:rFonts w:asciiTheme="majorHAnsi" w:eastAsia="Calibri" w:hAnsiTheme="majorHAnsi" w:cstheme="majorHAnsi"/>
          <w:b/>
          <w:sz w:val="22"/>
          <w:szCs w:val="22"/>
        </w:rPr>
        <w:t xml:space="preserve"> </w:t>
      </w:r>
      <w:r w:rsidRPr="00B24A80">
        <w:rPr>
          <w:rFonts w:asciiTheme="majorHAnsi" w:eastAsia="Calibri" w:hAnsiTheme="majorHAnsi" w:cstheme="majorHAnsi"/>
          <w:sz w:val="22"/>
          <w:szCs w:val="22"/>
        </w:rPr>
        <w:t>264 de la Constitución de la República determina como competencia de los gobiernos municipales entre otras: 1.- “Planificar el desarrollo cantonal y formular los correspondientes planes de ordenamiento territorial, de manera articulada con la planificación nacional, regional, provincial y parroquial, con el fin de regular el uso y la ocupación del suelo urbano y rural”. 2.- “Ejercer el control sobre el uso y ocupación del suelo en el cantón.”, para cuyo efecto expedirán ordenanzas cantonales;</w:t>
      </w:r>
    </w:p>
    <w:p w14:paraId="44A3F324" w14:textId="77777777" w:rsidR="00DC27E8" w:rsidRPr="00B24A80" w:rsidRDefault="007F5505">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275 de la Constitución de la República del Ecuador, establece que: “La planificación propiciará la equidad social y territorial, promoverá la concertación, y será participativa, descentralizada, desconcentrada y transparente. (...)”; </w:t>
      </w:r>
    </w:p>
    <w:p w14:paraId="61CF1DEC" w14:textId="77777777" w:rsidR="00DC27E8" w:rsidRPr="00B24A80" w:rsidRDefault="007F5505">
      <w:pPr>
        <w:widowControl/>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artículo 276, número 4, de la Constitución de la República del Ecuador, establece que uno de los objetivos del régimen de desarrollo será recuperar y conservar la naturaleza y mantener un ambiente sano y sustentable que garantice a las personas y colectividades el acceso equitativo, permanente y de calidad al agua, aire y suelo, y a los beneficios de los recursos del subsuelo y del patrimonio natural;</w:t>
      </w:r>
    </w:p>
    <w:p w14:paraId="7C0E0B1B"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numeral 6 del artículo 276 de la Constitución de la República del Ecuador, establece que el régimen de desarrollo tendrá los siguientes objetivos: “Promover un ordenamiento territorial equilibrado y equitativo que integre y articule las actividades socioculturales, administrativas, económicas y de gestión, y que coadyuve a la unidad del Estado.”; </w:t>
      </w:r>
    </w:p>
    <w:p w14:paraId="41CCF37C"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artículo 282 de la Constitución establece que el Estado normará el uso y acceso a la tierra que deberá cumplir la función social y ambiental y que un fondo nacional de tierra, establecido por ley, regulará el acceso equitativo de campesinos y campesinas a la misma, además, que se prohíbe el latifundio y la concentración de la tierra;</w:t>
      </w:r>
    </w:p>
    <w:p w14:paraId="6EA5AC71" w14:textId="53EF2B32"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 xml:space="preserve">el artículo 323 de la Constitución dispone </w:t>
      </w:r>
      <w:r w:rsidR="00211303" w:rsidRPr="00B24A80">
        <w:rPr>
          <w:rFonts w:asciiTheme="majorHAnsi" w:eastAsia="Calibri" w:hAnsiTheme="majorHAnsi" w:cstheme="majorHAnsi"/>
          <w:sz w:val="22"/>
          <w:szCs w:val="22"/>
        </w:rPr>
        <w:t>que,</w:t>
      </w:r>
      <w:r w:rsidRPr="00B24A80">
        <w:rPr>
          <w:rFonts w:asciiTheme="majorHAnsi" w:eastAsia="Calibri" w:hAnsiTheme="majorHAnsi" w:cstheme="majorHAnsi"/>
          <w:sz w:val="22"/>
          <w:szCs w:val="22"/>
        </w:rPr>
        <w:t xml:space="preserve"> con el objeto de ejecutar planes de desarrollo social, manejo sustentable del ambiente y de bienestar colectivo, las instituciones del Estado por razones de utilidad pública o interés social y nacional, podrán declarar la expropiación de bienes, previa justa valoración, indemnización y pago de conformidad con la Ley;</w:t>
      </w:r>
    </w:p>
    <w:p w14:paraId="64D5676E"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375 de la Constitución de la República del Ecuador, manifiesta que: “El Estado, en todos sus niveles de gobierno, garantizará el derecho al hábitat y a la vivienda digna, para lo cual: 1. Generará la información necesaria para el diseño de estrategias y programas que comprendan las relaciones entre vivienda, servicios, espacio y transporte públicos, equipamiento y gestión del suelo urbano. (…) 3. Elaborará, implementará y evaluará políticas, planes y programas de hábitat y de acceso universal a la vivienda, a partir de los principios de universalidad, equidad e interculturalidad, con enfoque en la gestión de riesgos”;</w:t>
      </w:r>
    </w:p>
    <w:p w14:paraId="69EDD4E1"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376 de la Constitución de la República del Ecuador, establece que: “Para hacer efectivo el derecho a la vivienda, al hábitat y a la conservación del ambiente, las municipalidades podrán expropiar, reservar y controlar áreas para el desarrollo futuro, de acuerdo con la ley. Se prohíbe la obtención de beneficios a partir de prácticas especulativas sobre el uso del suelo, en particular por el cambio de uso, de rústico a urbano o de público a privado.”; </w:t>
      </w:r>
    </w:p>
    <w:p w14:paraId="54822187"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lastRenderedPageBreak/>
        <w:t xml:space="preserve">Que, </w:t>
      </w:r>
      <w:r w:rsidRPr="00B24A80">
        <w:rPr>
          <w:rFonts w:asciiTheme="majorHAnsi" w:eastAsia="Calibri" w:hAnsiTheme="majorHAnsi" w:cstheme="majorHAnsi"/>
          <w:sz w:val="22"/>
          <w:szCs w:val="22"/>
        </w:rPr>
        <w:t>el artículo 406 de la Constitución de la República del Ecuador describe que el Estado regulará la conservación, manejo y uso sustentable, recuperación, y limitaciones de dominio de los ecosistemas frágiles y amenazados; entre otros, los páramos, humedales, bosques nublados, bosques tropicales secos y húmedos y manglares, ecosistemas marinos y marinos-costeros;</w:t>
      </w:r>
    </w:p>
    <w:p w14:paraId="1F4D1DF3"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artículo 407 de la Constitución de la República del Ecuador, prohíbe la actividad extractiva de recursos no renovables en las áreas protegidas y en zonas declaradas como intangibles, incluida la explotación forestal. Excepcionalmente dichos recursos se podrán explotar a petición fundamentada de la Presidencia de la República y previa declaratoria de interés nacional por parte de la Asamblea Nacional, que, de estimarlo conveniente, podrá convocar a consulta popular;</w:t>
      </w:r>
    </w:p>
    <w:p w14:paraId="6C82A7F3" w14:textId="7D6266F9"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 xml:space="preserve">los artículos 409 y 410 de la Constitución determinan que es de interés público y prioridad nacional la conservación del suelo, en especial su capa fértil; que se establecerá un marco normativo para su protección y uso sustentable que prevenga su degradación, en particular la provocada por la contaminación, la desertificación y la erosión; y que el Estado brindará a los agricultores y a las comunidades rurales apoyo para la conservación y restauración de los suelos, así como para el desarrollo de prácticas </w:t>
      </w:r>
      <w:r w:rsidR="00A35002">
        <w:rPr>
          <w:rFonts w:asciiTheme="majorHAnsi" w:eastAsia="Calibri" w:hAnsiTheme="majorHAnsi" w:cstheme="majorHAnsi"/>
          <w:sz w:val="22"/>
          <w:szCs w:val="22"/>
        </w:rPr>
        <w:t>rural</w:t>
      </w:r>
      <w:r w:rsidRPr="00B24A80">
        <w:rPr>
          <w:rFonts w:asciiTheme="majorHAnsi" w:eastAsia="Calibri" w:hAnsiTheme="majorHAnsi" w:cstheme="majorHAnsi"/>
          <w:sz w:val="22"/>
          <w:szCs w:val="22"/>
        </w:rPr>
        <w:t>s que los protejan y promuevan la soberanía alimentaria;</w:t>
      </w:r>
    </w:p>
    <w:p w14:paraId="6B7209B7"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el artículo 411 de la Constitución de la República del Ecuador dispone que 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fuentes y zonas de recarga de agua. La sustentabilidad de los ecosistemas y el consumo humano serán prioritarios en el uso y aprovechamiento del agua;</w:t>
      </w:r>
    </w:p>
    <w:p w14:paraId="10EB95D0"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Que, </w:t>
      </w:r>
      <w:r w:rsidRPr="00B24A80">
        <w:rPr>
          <w:rFonts w:asciiTheme="majorHAnsi" w:eastAsia="Calibri" w:hAnsiTheme="majorHAnsi" w:cstheme="majorHAnsi"/>
          <w:sz w:val="22"/>
          <w:szCs w:val="22"/>
        </w:rPr>
        <w:t>el artículo 414 de la Constitución de la República del Ecuador describe que 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14:paraId="38DF086E" w14:textId="595E45E5"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415 de la Constitución de la República del Ecuador, señala que 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 Los gobiernos autónomos descentralizados desarrollarán programas de uso racional del agua, y de reducción reciclaje y tratamiento adecuado de desechos sólidos y líquidos. Se incentivará y facilitará el transporte terrestre no motorizado, en especial mediante el establecimiento de ciclo vías.”;</w:t>
      </w:r>
    </w:p>
    <w:p w14:paraId="10AC3B49" w14:textId="2AEB4C2F" w:rsidR="00F13EC9" w:rsidRPr="00B24A80" w:rsidRDefault="00F13EC9" w:rsidP="00F13EC9">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Código Orgánico de Organización Territorial, Autonomía y Descentralización respecto de su ámbito de aplicación dispone en el artículo 1: “Este Código establece la organización político-administrativa del Estado ecuatoriano en el territorio: el régimen de los diferentes niveles de gobiernos autónomos descentralizados y los regímenes especiales, con el fin de garantizar su autonomía política, administrativa y financiera. Además, desarrolla un modelo de </w:t>
      </w:r>
      <w:r w:rsidRPr="00B24A80">
        <w:rPr>
          <w:rFonts w:asciiTheme="majorHAnsi" w:eastAsia="Calibri" w:hAnsiTheme="majorHAnsi" w:cstheme="majorHAnsi"/>
          <w:sz w:val="22"/>
          <w:szCs w:val="22"/>
        </w:rPr>
        <w:lastRenderedPageBreak/>
        <w:t>descentralización obligatoria y progresiva a través del sistema nacional de competencias, la institucionalidad responsable de su administración, las fuentes de financiamiento la definición de políticas y mecanismos para compensar los desequilibrios en el desarrollo territorial.”;</w:t>
      </w:r>
    </w:p>
    <w:p w14:paraId="1FD66FFB" w14:textId="5C3A1B24" w:rsidR="00F13EC9" w:rsidRPr="00B24A80" w:rsidRDefault="00F13EC9" w:rsidP="00F13EC9">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el Código Orgánico de Organización Territorial, Autonomía y Descentralización, en el artículo 4 señala:“ Dentro de sus respectivas circunscripciones territoriales son fines de los gobiernos autónomos descentralizados: a) El desarrollo equitativo y solidario mediante el fortalecimiento del proceso de autonomías y descentralización; b) La garantía, sin discriminación alguna y en los términos previstos en la Constitución de la República de la plena vigencia y el efectivo goce de los derechos individuales y colectivos constitucionales y de aquellos contemplados en los instrumentos internacionales (...)”;</w:t>
      </w:r>
    </w:p>
    <w:p w14:paraId="3C7AED5D" w14:textId="0D301764" w:rsidR="00F13EC9" w:rsidRPr="00B24A80" w:rsidRDefault="00F13EC9" w:rsidP="00F13EC9">
      <w:pPr>
        <w:widowControl/>
        <w:spacing w:after="160" w:line="276" w:lineRule="auto"/>
        <w:ind w:right="-100"/>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artículo 54, literal e) del Código Orgánico de Organización Territorial, Autonomía y Descentralización, manifiesta como una de las funciones del Gobierno Autónomo Descentralizado Municipal la de: "Elaborar y ejecutar el plan cantonal de desarrollo, el de ordenamiento territorial y las políticas públicas en el ámbito de sus competencias y en su circunscripción territorial, de manera coordinada con la planificación nacional, regional, provincial y parroquial, y realizar en forma permanente, el seguimiento y rendición de cuentas sobre el cumplimiento de las metas establecidas"; </w:t>
      </w:r>
    </w:p>
    <w:p w14:paraId="5F5342D2" w14:textId="271DC77E"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w:t>
      </w:r>
      <w:r w:rsidRPr="00B24A80">
        <w:rPr>
          <w:rFonts w:asciiTheme="majorHAnsi" w:eastAsia="Calibri" w:hAnsiTheme="majorHAnsi" w:cstheme="majorHAnsi"/>
          <w:b/>
          <w:color w:val="000000"/>
          <w:sz w:val="22"/>
          <w:szCs w:val="22"/>
        </w:rPr>
        <w:t xml:space="preserve"> </w:t>
      </w:r>
      <w:r w:rsidRPr="00B24A80">
        <w:rPr>
          <w:rFonts w:asciiTheme="majorHAnsi" w:eastAsia="Calibri" w:hAnsiTheme="majorHAnsi" w:cstheme="majorHAnsi"/>
          <w:color w:val="000000"/>
          <w:sz w:val="22"/>
          <w:szCs w:val="22"/>
        </w:rPr>
        <w:t>55 del COOTAD son competencias exclusivas de los gobiernos autónomos descentralizados municipales entre otras las contempladas en los literales a) y b), esto es formular los correspondientes planes de ordenamiento territorial y el control del uso y ocupación del suelo;</w:t>
      </w:r>
    </w:p>
    <w:p w14:paraId="1C312282"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 57, ídem, establece como atribuciones del Concejo Municipal:</w:t>
      </w:r>
    </w:p>
    <w:p w14:paraId="24059631" w14:textId="77777777" w:rsidR="00DC27E8" w:rsidRPr="00B24A80" w:rsidRDefault="007F5505" w:rsidP="009F132D">
      <w:pPr>
        <w:widowControl/>
        <w:numPr>
          <w:ilvl w:val="0"/>
          <w:numId w:val="52"/>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Lit. a) El ejercicio de la facultad normativa en las materias de competencia del gobierno autónomo descentralizado municipal, mediante la expedición de ordenanzas cantonales, acuerdos y resoluciones;</w:t>
      </w:r>
    </w:p>
    <w:p w14:paraId="055F9BCA" w14:textId="712A1FC4" w:rsidR="00DC27E8" w:rsidRPr="00B24A80" w:rsidRDefault="007F5505" w:rsidP="009F132D">
      <w:pPr>
        <w:widowControl/>
        <w:numPr>
          <w:ilvl w:val="0"/>
          <w:numId w:val="52"/>
        </w:numPr>
        <w:pBdr>
          <w:top w:val="nil"/>
          <w:left w:val="nil"/>
          <w:bottom w:val="nil"/>
          <w:right w:val="nil"/>
          <w:between w:val="nil"/>
        </w:pBdr>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Lit. e) Aprobar el Plan cantonal de desarrollo y el de ordenamiento territorial formulado participativamente con la acción del </w:t>
      </w:r>
      <w:r w:rsidR="00EE2083" w:rsidRPr="00B24A80">
        <w:rPr>
          <w:rFonts w:asciiTheme="majorHAnsi" w:eastAsia="Calibri" w:hAnsiTheme="majorHAnsi" w:cstheme="majorHAnsi"/>
          <w:sz w:val="22"/>
          <w:szCs w:val="22"/>
        </w:rPr>
        <w:t>Concejo</w:t>
      </w:r>
      <w:r w:rsidR="00EE2083"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 xml:space="preserve">Cantonal de Planificación y las instancias de participación ciudadana, </w:t>
      </w:r>
      <w:r w:rsidR="00682906" w:rsidRPr="00B24A80">
        <w:rPr>
          <w:rFonts w:asciiTheme="majorHAnsi" w:eastAsia="Calibri" w:hAnsiTheme="majorHAnsi" w:cstheme="majorHAnsi"/>
          <w:color w:val="000000"/>
          <w:sz w:val="22"/>
          <w:szCs w:val="22"/>
        </w:rPr>
        <w:t>así</w:t>
      </w:r>
      <w:r w:rsidR="00167A84" w:rsidRPr="00B24A80">
        <w:rPr>
          <w:rFonts w:asciiTheme="majorHAnsi" w:eastAsia="Calibri" w:hAnsiTheme="majorHAnsi" w:cstheme="majorHAnsi"/>
          <w:color w:val="000000"/>
          <w:sz w:val="22"/>
          <w:szCs w:val="22"/>
        </w:rPr>
        <w:t xml:space="preserve"> como</w:t>
      </w:r>
      <w:r w:rsidRPr="00B24A80">
        <w:rPr>
          <w:rFonts w:asciiTheme="majorHAnsi" w:eastAsia="Calibri" w:hAnsiTheme="majorHAnsi" w:cstheme="majorHAnsi"/>
          <w:color w:val="000000"/>
          <w:sz w:val="22"/>
          <w:szCs w:val="22"/>
        </w:rPr>
        <w:t xml:space="preserve"> evaluar la ejecución de los mismos;</w:t>
      </w:r>
    </w:p>
    <w:p w14:paraId="3FE83A86"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literal c) del artículo 84 del Código Orgánico de Organización Territorial, Autonomía y Descentralización, señala que son funciones del gobierno del distrito autónomo metropolitano: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w:t>
      </w:r>
    </w:p>
    <w:p w14:paraId="4B19EB9D"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literal y) del artículo 87 del Código Orgánico de Organización Territorial, Autonomía y Descentralización, establece que al concejo metropolitano le corresponde: “Regular y controlar el uso del suelo en el territorio del distrito metropolitano, de conformidad con las leyes sobre la materia, y establecer el régimen urbanístico de la tierra”; </w:t>
      </w:r>
    </w:p>
    <w:p w14:paraId="3C70C412" w14:textId="77777777"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lastRenderedPageBreak/>
        <w:t>Que,</w:t>
      </w:r>
      <w:r w:rsidRPr="00B24A80">
        <w:rPr>
          <w:rFonts w:asciiTheme="majorHAnsi" w:eastAsia="Calibri" w:hAnsiTheme="majorHAnsi" w:cstheme="majorHAnsi"/>
          <w:sz w:val="22"/>
          <w:szCs w:val="22"/>
        </w:rPr>
        <w:t xml:space="preserve"> el artículo 140 del Código Orgánico de Organización Territorial, Autonomía y Descentralización señala que: “La gestión de riesgos que incluye las acciones de prevención, reacción, mitigación, reconstrucción y transferencia, para enfrentar todas las amenazas de origen natural o antrópico que afecten al territorio se gestionarán de manera concurrente y de forma articulada por todos niveles de gobierno de acuerdo con las políticas y los planes emitidos por el organismo nacional responsable, de acuerdo con la Constitución y la ley. Los Municipales adoptarán obligatoriamente normas técnicas para la prevención y gestión de riesgos en sus territorios con el propósito de proteger las personas, 4 colectividades y la naturaleza, en sus procesos de ordenamiento territorial (…)”;</w:t>
      </w:r>
    </w:p>
    <w:p w14:paraId="4D1EBECE" w14:textId="07C2221E"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147 del Código Orgánico de Organización Territorial, Autonomía y Descentralización establece que: “El Estado en todos los niveles de gobierno garantizará el derecho a un hábitat seguro y saludable y una vivienda adecuada y digna, con independencia de la situación social y económica de las familias y las personas. El gobierno central a través del ministerio responsable dictará las políticas nacionales para garantizar el acceso universal a este derecho y mantendrá, en coordinación con los gobiernos autónomos descentralizados municipales, un catastro nacional integrado </w:t>
      </w:r>
      <w:r w:rsidR="00682906" w:rsidRPr="00B24A80">
        <w:rPr>
          <w:rFonts w:asciiTheme="majorHAnsi" w:eastAsia="Calibri" w:hAnsiTheme="majorHAnsi" w:cstheme="majorHAnsi"/>
          <w:sz w:val="22"/>
          <w:szCs w:val="22"/>
        </w:rPr>
        <w:t>georreferenciado</w:t>
      </w:r>
      <w:r w:rsidRPr="00B24A80">
        <w:rPr>
          <w:rFonts w:asciiTheme="majorHAnsi" w:eastAsia="Calibri" w:hAnsiTheme="majorHAnsi" w:cstheme="majorHAnsi"/>
          <w:sz w:val="22"/>
          <w:szCs w:val="22"/>
        </w:rPr>
        <w:t xml:space="preserve"> de hábitat y vivienda, como información necesaria para que todos los niveles de gobierno diseñen estrategias y programas que integren las relaciones entre vivienda, servicios, espacio y transporte públicos, equipamiento, gestión del suelo y de riegos, a partir de los principios de universalidad, equidad, solidaridad e interculturalidad (…)”; </w:t>
      </w:r>
    </w:p>
    <w:p w14:paraId="3DA37BAA" w14:textId="38405B58" w:rsidR="00F13EC9" w:rsidRPr="00B24A80" w:rsidRDefault="00F13EC9" w:rsidP="00F13EC9">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color w:val="000000"/>
          <w:sz w:val="22"/>
          <w:szCs w:val="22"/>
        </w:rPr>
        <w:t>el Código Orgánico de Organización Territorial, Autonomía y Descentralización, en el artículo 300, en concordancia con el artículo 29 del Código Orgánico de Planificación y Finanzas Públicas, determinan la participación del consejo de planificación de los Gobiernos Autónomos Descentralizados, en el proceso de formulación, seguimiento y evaluación de sus planes, para lo cual emitirán resolución favorable sobre las prioridades estratégicas de desarrollo como requisito indispensable para su aprobación ante el órgano legislativo correspondiente.;</w:t>
      </w:r>
    </w:p>
    <w:p w14:paraId="34C3313D"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 424 del COOTAD, determina el porcentaje de área verde fraccionada, cuando dice: Porcentaje de área verde, comunal y vías.- En la división de suelo para fraccionamiento y urbanización, a criterio técnico de la municipalidad se entregará por una sola vez como mínimo el quince por ciento (15%) y máximo el veinticinco por ciento (25%) calculado del área útil del terreno en calidad de áreas verdes y comunales, de acuerdo con el Plan de Ordenamiento Territorial, destinando exclusivamente para áreas verdes al menos el cincuenta por ciento de la superficie entregada.</w:t>
      </w:r>
    </w:p>
    <w:p w14:paraId="3F44BA37"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 430 del COOTAD, determina: Usos de ríos, playas y quebradas. - Los gobiernos autónomos descentralizados metropolitanos y municipales, formularán ordenanzas para delimitar, regular, autorizar y controlar el uso de las playas de mar, riberas y lechos de ríos, lagos y lagunas, quebradas, cursos de agua, acequias y sus márgenes de protección, de acuerdo a lo dispuesto en la Constitución y la ley;</w:t>
      </w:r>
    </w:p>
    <w:p w14:paraId="4AA8ADA4"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 432 del COOTAD, sobre las obras en ríos y quebradas dice: Excepcionalmente y siempre que sea para uso público, se podrá ejecutar, previo informe favorable de la autoridad ambiental correspondiente y de conformidad al plan general de desarrollo territorial, obras de </w:t>
      </w:r>
      <w:r w:rsidRPr="00B24A80">
        <w:rPr>
          <w:rFonts w:asciiTheme="majorHAnsi" w:eastAsia="Calibri" w:hAnsiTheme="majorHAnsi" w:cstheme="majorHAnsi"/>
          <w:color w:val="000000"/>
          <w:sz w:val="22"/>
          <w:szCs w:val="22"/>
        </w:rPr>
        <w:lastRenderedPageBreak/>
        <w:t>regeneración, de mejoramiento, recreación y deportivas, en las riberas, zonas de remanso y protección, de los ríos y lechos, esteros, playas de mar, quebradas y sus lechos, lagunas, lagos; sin estrechar su cauce o dificultar el curso de las aguas, o causar daño a las propiedades vecinas.</w:t>
      </w:r>
    </w:p>
    <w:p w14:paraId="441A485E"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Las obras que se construyan en contravención de lo dispuesto en el presente artículo serán destruidas a costa del infractor;</w:t>
      </w:r>
    </w:p>
    <w:p w14:paraId="3F57052E" w14:textId="03274F2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 470 del COOTAD, respecto al fraccionamiento y restructuración urbana dice: Se considera fraccionamiento o </w:t>
      </w:r>
      <w:r w:rsidR="008B008E">
        <w:rPr>
          <w:rFonts w:asciiTheme="majorHAnsi" w:eastAsia="Calibri" w:hAnsiTheme="majorHAnsi" w:cstheme="majorHAnsi"/>
          <w:color w:val="000000"/>
          <w:sz w:val="22"/>
          <w:szCs w:val="22"/>
        </w:rPr>
        <w:t>urbanización</w:t>
      </w:r>
      <w:r w:rsidRPr="00B24A80">
        <w:rPr>
          <w:rFonts w:asciiTheme="majorHAnsi" w:eastAsia="Calibri" w:hAnsiTheme="majorHAnsi" w:cstheme="majorHAnsi"/>
          <w:color w:val="000000"/>
          <w:sz w:val="22"/>
          <w:szCs w:val="22"/>
        </w:rPr>
        <w:t xml:space="preserve"> urbana o rural a la división de un terreno de dos a diez lotes, con frente o acceso a alguna vía pública existente o en proyecto. La urbanización es la división de un terreno mayor a diez lotes o su equivalente en metros cuadrados en función de la multiplicación del área del lote mínimo por diez, que deberá ser dotada de infraestructura básica y acceso, y que será entregada a la institución operadora del servicio para su gestión. Según el caso, se aplicará el régimen de propiedad horizontal y demás normas de convivencia existentes para el efecto, que se regularán mediante este Código y las ordenanzas.</w:t>
      </w:r>
    </w:p>
    <w:p w14:paraId="086E970C"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Para quienes realicen el fraccionamiento de inmuebles, con fines comerciales, sin contar con la autorización de la respectiva autoridad, las municipalidades afectadas aplicarán las sanciones económicas y administrativas previstas en las respectivas ordenanzas; sin perjuicio de las sanciones penales si los hechos constituyen un delito, en este último caso las municipalidades también podrán considerarse como parte perjudicada.</w:t>
      </w:r>
    </w:p>
    <w:p w14:paraId="15A558F7"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 entenderá por reestructuración de lotes un nuevo trazado de parcelaciones defectuosas, que podrá imponerse obligatoriamente con alguno de estos fines:</w:t>
      </w:r>
    </w:p>
    <w:p w14:paraId="0352B8A7" w14:textId="77777777" w:rsidR="00DC27E8" w:rsidRPr="00B24A80" w:rsidRDefault="007F5505" w:rsidP="009F132D">
      <w:pPr>
        <w:widowControl/>
        <w:numPr>
          <w:ilvl w:val="0"/>
          <w:numId w:val="36"/>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Regularizar la configuración de los lotes; y,</w:t>
      </w:r>
    </w:p>
    <w:p w14:paraId="178285A2" w14:textId="77777777" w:rsidR="00DC27E8" w:rsidRPr="00B24A80" w:rsidRDefault="007F5505" w:rsidP="009F132D">
      <w:pPr>
        <w:widowControl/>
        <w:numPr>
          <w:ilvl w:val="0"/>
          <w:numId w:val="36"/>
        </w:numPr>
        <w:pBdr>
          <w:top w:val="nil"/>
          <w:left w:val="nil"/>
          <w:bottom w:val="nil"/>
          <w:right w:val="nil"/>
          <w:between w:val="nil"/>
        </w:pBdr>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Distribuir equitativamente entre los propietarios los beneficios y cargas de la ordenación urbana;</w:t>
      </w:r>
    </w:p>
    <w:p w14:paraId="054D5CB8" w14:textId="39BDD096"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w:t>
      </w:r>
      <w:r w:rsidRPr="00B24A80">
        <w:rPr>
          <w:rFonts w:asciiTheme="majorHAnsi" w:eastAsia="Calibri" w:hAnsiTheme="majorHAnsi" w:cstheme="majorHAnsi"/>
          <w:b/>
          <w:color w:val="000000"/>
          <w:sz w:val="22"/>
          <w:szCs w:val="22"/>
        </w:rPr>
        <w:t xml:space="preserve"> </w:t>
      </w:r>
      <w:r w:rsidRPr="00B24A80">
        <w:rPr>
          <w:rFonts w:asciiTheme="majorHAnsi" w:eastAsia="Calibri" w:hAnsiTheme="majorHAnsi" w:cstheme="majorHAnsi"/>
          <w:color w:val="000000"/>
          <w:sz w:val="22"/>
          <w:szCs w:val="22"/>
        </w:rPr>
        <w:t xml:space="preserve">471 del COOTAD, considera fraccionamiento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 xml:space="preserve">: Considerase fraccionamiento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 xml:space="preserve"> el que afecta a terrenos situados en zonas rurales destinados a cultivos o explotación agropecuaria. De ninguna manera se podrá fraccionar bosques, humedales y otras áreas consideradas ecológicamente sensibles de conformidad con la ley o que posean una clara vocación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w:t>
      </w:r>
    </w:p>
    <w:p w14:paraId="03EAA031"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Esta clase de fraccionamientos se sujetarán a este Código, a las leyes agrarias y al plan de ordenamiento territorial cantonal aprobado por el respectivo concejo;</w:t>
      </w:r>
    </w:p>
    <w:p w14:paraId="5B1024C2"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 472 del COOTAD, respecto a la superficie mínima de los predios establece: Para la fijación de las superficies mínimas en los fraccionamientos urbanos se atenderá a las normas que al efecto contenga el plan de ordenamiento territorial. Los notarios y los registradores de la propiedad, para la suscripción e inscripción de una escritura de fraccionamiento respectivamente, exigirán la autorización del ejecutivo de este nivel de gobierno, concedida para el fraccionamiento de los terrenos;</w:t>
      </w:r>
    </w:p>
    <w:p w14:paraId="155EFFB8"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 473 del COOTAD, respecto a la partición extrajudicial, estable: En el caso de partición judicial de inmuebles, los jueces ordenarán que se cite con la demanda a la municipalidad del cantón o distrito metropolitano y no se podrá realizar la partición sino con informe favorable del respectivo concejo. Si de hecho se realiza la partición, será nula. En el caso de partición </w:t>
      </w:r>
      <w:r w:rsidRPr="00B24A80">
        <w:rPr>
          <w:rFonts w:asciiTheme="majorHAnsi" w:eastAsia="Calibri" w:hAnsiTheme="majorHAnsi" w:cstheme="majorHAnsi"/>
          <w:color w:val="000000"/>
          <w:sz w:val="22"/>
          <w:szCs w:val="22"/>
        </w:rPr>
        <w:lastRenderedPageBreak/>
        <w:t>extrajudicial, los interesados pedirán al gobierno municipal o metropolitano la autorización respectiva, sin la cual no podrá realizarse la partición;</w:t>
      </w:r>
    </w:p>
    <w:p w14:paraId="7884F621"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 479 del COOTAD, respecto a las transferencias de dominio de áreas de uso público a favor de las municipalidades, dice: Las autorizaciones y aprobaciones de nuevas urbanizaciones en área urbana o urbanizable, se protocolizarán en una notaría y se inscribirán en el correspondiente registro de la propiedad. Tales documentos constituirán títulos de transferencia de dominio de las áreas de uso público, verde y comunal, a favor de la municipalidad, incluidas todas las instalaciones de servicios públicos, a excepción del servicio de energía eléctrica. Dichas áreas no podrán enajenarse. </w:t>
      </w:r>
    </w:p>
    <w:p w14:paraId="1FE34A59"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caso de que los beneficiarios de las autorizaciones de fraccionamiento y urbanización no procedieren conforme a lo previsto en el inciso anterior, en el término de sesenta días contados desde la entrega de tales documentos, lo hará la municipalidad. El costo, más un recargo del veinte por ciento (20%), será cobrado por el gobierno metropolitano o municipal;</w:t>
      </w:r>
    </w:p>
    <w:p w14:paraId="6DA803A2" w14:textId="77777777" w:rsidR="00DC27E8" w:rsidRPr="00B24A80" w:rsidRDefault="007F5505">
      <w:pPr>
        <w:widowControl/>
        <w:spacing w:after="16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Art. 486 del COOTAD, faculta la potestad de partición administrativa cuando dice: Potestad de Partición Administrativa.- Cuando por resolución del órgano de legislación y fiscalización del Gobierno Autónomo Descentralizado municipal o metropolitano, se requiera regularizar y legalizar asentamientos humanos consolidados de interés social ubicados en su circunscripción territorial en predios que se encuentren proindiviso, la alcaldesa o el alcalde, a través de los órganos administrativos de la municipalidad, de oficio o a petición de parte, estará facultado para ejercer la partición administrativa, siguiendo el procedimiento y reglas determinados en la ley.</w:t>
      </w:r>
    </w:p>
    <w:p w14:paraId="5DAD0EA1" w14:textId="6B0B8969"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29 del Código Orgánico de Planificación y Finanzas Públicas define las siguientes funciones de los Consejos de Planificación de los gobiernos autónomos descentralizados: “1. Participar en el proceso de formulación de sus planes y emitir resolución favorable sobre las prioridades estratégicas de desarrollo, como requisito indispensable para su aprobación ante el órgano legislativo correspondiente; </w:t>
      </w:r>
    </w:p>
    <w:p w14:paraId="34A36BB2" w14:textId="5A0C67AE" w:rsidR="007A4478" w:rsidRPr="00B24A80" w:rsidRDefault="007A4478" w:rsidP="007A4478">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el mismo Código Orgánico de Planificación y Finanzas Públicas, en el Art. 10, contempla: “Planificación Nacional. - (...) se desarrollará una Estrategia Territorial Nacional como instrumento complementario del Plan Nacional de Desarrollo, y procedimientos de coordinación y armonización entre el gobierno central y los gobiernos autónomos descentralizados para permitir la articulación de los procesos de planificación territorial en el ámbito de sus competencias”;</w:t>
      </w:r>
    </w:p>
    <w:p w14:paraId="28F266AA" w14:textId="5826E735" w:rsidR="007A4478" w:rsidRPr="00B24A80" w:rsidRDefault="007A4478" w:rsidP="007A4478">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12 del Código Orgánico de Planificación y Finanzas Públicas, se determina que los GAD Municipales tienen competencias exclusivas entre para planificar el desarrollo cantonal y formular los correspondientes planes de ordenamiento territorial en sus territorios, de manera articulada y coordinada con los diferentes niveles de gobierno, en el ámbito del Sistema Nacional Descentralizado de Planificación Participativa; </w:t>
      </w:r>
    </w:p>
    <w:p w14:paraId="6780C54D" w14:textId="0E7370CD" w:rsidR="007A4478" w:rsidRPr="00B24A80" w:rsidRDefault="007A4478" w:rsidP="007A4478">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16 del COPFP dispone que, “En los procesos de formulación y ejecución de las políticas públicas, se establecerán mecanismos de coordinación que garanticen la coherencia y complementariedad entre las intervenciones de los distintos niveles de gobierno. Para este efecto, los instrumentos de planificación de los gobiernos autónomos descentralizados </w:t>
      </w:r>
      <w:r w:rsidRPr="00B24A80">
        <w:rPr>
          <w:rFonts w:asciiTheme="majorHAnsi" w:eastAsia="Calibri" w:hAnsiTheme="majorHAnsi" w:cstheme="majorHAnsi"/>
          <w:color w:val="000000"/>
          <w:sz w:val="22"/>
          <w:szCs w:val="22"/>
        </w:rPr>
        <w:lastRenderedPageBreak/>
        <w:t>propiciarán la incorporación de las intervenciones que requieran la participación del nivel desconcentrado de la función ejecutiva; asimismo las entidades desconcentradas de la función ejecutiva, incorporarán en sus instrumentos de planificación las intervenciones que se ejecuten de manera concertada con los gobiernos autónomos descentralizados”;</w:t>
      </w:r>
    </w:p>
    <w:p w14:paraId="7DBB2277" w14:textId="26534F3E" w:rsidR="00832989" w:rsidRPr="00B24A80" w:rsidRDefault="00832989" w:rsidP="00832989">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el Código Orgánico de Planificación y Finanzas Públicas, en el artículo 41, enuncia: “Los planes de desarrollo y ordenamiento territorial son los instrumentos de planificación que contienen las directrices principales de los Gobiernos Autónomos Descentralizados respecto de las decisiones estratégicas de desarrollo y que permiten la gestión concertada y articulada del territorio. Tienen por objeto ordenar, compatibilizar y armonizar las decisiones estratégicas de desarrollo respecto de los asentamientos humanos, las actividades económico-productivas y el manejo de los recursos naturales en función de las cualidades territoriales, a través de la definición de lineamientos para la materialización del modelo territorial deseado, establecidos por el nivel de gobierno respectivo. Serán implementados a través del ejercicio de sus competencias asignadas por la Constitución de la República y las leyes, así como de aquellas que se les transfieran como resultado del proceso de descentralización. Los planes de desarrollo y ordenamiento territorial regionales, provinciales y parroquiales se articularán entre sí, debiendo observar, de manera obligatoria, lo dispuesto en los planes de desarrollo y ordenamiento territorial cantonal y/o distrital respecto de la asignación y regulación del uso y ocupación del suelo”;</w:t>
      </w:r>
    </w:p>
    <w:p w14:paraId="6513C801" w14:textId="1F2103B3" w:rsidR="00832989" w:rsidRPr="00B24A80" w:rsidRDefault="00832989" w:rsidP="00832989">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el artículo 43 del Código Orgánico de Planificación y Finanzas Públicas establece que: "Los planes de ordenamiento territorial son los instrumentos de la planificación del desarrollo que tienen por objeto el ordenar, compatibilizar y armonizar las decisiones estratégicas de desarrollo respecto de los asentamientos humanos, las actividades económico-productivas y el manejo de los recursos naturales en función de las cualidades territoriales, a través de la definición de lineamientos para la materialización del modelo territorial de largo plazo, establecido por el nivel de gobierno respectivo.";</w:t>
      </w:r>
    </w:p>
    <w:p w14:paraId="3B77A309"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en el artículo 44 del Código Orgánico de Planificación y Finanzas Públicas se hace referencia a las disposiciones generales sobre los planes de ordenamiento territorial de los gobiernos autónomos descentralizados, para lo cual se establece que: “(…) Sin perjuicio de lo previsto en la Ley y las disposiciones del Consejo Nacional de Competencias, los planes de ordenamiento territorial de los gobiernos autónomos descentralizados observarán los siguientes criterios: (…) Corresponde exclusivamente a los gobiernos municipales y metropolitanos la regulación, control y sanción respecto del uso y ocupación del suelo en el territorio del cantón. Las decisiones de ordenamiento territorial de este nivel, racionalizarán las intervenciones en el territorio de todos los gobiernos autónomos descentralizados”; </w:t>
      </w:r>
    </w:p>
    <w:p w14:paraId="2B22F094"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en el código orgánico del ambiente en su artículo 92. Se establecen las reglas para el ejercicio de derechos a la propiedad dentro del patrimonio forestal nacional. Para el ejercicio del derecho a la propiedad dentro del Patrimonio Forestal Nacional se establecen las siguientes disposiciones: 1. Destinar las tierras exclusivamente a los usos oficialmente asignados por los instrumentos de ordenamiento territorial y de gestión y uso del suelo; 2. Respetar las normas de sostenibilidad en el uso, aprovechamiento y comercialización de los recursos naturales </w:t>
      </w:r>
      <w:r w:rsidRPr="00B24A80">
        <w:rPr>
          <w:rFonts w:asciiTheme="majorHAnsi" w:eastAsia="Calibri" w:hAnsiTheme="majorHAnsi" w:cstheme="majorHAnsi"/>
          <w:color w:val="000000"/>
          <w:sz w:val="22"/>
          <w:szCs w:val="22"/>
        </w:rPr>
        <w:lastRenderedPageBreak/>
        <w:t>renovables existentes en el predio; 3. Delimitar y respetar las servidumbres ecológicas; y, 4. Las demás previstas en este Código, otras leyes y normativa secundaria.</w:t>
      </w:r>
    </w:p>
    <w:p w14:paraId="76743401" w14:textId="77777777" w:rsidR="00DC27E8" w:rsidRPr="00B24A80" w:rsidRDefault="007F5505">
      <w:pPr>
        <w:widowControl/>
        <w:spacing w:after="240" w:line="276" w:lineRule="auto"/>
        <w:ind w:right="-100"/>
        <w:rPr>
          <w:rFonts w:asciiTheme="majorHAnsi" w:eastAsia="Calibri" w:hAnsiTheme="majorHAnsi" w:cstheme="majorHAnsi"/>
          <w:b/>
          <w:color w:val="000000"/>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94, del Código Orgánico del Ambiente, establece que para la conservación de la cobertura forestal; se prohíbe convertir el uso del suelo a usos agropecuarios en las áreas del Patrimonio Forestal Nacional y las que se encuentren asignadas en los planes de ordenamiento territorial, tales como bosques naturales y ecosistemas frágiles.</w:t>
      </w:r>
    </w:p>
    <w:p w14:paraId="6C5B1FA2" w14:textId="45161D36" w:rsidR="00DC27E8" w:rsidRPr="00B24A80" w:rsidRDefault="007F5505">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artículo 197 del código orgánico del ambiente, indica, que la calidad del suelo es prioridad y aquellas actividades que afecten la misma deben ser evitadas. Es así que las actividades que afecten la calidad o estabilidad del suelo, o que puedan provocar su erosión, serán reguladas, y en caso de ser necesario, restringidas. Se priorizará la conservación de los ecosistemas ubicados en zonas con altas pendientes y bordes de cuerpos hídricos, entre otros que determine la Autoridad Ambiental Nacional.</w:t>
      </w:r>
    </w:p>
    <w:p w14:paraId="7C6B6EFD" w14:textId="5373F1AE" w:rsidR="00C37E20" w:rsidRPr="00B24A80" w:rsidRDefault="00C37E20" w:rsidP="00C37E20">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xml:space="preserve">, el Art. 7, de la Norma Técnica específica que la Finalidad del Plan de Uso y Gestión del Suelo. - Los Planes de Uso y Gestión del Suelo tienen como objetivos, determinar la estructura urbano-rural del cantón; establecer los modelos de gestión del suelo y financiación para su desarrollo en función de lo establecido en el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 xml:space="preserve"> y fortalecer sus vínculos e interdependencias; planificar el uso y aprovechamiento eficiente, equitativo, racional y equilibrado del suelo urbano y rural, especialmente del suelo rural de  expansión urbana, que promueva el uso y aprovechamiento responsable de las vocaciones del suelo; generar suelo para vivienda especialmente de interés social y los sistemas públicos de soporte; hacer cumplir el régimen de derechos y deberes de la propiedad y el reparto equitativo de cargas y beneficios en el desarrollo urbano; establecer los instrumentos de planeamiento urbanístico; normar las decisiones sobre el uso y la ocupación del suelo, así como la prevención de nuevos riesgos, la reducción de los existentes y la gestión del riesgo residual. Además, tienen como objetivo definir la clasificación del suelo dentro de la estructura urbano y rural determinada en el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 establecer las interdependencias, considerando los derechos de las personas a un hábitat seguro y saludable enmarcados en los principios de desarrollo y ordenamiento territorial de equidad y justicia social, de participación democrática, redistribución justa de las cargas y beneficios, de corresponsabilidad, respeto a las diferentes culturas, derecho a la ciudad, derecho a la naturaleza, función social y ambiental de la propiedad, garantía de la soberanía alimentaria, la productividad, la sustentabilidad, la gobernanza y la ciudadanía, la gestión del riesgo de desastres y adaptación al cambio climático, para que la planificación sea eficiente, racional y equilibrada del territorio y su recurso suelo.</w:t>
      </w:r>
    </w:p>
    <w:p w14:paraId="7FA89E47" w14:textId="2FB6E5A4" w:rsidR="00C37E20" w:rsidRPr="00B24A80" w:rsidRDefault="00C37E20" w:rsidP="00C37E20">
      <w:pPr>
        <w:widowControl/>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Que</w:t>
      </w:r>
      <w:r w:rsidRPr="00B24A80">
        <w:rPr>
          <w:rFonts w:asciiTheme="majorHAnsi" w:eastAsia="Calibri" w:hAnsiTheme="majorHAnsi" w:cstheme="majorHAnsi"/>
          <w:sz w:val="22"/>
          <w:szCs w:val="22"/>
        </w:rPr>
        <w:t>, Art. 8.- Vigencia y actualización del Plan de Uso y Gestión del Suelo. - El componente estructurante del PUGS estará vigente durante un período de doce (12) años a partir de la fecha de aprobación mediante ordenanza por parte del Concejo municipal o metropolitano; mientras que el componente urbanístico podrá actualizarse al inicio de cada período de gestión municipal o metropolitana.</w:t>
      </w:r>
    </w:p>
    <w:p w14:paraId="7ED98375" w14:textId="08CF265C"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de acuerdo a su artículo 1 la Ley Orgánica de Ordenamiento Territorial, Uso y Gestión del Suelo tiene por objeto: “(…) fijar los principios y reglas generales que rigen el ejercicio de las competencias de ordenamiento territorial, uso y gestión del suelo urbano y rural, y su relación con otras que incidan significativamente sobre el territorio o lo ocupen, para que se articulen </w:t>
      </w:r>
      <w:r w:rsidRPr="00B24A80">
        <w:rPr>
          <w:rFonts w:asciiTheme="majorHAnsi" w:eastAsia="Calibri" w:hAnsiTheme="majorHAnsi" w:cstheme="majorHAnsi"/>
          <w:color w:val="000000"/>
          <w:sz w:val="22"/>
          <w:szCs w:val="22"/>
        </w:rPr>
        <w:lastRenderedPageBreak/>
        <w:t xml:space="preserve">eficazmente, promuevan el desarrollo equitativo y equilibrado del territorio y propicien el ejercicio del derecho a la ciudad, al hábitat seguro y saludable, y a la vivienda adecuada y digna, en cumplimiento de la función social y ambiental de la propiedad e impulsando un desarrollo urbano inclusivo e integrador para el Buen Vivir de las personas, en concordancia con las competencias de los diferentes niveles de gobierno.”; </w:t>
      </w:r>
    </w:p>
    <w:p w14:paraId="79951836" w14:textId="77777777" w:rsidR="00DC27E8" w:rsidRPr="00B24A80" w:rsidRDefault="007F5505">
      <w:pPr>
        <w:widowControl/>
        <w:spacing w:after="240" w:line="276" w:lineRule="auto"/>
        <w:ind w:right="-100"/>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el fin de la Ley Orgánica de Ordenamiento Territorial, Uso y Gestión del Suelo, de acuerdo al numeral 3 de su artículo 3 es: “Establecer mecanismos e instrumentos técnicos que permitan el ejercicio de las competencias de uso y gestión del suelo de los Gobiernos Autónomos Descentralizados municipales y metropolitanos y del Estado en general, dirigidos a fomentar y fortalecer la autonomía, desconcentración y descentralización.”;</w:t>
      </w:r>
    </w:p>
    <w:p w14:paraId="67CEC16E"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 11, numeral tercero de la Ley orgánica de uso y gestión del suelo, establece que los GAD municipales y metropolitanos: clasificarán todo el suelo cantonal o distrital, en urbano y rural, definirán el uso y la gestión del suelo, identificarán los riesgos naturales y antrópicos de ámbito cantonal o distrital; fomentarán la calidad ambiental, la seguridad, la cohesión social y la accesibilidad del medio urbano y rural; y, establecerán las debidas garantías para la movilidad y el acceso a los servicios básicos y a los espacios públicos de toda la población;</w:t>
      </w:r>
    </w:p>
    <w:p w14:paraId="01DF95DF"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11.3 de la  Ley Orgánica de Ordenamiento Territorial Uso y Gestión del Suelo, determina que el alcance del componente de ordenamiento territorial, a más de otras disposiciones legales, observará criterios como el de clasificar al suelo en urbano y rural y definirá su uso y gestión, identificando las características especiales de cada circunscripción territorial; racionalizando la intervención de otros niveles de gobierno en este territorio, para el Gobierno Autónomo descentralizado Municipal;</w:t>
      </w:r>
    </w:p>
    <w:p w14:paraId="7985379E"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11.4 de la Ley Orgánica de Ordenamiento Territorial Uso y Gestión del Suelo, determina que el alcance del componente de ordenamiento territorial, a más de otras disposiciones legales, los Gobiernos Autónomos Descentralizados Parroquiales, observarán criterios como el de acoger el diagnóstico y modelo territorial de nivel cantonal y provincial;</w:t>
      </w:r>
    </w:p>
    <w:p w14:paraId="06B39DAB"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14 de la Ley Orgánica de Ordenamiento Territorial, Uso y Gestión del Suelo, respecto del Plan de Uso y Gestión del Suelo establece que: “El proceso de formulación o actualización de los planes de desarrollo y ordenamiento territorial de los Gobiernos Autónomos Descentralizados, se regulará por la norma técnica que expida el Consejo Técnico.”; </w:t>
      </w:r>
    </w:p>
    <w:p w14:paraId="33B45781"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27 de la Ley Orgánica de Ordenamiento Territorial, Uso y Gestión del Suelo, respecto del Plan de Uso y Gestión del Suelo dispone que: “Además de lo establecido en el Código Orgánico de Planificación y Finanzas Públicas, los planes de desarrollo y ordenamiento territorial de los Gobiernos Autónomos Descentralizados municipales y metropolitanos contendrán un plan de uso y gestión del suelo que incorporará los componentes estructurante y urbanístico.”; </w:t>
      </w:r>
    </w:p>
    <w:p w14:paraId="288DB40D"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en el artículo 90 de la Ley Orgánica de Ordenamiento Territorial, Uso y Gestión del Suelo se establece que: “La facultad para la definición y emisión de las políticas nacionales de hábitat, vivienda, asentamientos humanos y el desarrollo urbano, le corresponde al Gobierno Central, que la ejercerá a través del ente rector de hábitat y vivienda, en calidad de autoridad nacional. (…) Las políticas de hábitat comprenden lo relativo a los lineamientos nacionales para el </w:t>
      </w:r>
      <w:r w:rsidRPr="00B24A80">
        <w:rPr>
          <w:rFonts w:asciiTheme="majorHAnsi" w:eastAsia="Calibri" w:hAnsiTheme="majorHAnsi" w:cstheme="majorHAnsi"/>
          <w:color w:val="000000"/>
          <w:sz w:val="22"/>
          <w:szCs w:val="22"/>
        </w:rPr>
        <w:lastRenderedPageBreak/>
        <w:t xml:space="preserve">desarrollo urbano que incluye el uso y la gestión del suelo. Los Gobiernos Autónomos Descentralizados municipales y metropolitanos, en sus respectivas jurisdicciones, definirán y emitirán las políticas locales en lo relativo al ordenamiento territorial, y al uso y gestión del suelo, de conformidad con los lineamientos nacionales.”;  </w:t>
      </w:r>
    </w:p>
    <w:p w14:paraId="5F411570"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en el numeral 1 del artículo 92 de la Ley Orgánica de Ordenamiento Territorial, Uso y Gestión del Suelo, respecto del Consejo Técnico de Uso y Gestión del Suelo se establece que: ¨(…) tendrá la facultad para emitir las regulaciones nacionales sobre el uso y la gestión del suelo.¨; y, para el efecto tendrá la atribución: ¨Emisión de regulaciones nacionales de carácter obligatorio que serán aplicados por los Gobiernos Autónomos Descentralizados municipales y metropolitanos en el ejercicio de sus competencias de uso y gestión de suelo (…)¨; </w:t>
      </w:r>
    </w:p>
    <w:p w14:paraId="5EE044CC"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100 de la Ley Orgánica de Ordenamiento Territorial, Uso y Gestión del Suelo señala que “El catastro nacional integrado georreferenciado es un sistema de información territorial generada por los Gobiernos Autónomos Descentralizados municipales y metropolitanos y las instituciones que generan información relacionada con catastros y ordenamiento territorial. (…) La información generada para el catastro deberá ser utilizada como insumo principal para los procesos de información y ordenamiento territorial de los Gobierno Autónomo Descentralizados municipales y metropolitanos.”; </w:t>
      </w:r>
    </w:p>
    <w:p w14:paraId="5CBC4184"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del artículo 111 al 115 de la Ley Orgánica de Ordenamiento Territorial, Uso y Gestión del Suelo, se establecen: la facultad de los GAD municipales para determinar responsabilidades de las personas naturales y jurídicas públicas o privadas cuando incurran en el cometimiento de infracciones, la definición de las infracciones con su clasificación, las sanciones, procedimientos y recursos.</w:t>
      </w:r>
    </w:p>
    <w:p w14:paraId="3D2A4503"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la Disposición Transitoria Quinta de la Ley Orgánica de Ordenamiento Territorial, Uso y Gestión del Suelo manifiesta que: “Los Gobiernos Autónomos Descentralizados adecuarán sus planes de desarrollo y ordenamiento territorial y las ordenanzas correspondientes en el primer año del siguiente periodo de mandato de las autoridades locales. Sin embargo, en el caso de realizar alguna intervención que según la normativa vigente requiera de un plan parcial, se aprobarán previo a iniciar dicha intervención.”; </w:t>
      </w:r>
    </w:p>
    <w:p w14:paraId="19A658B0"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 11, del Reglamento a la Ley orgánica de ordenamiento Territorial uso y gestión del suelo menciona los procedimientos de aprobación del PUGS, determinando que este será aprobado en la misma ordenanza municipal que contiene el Plan de Desarrollo y Ordenamiento Territorial Cantonal, y mediante los mismos procedimientos participativos y técnicos correspondientes;</w:t>
      </w:r>
    </w:p>
    <w:p w14:paraId="1DA50E30"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los artículos 13 y 14 del Reglamento a la Ley Orgánica de Ordenamiento Territorial, Uso y Gestión del Suelo, determinan para el Plan de Uso y Gestión del Suelo los Contenidos del componente estructurante y los contenidos mínimos del componente urbanístico; </w:t>
      </w:r>
    </w:p>
    <w:p w14:paraId="601E0E65"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15 del Reglamento a la Ley Orgánica de Ordenamiento Territorial, Uso y Gestión del Suelo, establece los Criterios para la delimitación del suelo urbano, a considerarse en el componente estructurante del Plan de Uso y Gestión del Suelo; </w:t>
      </w:r>
    </w:p>
    <w:p w14:paraId="7C1B130D" w14:textId="10D7218D"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lastRenderedPageBreak/>
        <w:t>Que,</w:t>
      </w:r>
      <w:r w:rsidRPr="00B24A80">
        <w:rPr>
          <w:rFonts w:asciiTheme="majorHAnsi" w:eastAsia="Calibri" w:hAnsiTheme="majorHAnsi" w:cstheme="majorHAnsi"/>
          <w:color w:val="000000"/>
          <w:sz w:val="22"/>
          <w:szCs w:val="22"/>
        </w:rPr>
        <w:t xml:space="preserve"> el artículo 16, del Reglamento a la Ley Orgánica de Ordenamiento Territorial, Uso y Gestión del Suelo, señala las consideraciones para determinar el suelo de expansión en el componente estructurante del PUGS; </w:t>
      </w:r>
    </w:p>
    <w:p w14:paraId="282EE016" w14:textId="0D888437" w:rsidR="00771F00" w:rsidRPr="00B24A80" w:rsidRDefault="00771F00">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mediante Resolución No. 003-CTUGS-2019, publicada en el Registro Oficial Nro. 87 de 25 de noviembre de 2019, el Consejo Técnico de Uso y Gestión del Suelo, expidió la Norma Técnica para el proceso de formulación o actualización de los </w:t>
      </w:r>
      <w:r w:rsidR="004830FA" w:rsidRPr="00B24A80">
        <w:rPr>
          <w:rFonts w:asciiTheme="majorHAnsi" w:eastAsia="Calibri" w:hAnsiTheme="majorHAnsi" w:cstheme="majorHAnsi"/>
          <w:color w:val="000000"/>
          <w:sz w:val="22"/>
          <w:szCs w:val="22"/>
        </w:rPr>
        <w:t>PDyOT</w:t>
      </w:r>
      <w:r w:rsidRPr="00B24A80">
        <w:rPr>
          <w:rFonts w:asciiTheme="majorHAnsi" w:eastAsia="Calibri" w:hAnsiTheme="majorHAnsi" w:cstheme="majorHAnsi"/>
          <w:color w:val="000000"/>
          <w:sz w:val="22"/>
          <w:szCs w:val="22"/>
        </w:rPr>
        <w:t xml:space="preserve"> de los GAD;</w:t>
      </w:r>
    </w:p>
    <w:p w14:paraId="35B6DC2C"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la Resolución Nro. 0005-CTUGS-2020 emitida por el Consejo Técnico de Uso y Gestión del suelo, emitida el 28 de febrero del 2020, contiene las características técnicas del PUGS.</w:t>
      </w:r>
    </w:p>
    <w:p w14:paraId="432966F7" w14:textId="5CF40E94"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artículo 6 de la Ley Orgánica del Régimen de la Soberanía Alimentaria, determina que la ley que regule el régimen de propiedad de la tierra permitirá el acceso equitativo a esta, privilegiando a los pequeños productores y a las mujeres productoras jefas de familia, su extensión, el acaparamiento y concentración de tierras, establecerá los procedimientos para su eliminación y determinará los mecanismos para el cumplimiento de su función social y ambiental. Así mismo, establecerá los mecanismos para fomentar la asociatividad e integración de las pequeñas propiedades. Además, limitará la expansión de áreas urbanas en tierras de uso o vocación agropecuaria o forestal, así como el avance de la frontera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 xml:space="preserve"> en ecosistemas frágiles o en zonas de patrimonio natural, cultural y arqueológico, de conformidad con lo que establece el artículo 409 de la Constitución de la República;</w:t>
      </w:r>
    </w:p>
    <w:p w14:paraId="265FE98C" w14:textId="45BCF66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Que, </w:t>
      </w:r>
      <w:r w:rsidRPr="00B24A80">
        <w:rPr>
          <w:rFonts w:asciiTheme="majorHAnsi" w:eastAsia="Calibri" w:hAnsiTheme="majorHAnsi" w:cstheme="majorHAnsi"/>
          <w:color w:val="000000"/>
          <w:sz w:val="22"/>
          <w:szCs w:val="22"/>
        </w:rPr>
        <w:t xml:space="preserve">el Art. 4 de la Ley Orgánica de tierras rurales y territorios ancestrales, conceptúa a la tierra rural como una extensión territorial que se encuentra ubicada fuera del área urbana, cuya aptitud presenta condiciones biofísicas y ambientales para ser utilizada en producción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 pecuaria, forestal, silvícola o acuícola, actividades recreativas, ecoturísticas, de conservación o de protección agraria; y otras actividades productivas en las que la Autoridad Agraria Nacional ejerce su rectoría. Se exceptúan las áreas reservadas de seguridad, las del sistema nacional de áreas protegidas, áreas de protección y conservación hídrica, bosques y vegetación protectores públicos, privados y comunitarios, patrimonio forestal del Estado y las demás reconocidas o declaradas por la Autoridad. El aprovechamiento productivo de la tierra rural se encuentra sujeto a las condiciones y límites establecidos en esta</w:t>
      </w:r>
      <w:r w:rsidRPr="00B24A80">
        <w:rPr>
          <w:rFonts w:asciiTheme="majorHAnsi" w:eastAsia="Calibri" w:hAnsiTheme="majorHAnsi" w:cstheme="majorHAnsi"/>
          <w:sz w:val="22"/>
          <w:szCs w:val="22"/>
        </w:rPr>
        <w:t xml:space="preserve"> Ley,</w:t>
      </w:r>
    </w:p>
    <w:p w14:paraId="488F7534"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3 del Reglamento General para la Aplicación de la Ley Orgánica de Tierras Rurales y Territorios Ancestrales, señala: “Condiciones para determinar el cambio de la clasificación del uso del suelo rural.- La Autoridad Agraria Nacional o su delegado, en el plazo establecido en la Ley, a solicitud del Gobierno Autónomo Descentralizado Municipal o Metropolitano competente, expedirá el informe técnico que autorice el cambio de clasificación de suelo rural de uso agrario a suelo de expansión urbana o zona industrial; al efecto además de la información constante en el respectivo catastro rural, tendrá en cuenta las siguientes restricciones:</w:t>
      </w:r>
    </w:p>
    <w:p w14:paraId="42902175" w14:textId="77777777" w:rsidR="00DC27E8" w:rsidRPr="00B24A80" w:rsidRDefault="007F5505" w:rsidP="009F132D">
      <w:pPr>
        <w:widowControl/>
        <w:numPr>
          <w:ilvl w:val="0"/>
          <w:numId w:val="38"/>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Que la zona objeto de análisis no cuente con infraestructura pública de riego o productiva permanente;</w:t>
      </w:r>
    </w:p>
    <w:p w14:paraId="2E606FFA" w14:textId="458D317A" w:rsidR="00DC27E8" w:rsidRPr="00B24A80" w:rsidRDefault="007F5505" w:rsidP="009F132D">
      <w:pPr>
        <w:widowControl/>
        <w:numPr>
          <w:ilvl w:val="0"/>
          <w:numId w:val="38"/>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Que el suelo no tenga aptitud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 xml:space="preserve"> o tradicionalmente no se haya dedicado a actividades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s; y,</w:t>
      </w:r>
    </w:p>
    <w:p w14:paraId="44B4A7EE" w14:textId="77777777" w:rsidR="00DC27E8" w:rsidRPr="00B24A80" w:rsidRDefault="007F5505" w:rsidP="009F132D">
      <w:pPr>
        <w:widowControl/>
        <w:numPr>
          <w:ilvl w:val="0"/>
          <w:numId w:val="38"/>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Que la zona no forme parte de territorios comunales o ancestrales”.</w:t>
      </w:r>
    </w:p>
    <w:p w14:paraId="619B34B1" w14:textId="77777777" w:rsidR="00DC27E8" w:rsidRPr="00B24A80" w:rsidRDefault="007F5505" w:rsidP="009F132D">
      <w:pPr>
        <w:widowControl/>
        <w:numPr>
          <w:ilvl w:val="0"/>
          <w:numId w:val="38"/>
        </w:num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Que, el Comité de Gestión de Calidad del Servicio y Desarrollo Institucional en reunión celebrada el 12 de septiembre de 2019, aprobó el manual de procedimiento de cambio de uso de suelo.</w:t>
      </w:r>
    </w:p>
    <w:p w14:paraId="1A416556"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la Ley forestal y de conservación de áreas naturales y vida silvestre, establece que la administración del patrimonio forestal del Estado estará a cargo del Ministerio del Ambiente, a cuyo efecto, en el respectivo reglamento se darán las normas para la ordenación, conservación, manejo y aprovechamiento de los recursos forestales, y los demás que se estime necesarios;</w:t>
      </w:r>
    </w:p>
    <w:p w14:paraId="59D95175" w14:textId="6CFA90D2"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el artículo 25 de la Ley de minería, prohíbe la actividad extractiva de recursos no renovables en áreas protegidas; sin embargo, excepcionalmente dichos recursos se podrán explotar a petición fundamentada de la Presidencia de la República, y previa declaratoria de interés nacional por parte de la Asamblea Nacional, de conformidad a lo determinado en el artículo 407 de la Constitución de la República del Ecuador;</w:t>
      </w:r>
    </w:p>
    <w:p w14:paraId="3E97056B" w14:textId="77777777" w:rsidR="00771F00" w:rsidRPr="00B24A80" w:rsidRDefault="00771F00" w:rsidP="00771F00">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mediante Resolución Nro. SNGRE-001-2022 de 10 de enero de 2022, el órgano rector de riesgos y emergencias expidió los: "Lineamientos para la Gobernanza de la Gestión de Riesgo de Desastres en los GAD municipales y metropolitanos”;</w:t>
      </w:r>
    </w:p>
    <w:p w14:paraId="1A7675D0" w14:textId="48B76F50" w:rsidR="00771F00" w:rsidRPr="00B24A80" w:rsidRDefault="00771F00" w:rsidP="00771F00">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la Resolución Nro. 014-CTUGS-2023 emitida por el Consejo Técnico de Uso y Gestión del Suelo el 26 de julio de 2023, publicada en el Suplemento del Registro Oficial Nro. 426 de 27 de octubre de 2023, expide el Procedimiento para la actualización de los instrumentos de planificación territorial (</w:t>
      </w:r>
      <w:r w:rsidR="004830FA" w:rsidRPr="00B24A80">
        <w:rPr>
          <w:rFonts w:asciiTheme="majorHAnsi" w:eastAsia="Calibri" w:hAnsiTheme="majorHAnsi" w:cstheme="majorHAnsi"/>
          <w:color w:val="000000"/>
          <w:sz w:val="22"/>
          <w:szCs w:val="22"/>
        </w:rPr>
        <w:t>PDyOT</w:t>
      </w:r>
      <w:r w:rsidRPr="00B24A80">
        <w:rPr>
          <w:rFonts w:asciiTheme="majorHAnsi" w:eastAsia="Calibri" w:hAnsiTheme="majorHAnsi" w:cstheme="majorHAnsi"/>
          <w:color w:val="000000"/>
          <w:sz w:val="22"/>
          <w:szCs w:val="22"/>
        </w:rPr>
        <w:t xml:space="preserve"> y PUGS) de los GAD municipales y metropolitanos, a partir de la identificación de una amenaza activa, de la ocurrencia de una emergencia o desastre;</w:t>
      </w:r>
    </w:p>
    <w:p w14:paraId="041C2A11" w14:textId="1690EA5E" w:rsidR="00771F00" w:rsidRPr="00B24A80" w:rsidRDefault="00771F00" w:rsidP="00771F00">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mediante Acuerdo Nro. SNP-SNP-2024-0040-A de 20 de junio de 2024, publicado en el Registro Oficial Nro. 599 de 12 de julio de 2024, la Secretaría Nacional de Panificación expide las Directrices para la alineación de los </w:t>
      </w:r>
      <w:r w:rsidR="004830FA" w:rsidRPr="00B24A80">
        <w:rPr>
          <w:rFonts w:asciiTheme="majorHAnsi" w:eastAsia="Calibri" w:hAnsiTheme="majorHAnsi" w:cstheme="majorHAnsi"/>
          <w:color w:val="000000"/>
          <w:sz w:val="22"/>
          <w:szCs w:val="22"/>
        </w:rPr>
        <w:t>PDyOT</w:t>
      </w:r>
      <w:r w:rsidRPr="00B24A80">
        <w:rPr>
          <w:rFonts w:asciiTheme="majorHAnsi" w:eastAsia="Calibri" w:hAnsiTheme="majorHAnsi" w:cstheme="majorHAnsi"/>
          <w:color w:val="000000"/>
          <w:sz w:val="22"/>
          <w:szCs w:val="22"/>
        </w:rPr>
        <w:t xml:space="preserve"> al Plan Nacional De Desarrollo 2024 – 2025, que serán de obligatorio cumplimiento para todos los GAD;</w:t>
      </w:r>
    </w:p>
    <w:p w14:paraId="6392B742" w14:textId="4786809A" w:rsidR="00771F00" w:rsidRPr="00B24A80" w:rsidRDefault="00771F00" w:rsidP="00771F00">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Que,</w:t>
      </w:r>
      <w:r w:rsidRPr="00B24A80">
        <w:rPr>
          <w:rFonts w:asciiTheme="majorHAnsi" w:eastAsia="Calibri" w:hAnsiTheme="majorHAnsi" w:cstheme="majorHAnsi"/>
          <w:color w:val="000000"/>
          <w:sz w:val="22"/>
          <w:szCs w:val="22"/>
        </w:rPr>
        <w:t xml:space="preserve"> es necesario oficializar los instrumentos actualizados de planificación del cantón y cumplir con la normativa vigente, según nuestras competencias; con el fin de gestionar el suelo para mantener el equilibrio ecológico, el entorno natural y paisajístico, así como, sus potencialidades productivas y turísticas;</w:t>
      </w:r>
    </w:p>
    <w:p w14:paraId="0A8F67BD" w14:textId="77777777" w:rsidR="00DC27E8" w:rsidRPr="00B24A80" w:rsidRDefault="007F5505">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ejercicio de la facultad legislativa que le confiere el artículo 240 e inciso final del artículo 264 de la Constitución de la República, en concordancia con lo dispuesto en el artículo 57, letra a) y x) del Código Orgánico de Organización Territorial, Autonomía y Descentralización, y la autonomía política de la que gozan los gobiernos autónomos descentralizados municipales al tenor del Art. 238 Constitucional, expide:</w:t>
      </w:r>
    </w:p>
    <w:p w14:paraId="3A8B7D6D" w14:textId="41E949E1" w:rsidR="009E355F" w:rsidRPr="00B24A80" w:rsidRDefault="009E355F">
      <w:pPr>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br w:type="page"/>
      </w:r>
    </w:p>
    <w:p w14:paraId="3D36EC69" w14:textId="69B5CD00" w:rsidR="00771F00" w:rsidRPr="00B24A80" w:rsidRDefault="00771F00" w:rsidP="00771F00">
      <w:pPr>
        <w:pStyle w:val="Ttulo2"/>
        <w:rPr>
          <w:rFonts w:eastAsia="Calibri" w:cstheme="majorHAnsi"/>
          <w:color w:val="000000"/>
          <w:sz w:val="22"/>
          <w:szCs w:val="22"/>
        </w:rPr>
      </w:pPr>
      <w:bookmarkStart w:id="5" w:name="_heading=h.1fob9te" w:colFirst="0" w:colLast="0"/>
      <w:bookmarkStart w:id="6" w:name="_Toc65711686"/>
      <w:bookmarkStart w:id="7" w:name="_Toc81085624"/>
      <w:bookmarkStart w:id="8" w:name="_Toc181374061"/>
      <w:bookmarkEnd w:id="5"/>
      <w:r w:rsidRPr="00B24A80">
        <w:rPr>
          <w:rFonts w:eastAsia="Calibri" w:cstheme="majorHAnsi"/>
          <w:color w:val="000000"/>
          <w:sz w:val="22"/>
          <w:szCs w:val="22"/>
        </w:rPr>
        <w:lastRenderedPageBreak/>
        <w:t>ORDENANZA SUSTITUTIVA QUE APRUEBA EL PLAN DE DESARROLLO Y ORDENAMIENTO TERRITORIAL Y SU ALINEACIÓN AL PLAN NACIONAL DE DESARROLLO 2024-2025; Y EL PLAN DE USO Y GESTIÓN DEL SUELO DEL CANTÓN LA JOYA DE LOS SACHAS</w:t>
      </w:r>
      <w:bookmarkEnd w:id="8"/>
    </w:p>
    <w:p w14:paraId="0BEA7541" w14:textId="3359FE16" w:rsidR="0072757A" w:rsidRPr="00B24A80" w:rsidRDefault="0072757A" w:rsidP="0072757A">
      <w:pPr>
        <w:pStyle w:val="Ttulo2"/>
        <w:rPr>
          <w:rFonts w:cstheme="majorHAnsi"/>
          <w:sz w:val="22"/>
          <w:szCs w:val="22"/>
        </w:rPr>
      </w:pPr>
      <w:bookmarkStart w:id="9" w:name="_Toc181374062"/>
      <w:r w:rsidRPr="00B24A80">
        <w:rPr>
          <w:rFonts w:eastAsia="Calibri" w:cstheme="majorHAnsi"/>
          <w:color w:val="000000"/>
          <w:sz w:val="22"/>
          <w:szCs w:val="22"/>
        </w:rPr>
        <w:t>LIBRO I</w:t>
      </w:r>
      <w:bookmarkEnd w:id="9"/>
    </w:p>
    <w:p w14:paraId="19098B5D" w14:textId="26BD0A0A" w:rsidR="001B1D36" w:rsidRPr="00B24A80" w:rsidRDefault="00EB5C24" w:rsidP="0022677E">
      <w:pPr>
        <w:pStyle w:val="Ttulo2"/>
        <w:rPr>
          <w:rFonts w:cstheme="majorHAnsi"/>
          <w:sz w:val="22"/>
          <w:szCs w:val="22"/>
        </w:rPr>
      </w:pPr>
      <w:bookmarkStart w:id="10" w:name="_Toc181374063"/>
      <w:r w:rsidRPr="00B24A80">
        <w:rPr>
          <w:rFonts w:eastAsia="Calibri" w:cstheme="majorHAnsi"/>
          <w:color w:val="000000"/>
          <w:sz w:val="22"/>
          <w:szCs w:val="22"/>
        </w:rPr>
        <w:t>TÍTULO</w:t>
      </w:r>
      <w:r w:rsidR="007F5505" w:rsidRPr="00B24A80">
        <w:rPr>
          <w:rFonts w:eastAsia="Calibri" w:cstheme="majorHAnsi"/>
          <w:color w:val="000000"/>
          <w:sz w:val="22"/>
          <w:szCs w:val="22"/>
        </w:rPr>
        <w:t xml:space="preserve"> I</w:t>
      </w:r>
      <w:bookmarkStart w:id="11" w:name="_heading=h.3znysh7" w:colFirst="0" w:colLast="0"/>
      <w:bookmarkEnd w:id="11"/>
      <w:r w:rsidR="001B1D36" w:rsidRPr="00B24A80">
        <w:rPr>
          <w:rFonts w:eastAsia="Calibri" w:cstheme="majorHAnsi"/>
          <w:color w:val="000000"/>
          <w:sz w:val="22"/>
          <w:szCs w:val="22"/>
        </w:rPr>
        <w:br/>
      </w:r>
      <w:r w:rsidR="007F5505" w:rsidRPr="00B24A80">
        <w:rPr>
          <w:rFonts w:cstheme="majorHAnsi"/>
          <w:sz w:val="22"/>
          <w:szCs w:val="22"/>
        </w:rPr>
        <w:t>DISPOSICIONES PRELIMINARES</w:t>
      </w:r>
      <w:bookmarkEnd w:id="6"/>
      <w:bookmarkEnd w:id="7"/>
      <w:bookmarkEnd w:id="10"/>
    </w:p>
    <w:p w14:paraId="1092301B" w14:textId="5A5330FD" w:rsidR="00DC27E8" w:rsidRPr="00B24A80" w:rsidRDefault="007F5505" w:rsidP="0022677E">
      <w:pPr>
        <w:pStyle w:val="Ttulo3"/>
        <w:rPr>
          <w:rFonts w:cstheme="majorHAnsi"/>
          <w:sz w:val="22"/>
          <w:szCs w:val="22"/>
        </w:rPr>
      </w:pPr>
      <w:bookmarkStart w:id="12" w:name="_heading=h.2et92p0" w:colFirst="0" w:colLast="0"/>
      <w:bookmarkStart w:id="13" w:name="_Toc65711687"/>
      <w:bookmarkStart w:id="14" w:name="_Toc81085625"/>
      <w:bookmarkStart w:id="15" w:name="_Toc181374064"/>
      <w:bookmarkEnd w:id="12"/>
      <w:r w:rsidRPr="00B24A80">
        <w:rPr>
          <w:rFonts w:cstheme="majorHAnsi"/>
          <w:sz w:val="22"/>
          <w:szCs w:val="22"/>
        </w:rPr>
        <w:t>CAPÍTULO I</w:t>
      </w:r>
      <w:bookmarkStart w:id="16" w:name="_heading=h.tyjcwt" w:colFirst="0" w:colLast="0"/>
      <w:bookmarkEnd w:id="16"/>
      <w:r w:rsidR="001B1D36" w:rsidRPr="00B24A80">
        <w:rPr>
          <w:rFonts w:cstheme="majorHAnsi"/>
          <w:sz w:val="22"/>
          <w:szCs w:val="22"/>
        </w:rPr>
        <w:br/>
      </w:r>
      <w:r w:rsidRPr="00B24A80">
        <w:rPr>
          <w:rFonts w:cstheme="majorHAnsi"/>
          <w:sz w:val="22"/>
          <w:szCs w:val="22"/>
        </w:rPr>
        <w:t>Objeto, Ámbito, Vigencia y Revisión</w:t>
      </w:r>
      <w:bookmarkEnd w:id="13"/>
      <w:bookmarkEnd w:id="14"/>
      <w:bookmarkEnd w:id="15"/>
    </w:p>
    <w:p w14:paraId="0E379D60" w14:textId="68D3EFA7" w:rsidR="00B454F2" w:rsidRPr="00B24A80" w:rsidRDefault="00B454F2"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De la adopción del Plan.</w:t>
      </w:r>
      <w:r w:rsidRPr="00B24A80">
        <w:rPr>
          <w:rFonts w:asciiTheme="majorHAnsi" w:eastAsia="Calibri" w:hAnsiTheme="majorHAnsi" w:cstheme="majorHAnsi"/>
          <w:szCs w:val="22"/>
        </w:rPr>
        <w:t xml:space="preserve"> - Se </w:t>
      </w:r>
      <w:r w:rsidR="00DA4427" w:rsidRPr="00B24A80">
        <w:rPr>
          <w:rFonts w:asciiTheme="majorHAnsi" w:eastAsia="Calibri" w:hAnsiTheme="majorHAnsi" w:cstheme="majorHAnsi"/>
          <w:szCs w:val="22"/>
        </w:rPr>
        <w:t>expide el</w:t>
      </w:r>
      <w:r w:rsidRPr="00B24A80">
        <w:rPr>
          <w:rFonts w:asciiTheme="majorHAnsi" w:eastAsia="Calibri" w:hAnsiTheme="majorHAnsi" w:cstheme="majorHAnsi"/>
          <w:szCs w:val="22"/>
        </w:rPr>
        <w:t xml:space="preserve"> Plan de Desarrollo y Ordenamiento Territorial denominado (PD</w:t>
      </w:r>
      <w:r w:rsidR="00F673B6" w:rsidRPr="00B24A80">
        <w:rPr>
          <w:rFonts w:asciiTheme="majorHAnsi" w:eastAsia="Calibri" w:hAnsiTheme="majorHAnsi" w:cstheme="majorHAnsi"/>
          <w:szCs w:val="22"/>
        </w:rPr>
        <w:t>y</w:t>
      </w:r>
      <w:r w:rsidRPr="00B24A80">
        <w:rPr>
          <w:rFonts w:asciiTheme="majorHAnsi" w:eastAsia="Calibri" w:hAnsiTheme="majorHAnsi" w:cstheme="majorHAnsi"/>
          <w:szCs w:val="22"/>
        </w:rPr>
        <w:t>OT-SACHA) y el Plan de Uso y Gestión de Suelo (PUGS-SACHA), en su integralidad y contenidos en ambos documentos técnicos y de integración, como instrumentos de planificación y políticas públicas para la planificación</w:t>
      </w:r>
      <w:r w:rsidR="006F5231" w:rsidRPr="00B24A80">
        <w:rPr>
          <w:rFonts w:asciiTheme="majorHAnsi" w:eastAsia="Calibri" w:hAnsiTheme="majorHAnsi" w:cstheme="majorHAnsi"/>
          <w:szCs w:val="22"/>
        </w:rPr>
        <w:t>,</w:t>
      </w:r>
      <w:r w:rsidRPr="00B24A80">
        <w:rPr>
          <w:rFonts w:asciiTheme="majorHAnsi" w:eastAsia="Calibri" w:hAnsiTheme="majorHAnsi" w:cstheme="majorHAnsi"/>
          <w:szCs w:val="22"/>
        </w:rPr>
        <w:t xml:space="preserve"> desarrollo</w:t>
      </w:r>
      <w:r w:rsidR="006F5231" w:rsidRPr="00B24A80">
        <w:rPr>
          <w:rFonts w:asciiTheme="majorHAnsi" w:eastAsia="Calibri" w:hAnsiTheme="majorHAnsi" w:cstheme="majorHAnsi"/>
          <w:szCs w:val="22"/>
        </w:rPr>
        <w:t>,</w:t>
      </w:r>
      <w:r w:rsidRPr="00B24A80">
        <w:rPr>
          <w:rFonts w:asciiTheme="majorHAnsi" w:eastAsia="Calibri" w:hAnsiTheme="majorHAnsi" w:cstheme="majorHAnsi"/>
          <w:szCs w:val="22"/>
        </w:rPr>
        <w:t xml:space="preserve"> ordenamiento territorial y gestión </w:t>
      </w:r>
      <w:r w:rsidR="006F5231" w:rsidRPr="00B24A80">
        <w:rPr>
          <w:rFonts w:asciiTheme="majorHAnsi" w:eastAsia="Calibri" w:hAnsiTheme="majorHAnsi" w:cstheme="majorHAnsi"/>
          <w:szCs w:val="22"/>
        </w:rPr>
        <w:t xml:space="preserve">del </w:t>
      </w:r>
      <w:r w:rsidRPr="00B24A80">
        <w:rPr>
          <w:rFonts w:asciiTheme="majorHAnsi" w:eastAsia="Calibri" w:hAnsiTheme="majorHAnsi" w:cstheme="majorHAnsi"/>
          <w:szCs w:val="22"/>
        </w:rPr>
        <w:t xml:space="preserve">territorio del </w:t>
      </w:r>
      <w:r w:rsidR="006F5231" w:rsidRPr="00B24A80">
        <w:rPr>
          <w:rFonts w:asciiTheme="majorHAnsi" w:eastAsia="Calibri" w:hAnsiTheme="majorHAnsi" w:cstheme="majorHAnsi"/>
          <w:szCs w:val="22"/>
        </w:rPr>
        <w:t>c</w:t>
      </w:r>
      <w:r w:rsidRPr="00B24A80">
        <w:rPr>
          <w:rFonts w:asciiTheme="majorHAnsi" w:eastAsia="Calibri" w:hAnsiTheme="majorHAnsi" w:cstheme="majorHAnsi"/>
          <w:szCs w:val="22"/>
        </w:rPr>
        <w:t>antón La Joya de los Sa</w:t>
      </w:r>
      <w:r w:rsidR="00CD4F27" w:rsidRPr="00B24A80">
        <w:rPr>
          <w:rFonts w:asciiTheme="majorHAnsi" w:eastAsia="Calibri" w:hAnsiTheme="majorHAnsi" w:cstheme="majorHAnsi"/>
          <w:szCs w:val="22"/>
        </w:rPr>
        <w:t>c</w:t>
      </w:r>
      <w:r w:rsidRPr="00B24A80">
        <w:rPr>
          <w:rFonts w:asciiTheme="majorHAnsi" w:eastAsia="Calibri" w:hAnsiTheme="majorHAnsi" w:cstheme="majorHAnsi"/>
          <w:szCs w:val="22"/>
        </w:rPr>
        <w:t>has</w:t>
      </w:r>
      <w:r w:rsidRPr="00B24A80">
        <w:rPr>
          <w:rFonts w:asciiTheme="majorHAnsi" w:eastAsia="Calibri" w:hAnsiTheme="majorHAnsi" w:cstheme="majorHAnsi"/>
          <w:b/>
          <w:szCs w:val="22"/>
        </w:rPr>
        <w:t>.</w:t>
      </w:r>
    </w:p>
    <w:p w14:paraId="445461D3" w14:textId="64C8DECB" w:rsidR="00B95551" w:rsidRPr="00B24A80" w:rsidRDefault="00B454F2"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szCs w:val="22"/>
        </w:rPr>
        <w:t xml:space="preserve">La Ordenanza del Plan de Desarrollo y Ordenamiento </w:t>
      </w:r>
      <w:r w:rsidR="00885754" w:rsidRPr="00B24A80">
        <w:rPr>
          <w:rFonts w:asciiTheme="majorHAnsi" w:eastAsia="Calibri" w:hAnsiTheme="majorHAnsi" w:cstheme="majorHAnsi"/>
          <w:szCs w:val="22"/>
        </w:rPr>
        <w:t>Territorial (</w:t>
      </w:r>
      <w:r w:rsidRPr="00B24A80">
        <w:rPr>
          <w:rFonts w:asciiTheme="majorHAnsi" w:eastAsia="Calibri" w:hAnsiTheme="majorHAnsi" w:cstheme="majorHAnsi"/>
          <w:szCs w:val="22"/>
        </w:rPr>
        <w:t>PD</w:t>
      </w:r>
      <w:r w:rsidR="00F673B6" w:rsidRPr="00B24A80">
        <w:rPr>
          <w:rFonts w:asciiTheme="majorHAnsi" w:eastAsia="Calibri" w:hAnsiTheme="majorHAnsi" w:cstheme="majorHAnsi"/>
          <w:szCs w:val="22"/>
        </w:rPr>
        <w:t>y</w:t>
      </w:r>
      <w:r w:rsidRPr="00B24A80">
        <w:rPr>
          <w:rFonts w:asciiTheme="majorHAnsi" w:eastAsia="Calibri" w:hAnsiTheme="majorHAnsi" w:cstheme="majorHAnsi"/>
          <w:szCs w:val="22"/>
        </w:rPr>
        <w:t>OT-SACHA) y el Plan de Uso y Gestión de Suelo (</w:t>
      </w:r>
      <w:r w:rsidR="00885754" w:rsidRPr="00B24A80">
        <w:rPr>
          <w:rFonts w:asciiTheme="majorHAnsi" w:eastAsia="Calibri" w:hAnsiTheme="majorHAnsi" w:cstheme="majorHAnsi"/>
          <w:szCs w:val="22"/>
        </w:rPr>
        <w:t>PUGS-SACHA</w:t>
      </w:r>
      <w:r w:rsidRPr="00B24A80">
        <w:rPr>
          <w:rFonts w:asciiTheme="majorHAnsi" w:eastAsia="Calibri" w:hAnsiTheme="majorHAnsi" w:cstheme="majorHAnsi"/>
          <w:szCs w:val="22"/>
        </w:rPr>
        <w:t xml:space="preserve">) del Cantón, es un instrumento de carácter jurídico, administrativo y técnico, de cumplimiento obligatorio en sus procesos de planeación, ejecución, control, y sanciones que se aplicaran en el </w:t>
      </w:r>
      <w:r w:rsidR="00CD4F27" w:rsidRPr="00B24A80">
        <w:rPr>
          <w:rFonts w:asciiTheme="majorHAnsi" w:eastAsia="Calibri" w:hAnsiTheme="majorHAnsi" w:cstheme="majorHAnsi"/>
          <w:szCs w:val="22"/>
        </w:rPr>
        <w:t>c</w:t>
      </w:r>
      <w:r w:rsidRPr="00B24A80">
        <w:rPr>
          <w:rFonts w:asciiTheme="majorHAnsi" w:eastAsia="Calibri" w:hAnsiTheme="majorHAnsi" w:cstheme="majorHAnsi"/>
          <w:szCs w:val="22"/>
        </w:rPr>
        <w:t>antón</w:t>
      </w:r>
      <w:r w:rsidRPr="00B24A80">
        <w:rPr>
          <w:rFonts w:asciiTheme="majorHAnsi" w:eastAsia="Calibri" w:hAnsiTheme="majorHAnsi" w:cstheme="majorHAnsi"/>
          <w:b/>
          <w:szCs w:val="22"/>
        </w:rPr>
        <w:t xml:space="preserve"> </w:t>
      </w:r>
      <w:r w:rsidRPr="00B24A80">
        <w:rPr>
          <w:rFonts w:asciiTheme="majorHAnsi" w:eastAsia="Calibri" w:hAnsiTheme="majorHAnsi" w:cstheme="majorHAnsi"/>
          <w:szCs w:val="22"/>
        </w:rPr>
        <w:t>La Joya de los Sa</w:t>
      </w:r>
      <w:r w:rsidR="00CD4F27" w:rsidRPr="00B24A80">
        <w:rPr>
          <w:rFonts w:asciiTheme="majorHAnsi" w:eastAsia="Calibri" w:hAnsiTheme="majorHAnsi" w:cstheme="majorHAnsi"/>
          <w:szCs w:val="22"/>
        </w:rPr>
        <w:t>c</w:t>
      </w:r>
      <w:r w:rsidRPr="00B24A80">
        <w:rPr>
          <w:rFonts w:asciiTheme="majorHAnsi" w:eastAsia="Calibri" w:hAnsiTheme="majorHAnsi" w:cstheme="majorHAnsi"/>
          <w:szCs w:val="22"/>
        </w:rPr>
        <w:t>has</w:t>
      </w:r>
      <w:r w:rsidRPr="00B24A80">
        <w:rPr>
          <w:rFonts w:asciiTheme="majorHAnsi" w:eastAsia="Calibri" w:hAnsiTheme="majorHAnsi" w:cstheme="majorHAnsi"/>
          <w:b/>
          <w:szCs w:val="22"/>
        </w:rPr>
        <w:t>.</w:t>
      </w:r>
    </w:p>
    <w:p w14:paraId="19902C0C" w14:textId="01DB032E" w:rsidR="00B95551" w:rsidRPr="00B24A80" w:rsidRDefault="007F5505"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Objeto.- </w:t>
      </w:r>
      <w:r w:rsidR="00B454F2" w:rsidRPr="00B24A80">
        <w:rPr>
          <w:rFonts w:asciiTheme="majorHAnsi" w:eastAsia="Calibri" w:hAnsiTheme="majorHAnsi" w:cstheme="majorHAnsi"/>
          <w:szCs w:val="22"/>
        </w:rPr>
        <w:t>La presente ordenanza tiene por objeto aprobar la actualización de los objetivos estratégicos, metas de resultados, programas</w:t>
      </w:r>
      <w:r w:rsidR="00145D98" w:rsidRPr="00B24A80">
        <w:rPr>
          <w:rFonts w:asciiTheme="majorHAnsi" w:eastAsia="Calibri" w:hAnsiTheme="majorHAnsi" w:cstheme="majorHAnsi"/>
          <w:szCs w:val="22"/>
        </w:rPr>
        <w:t xml:space="preserve"> y proyectos contemplados en el </w:t>
      </w:r>
      <w:r w:rsidR="00B454F2" w:rsidRPr="00B24A80">
        <w:rPr>
          <w:rFonts w:asciiTheme="majorHAnsi" w:eastAsia="Calibri" w:hAnsiTheme="majorHAnsi" w:cstheme="majorHAnsi"/>
          <w:szCs w:val="22"/>
        </w:rPr>
        <w:t>Plan de Desarrollo y Ordenamiento Territorial</w:t>
      </w:r>
      <w:r w:rsidR="00145D98" w:rsidRPr="00B24A80">
        <w:rPr>
          <w:rFonts w:asciiTheme="majorHAnsi" w:eastAsia="Calibri" w:hAnsiTheme="majorHAnsi" w:cstheme="majorHAnsi"/>
          <w:szCs w:val="22"/>
        </w:rPr>
        <w:t xml:space="preserve"> (PD</w:t>
      </w:r>
      <w:r w:rsidR="00F673B6" w:rsidRPr="00B24A80">
        <w:rPr>
          <w:rFonts w:asciiTheme="majorHAnsi" w:eastAsia="Calibri" w:hAnsiTheme="majorHAnsi" w:cstheme="majorHAnsi"/>
          <w:szCs w:val="22"/>
        </w:rPr>
        <w:t>y</w:t>
      </w:r>
      <w:r w:rsidR="00145D98" w:rsidRPr="00B24A80">
        <w:rPr>
          <w:rFonts w:asciiTheme="majorHAnsi" w:eastAsia="Calibri" w:hAnsiTheme="majorHAnsi" w:cstheme="majorHAnsi"/>
          <w:szCs w:val="22"/>
        </w:rPr>
        <w:t xml:space="preserve">OT) 2023-2027  </w:t>
      </w:r>
      <w:r w:rsidR="00B454F2" w:rsidRPr="00B24A80">
        <w:rPr>
          <w:rFonts w:asciiTheme="majorHAnsi" w:eastAsia="Calibri" w:hAnsiTheme="majorHAnsi" w:cstheme="majorHAnsi"/>
          <w:szCs w:val="22"/>
        </w:rPr>
        <w:t xml:space="preserve">del </w:t>
      </w:r>
      <w:r w:rsidR="00145D98" w:rsidRPr="00B24A80">
        <w:rPr>
          <w:rFonts w:asciiTheme="majorHAnsi" w:eastAsia="Calibri" w:hAnsiTheme="majorHAnsi" w:cstheme="majorHAnsi"/>
          <w:szCs w:val="22"/>
        </w:rPr>
        <w:t xml:space="preserve">GAD Municipal del </w:t>
      </w:r>
      <w:r w:rsidR="00CD4F27" w:rsidRPr="00B24A80">
        <w:rPr>
          <w:rFonts w:asciiTheme="majorHAnsi" w:eastAsia="Calibri" w:hAnsiTheme="majorHAnsi" w:cstheme="majorHAnsi"/>
          <w:szCs w:val="22"/>
        </w:rPr>
        <w:t>cantón La Joya de los Sachas</w:t>
      </w:r>
      <w:r w:rsidR="00B454F2" w:rsidRPr="00B24A80">
        <w:rPr>
          <w:rFonts w:asciiTheme="majorHAnsi" w:eastAsia="Calibri" w:hAnsiTheme="majorHAnsi" w:cstheme="majorHAnsi"/>
          <w:szCs w:val="22"/>
        </w:rPr>
        <w:t>; así como establecer</w:t>
      </w:r>
      <w:r w:rsidRPr="00B24A80">
        <w:rPr>
          <w:rFonts w:asciiTheme="majorHAnsi" w:eastAsia="Calibri" w:hAnsiTheme="majorHAnsi" w:cstheme="majorHAnsi"/>
          <w:szCs w:val="22"/>
        </w:rPr>
        <w:t xml:space="preserve"> las normas de uso y gestión del suelo, urbanísticas y de edificabilidad, fraccionamientos, determinación de suelo urbano y rural, con la finalidad de mantener un crecimiento adecuado y ordenado, que propicie la protección y mantención del área protegida de nuestro cantón, propenda a la integración de los asentamientos en áreas debidamente establecidas que faciliten el acceso a  servicios públicos básicos, como un medio de erradicar la pobreza y lograr el buen vivir.</w:t>
      </w:r>
    </w:p>
    <w:p w14:paraId="5767B211" w14:textId="66F25912" w:rsidR="00B95551" w:rsidRPr="00B24A80" w:rsidRDefault="00B95551" w:rsidP="00B95551">
      <w:pPr>
        <w:pStyle w:val="Prrafodelista"/>
        <w:widowControl/>
        <w:spacing w:after="240" w:line="276" w:lineRule="auto"/>
        <w:ind w:left="0" w:right="-100"/>
        <w:rPr>
          <w:rFonts w:asciiTheme="majorHAnsi" w:eastAsia="Calibri" w:hAnsiTheme="majorHAnsi" w:cstheme="majorHAnsi"/>
          <w:b/>
          <w:szCs w:val="22"/>
        </w:rPr>
      </w:pPr>
    </w:p>
    <w:p w14:paraId="56F9CDB6" w14:textId="0E4F7EFD" w:rsidR="00B95551" w:rsidRPr="00B24A80" w:rsidRDefault="00523F45"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Ámbito de Aplicación. -</w:t>
      </w:r>
      <w:r w:rsidRPr="00B24A80">
        <w:rPr>
          <w:rFonts w:asciiTheme="majorHAnsi" w:eastAsia="Calibri" w:hAnsiTheme="majorHAnsi" w:cstheme="majorHAnsi"/>
          <w:szCs w:val="22"/>
        </w:rPr>
        <w:t xml:space="preserve"> </w:t>
      </w:r>
      <w:r w:rsidR="00A8155B" w:rsidRPr="00B24A80">
        <w:rPr>
          <w:rFonts w:asciiTheme="majorHAnsi" w:eastAsia="Calibri" w:hAnsiTheme="majorHAnsi" w:cstheme="majorHAnsi"/>
          <w:szCs w:val="22"/>
        </w:rPr>
        <w:t>La presente Ordenanza de aprobación del PD</w:t>
      </w:r>
      <w:r w:rsidR="00F673B6" w:rsidRPr="00B24A80">
        <w:rPr>
          <w:rFonts w:asciiTheme="majorHAnsi" w:eastAsia="Calibri" w:hAnsiTheme="majorHAnsi" w:cstheme="majorHAnsi"/>
          <w:szCs w:val="22"/>
        </w:rPr>
        <w:t>y</w:t>
      </w:r>
      <w:r w:rsidR="00A8155B" w:rsidRPr="00B24A80">
        <w:rPr>
          <w:rFonts w:asciiTheme="majorHAnsi" w:eastAsia="Calibri" w:hAnsiTheme="majorHAnsi" w:cstheme="majorHAnsi"/>
          <w:szCs w:val="22"/>
        </w:rPr>
        <w:t>OT y del Plan de Uso y Gestión del Suelo (PUGS), rige dentro de la circunscripción territorial del cantón La Joya de los Sachas.</w:t>
      </w:r>
    </w:p>
    <w:p w14:paraId="263A7CB6" w14:textId="77777777" w:rsidR="00B95551" w:rsidRPr="00B24A80" w:rsidRDefault="00B95551" w:rsidP="00B95551">
      <w:pPr>
        <w:pStyle w:val="Prrafodelista"/>
        <w:rPr>
          <w:rFonts w:asciiTheme="majorHAnsi" w:eastAsia="Calibri" w:hAnsiTheme="majorHAnsi" w:cstheme="majorHAnsi"/>
          <w:b/>
          <w:szCs w:val="22"/>
        </w:rPr>
      </w:pPr>
    </w:p>
    <w:p w14:paraId="3F0ADE44" w14:textId="743A0DC0" w:rsidR="00B95551" w:rsidRPr="00B24A80" w:rsidRDefault="00C90D10"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Finalidad de los Planes:</w:t>
      </w:r>
      <w:r w:rsidRPr="00B24A80">
        <w:rPr>
          <w:rFonts w:asciiTheme="majorHAnsi" w:eastAsia="Calibri" w:hAnsiTheme="majorHAnsi" w:cstheme="majorHAnsi"/>
          <w:szCs w:val="22"/>
        </w:rPr>
        <w:t xml:space="preserve"> Los planes citados, constituyen instrumentos de planificación fundamental y estratégica, para la gestión territorial del cantón La Joya de los Sachas. Los mismos, orient</w:t>
      </w:r>
      <w:r w:rsidR="006F5231" w:rsidRPr="00B24A80">
        <w:rPr>
          <w:rFonts w:asciiTheme="majorHAnsi" w:eastAsia="Calibri" w:hAnsiTheme="majorHAnsi" w:cstheme="majorHAnsi"/>
          <w:szCs w:val="22"/>
        </w:rPr>
        <w:t>a</w:t>
      </w:r>
      <w:r w:rsidRPr="00B24A80">
        <w:rPr>
          <w:rFonts w:asciiTheme="majorHAnsi" w:eastAsia="Calibri" w:hAnsiTheme="majorHAnsi" w:cstheme="majorHAnsi"/>
          <w:szCs w:val="22"/>
        </w:rPr>
        <w:t xml:space="preserve">n y determinan las acciones e intervenciones prioritarias del sector público y privado en el nivel local, y su cumplimiento promueve el desarrollo sostenible de la circunscripción territorial, en alineación a los objetivos nacionales y la normativa vigente. </w:t>
      </w:r>
    </w:p>
    <w:p w14:paraId="5C4B1A1C" w14:textId="77777777" w:rsidR="00B95551" w:rsidRPr="00B24A80" w:rsidRDefault="00B95551" w:rsidP="00B95551">
      <w:pPr>
        <w:pStyle w:val="Prrafodelista"/>
        <w:rPr>
          <w:rFonts w:asciiTheme="majorHAnsi" w:eastAsia="Calibri" w:hAnsiTheme="majorHAnsi" w:cstheme="majorHAnsi"/>
          <w:b/>
          <w:szCs w:val="22"/>
        </w:rPr>
      </w:pPr>
    </w:p>
    <w:p w14:paraId="78422928" w14:textId="145045F6" w:rsidR="00B95551" w:rsidRPr="00B24A80" w:rsidRDefault="00C90D10"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Referentes y gestión del GAD:</w:t>
      </w:r>
      <w:r w:rsidRPr="00B24A80">
        <w:rPr>
          <w:rFonts w:asciiTheme="majorHAnsi" w:eastAsia="Calibri" w:hAnsiTheme="majorHAnsi" w:cstheme="majorHAnsi"/>
          <w:szCs w:val="22"/>
        </w:rPr>
        <w:t xml:space="preserve"> Ambos Planes forman referentes obligatorios para la elaboración de planes de inversión, manejo eficaz del presupuesto y demás instrumentos de gestión del Gobierno Autónomo Descentralizado </w:t>
      </w:r>
      <w:r w:rsidR="006F5231" w:rsidRPr="00B24A80">
        <w:rPr>
          <w:rFonts w:asciiTheme="majorHAnsi" w:eastAsia="Calibri" w:hAnsiTheme="majorHAnsi" w:cstheme="majorHAnsi"/>
          <w:szCs w:val="22"/>
        </w:rPr>
        <w:t>M</w:t>
      </w:r>
      <w:r w:rsidRPr="00B24A80">
        <w:rPr>
          <w:rFonts w:asciiTheme="majorHAnsi" w:eastAsia="Calibri" w:hAnsiTheme="majorHAnsi" w:cstheme="majorHAnsi"/>
          <w:szCs w:val="22"/>
        </w:rPr>
        <w:t xml:space="preserve">unicipal del </w:t>
      </w:r>
      <w:r w:rsidR="00CD4F27" w:rsidRPr="00B24A80">
        <w:rPr>
          <w:rFonts w:asciiTheme="majorHAnsi" w:eastAsia="Calibri" w:hAnsiTheme="majorHAnsi" w:cstheme="majorHAnsi"/>
          <w:szCs w:val="22"/>
        </w:rPr>
        <w:t>cantón La Joya de los Sachas</w:t>
      </w:r>
      <w:r w:rsidRPr="00B24A80">
        <w:rPr>
          <w:rFonts w:asciiTheme="majorHAnsi" w:eastAsia="Calibri" w:hAnsiTheme="majorHAnsi" w:cstheme="majorHAnsi"/>
          <w:szCs w:val="22"/>
        </w:rPr>
        <w:t>.</w:t>
      </w:r>
    </w:p>
    <w:p w14:paraId="6BD5CC83" w14:textId="77777777" w:rsidR="00B95551" w:rsidRPr="00B24A80" w:rsidRDefault="00B95551" w:rsidP="00B95551">
      <w:pPr>
        <w:pStyle w:val="Prrafodelista"/>
        <w:rPr>
          <w:rFonts w:asciiTheme="majorHAnsi" w:eastAsia="Calibri" w:hAnsiTheme="majorHAnsi" w:cstheme="majorHAnsi"/>
          <w:b/>
          <w:szCs w:val="22"/>
        </w:rPr>
      </w:pPr>
    </w:p>
    <w:p w14:paraId="01690458" w14:textId="482D4FC0" w:rsidR="00B95551" w:rsidRPr="00B24A80" w:rsidRDefault="00C90D10"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Aprobación presupuestaria: </w:t>
      </w:r>
      <w:r w:rsidRPr="00B24A80">
        <w:rPr>
          <w:rFonts w:asciiTheme="majorHAnsi" w:eastAsia="Calibri" w:hAnsiTheme="majorHAnsi" w:cstheme="majorHAnsi"/>
          <w:szCs w:val="22"/>
        </w:rPr>
        <w:t xml:space="preserve">De conformidad con lo contemplado en la normativa vigente, el GAD </w:t>
      </w:r>
      <w:r w:rsidR="006F5231" w:rsidRPr="00B24A80">
        <w:rPr>
          <w:rFonts w:asciiTheme="majorHAnsi" w:eastAsia="Calibri" w:hAnsiTheme="majorHAnsi" w:cstheme="majorHAnsi"/>
          <w:szCs w:val="22"/>
        </w:rPr>
        <w:t>M</w:t>
      </w:r>
      <w:r w:rsidRPr="00B24A80">
        <w:rPr>
          <w:rFonts w:asciiTheme="majorHAnsi" w:eastAsia="Calibri" w:hAnsiTheme="majorHAnsi" w:cstheme="majorHAnsi"/>
          <w:szCs w:val="22"/>
        </w:rPr>
        <w:t xml:space="preserve">unicipal del </w:t>
      </w:r>
      <w:r w:rsidR="00CD4F27" w:rsidRPr="00B24A80">
        <w:rPr>
          <w:rFonts w:asciiTheme="majorHAnsi" w:eastAsia="Calibri" w:hAnsiTheme="majorHAnsi" w:cstheme="majorHAnsi"/>
          <w:szCs w:val="22"/>
        </w:rPr>
        <w:t>cantón La Joya de los Sachas</w:t>
      </w:r>
      <w:r w:rsidRPr="00B24A80">
        <w:rPr>
          <w:rFonts w:asciiTheme="majorHAnsi" w:eastAsia="Calibri" w:hAnsiTheme="majorHAnsi" w:cstheme="majorHAnsi"/>
          <w:szCs w:val="22"/>
        </w:rPr>
        <w:t>, tiene la obligación de verificar que el presupuesto del Plan Operativo Anual (POA), de cada año fiscal, guarde coherencia y complementariedad, con los objetivos, planes, programas, proyectos y acciones prioritarias previstas en ambos Planes.</w:t>
      </w:r>
    </w:p>
    <w:p w14:paraId="16655851" w14:textId="77777777" w:rsidR="00B95551" w:rsidRPr="00B24A80" w:rsidRDefault="00B95551" w:rsidP="00B95551">
      <w:pPr>
        <w:pStyle w:val="Prrafodelista"/>
        <w:rPr>
          <w:rFonts w:asciiTheme="majorHAnsi" w:eastAsia="Calibri" w:hAnsiTheme="majorHAnsi" w:cstheme="majorHAnsi"/>
          <w:b/>
          <w:szCs w:val="22"/>
        </w:rPr>
      </w:pPr>
    </w:p>
    <w:p w14:paraId="568C566C" w14:textId="259DD0E1" w:rsidR="00B95551" w:rsidRPr="00B24A80" w:rsidRDefault="00C90D10"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Vigencia y modificaciones:</w:t>
      </w:r>
      <w:r w:rsidRPr="00B24A80">
        <w:rPr>
          <w:rFonts w:eastAsia="Calibri" w:cs="Calibri"/>
          <w:b/>
          <w:bCs/>
          <w:szCs w:val="22"/>
        </w:rPr>
        <w:t xml:space="preserve"> </w:t>
      </w:r>
      <w:r w:rsidRPr="00B24A80">
        <w:rPr>
          <w:rFonts w:asciiTheme="majorHAnsi" w:eastAsia="Calibri" w:hAnsiTheme="majorHAnsi" w:cstheme="majorHAnsi"/>
          <w:szCs w:val="22"/>
        </w:rPr>
        <w:t>El PD</w:t>
      </w:r>
      <w:r w:rsidR="00F673B6" w:rsidRPr="00B24A80">
        <w:rPr>
          <w:rFonts w:asciiTheme="majorHAnsi" w:eastAsia="Calibri" w:hAnsiTheme="majorHAnsi" w:cstheme="majorHAnsi"/>
          <w:szCs w:val="22"/>
        </w:rPr>
        <w:t>y</w:t>
      </w:r>
      <w:r w:rsidRPr="00B24A80">
        <w:rPr>
          <w:rFonts w:asciiTheme="majorHAnsi" w:eastAsia="Calibri" w:hAnsiTheme="majorHAnsi" w:cstheme="majorHAnsi"/>
          <w:szCs w:val="22"/>
        </w:rPr>
        <w:t xml:space="preserve">OT </w:t>
      </w:r>
      <w:r w:rsidR="007C6862" w:rsidRPr="00161058">
        <w:rPr>
          <w:rFonts w:asciiTheme="majorHAnsi" w:eastAsia="Calibri" w:hAnsiTheme="majorHAnsi" w:cstheme="majorHAnsi"/>
          <w:color w:val="FF0000"/>
          <w:szCs w:val="22"/>
        </w:rPr>
        <w:t>(</w:t>
      </w:r>
      <w:r w:rsidR="007C6862" w:rsidRPr="00B24A80">
        <w:rPr>
          <w:rFonts w:asciiTheme="majorHAnsi" w:eastAsia="Calibri" w:hAnsiTheme="majorHAnsi" w:cstheme="majorHAnsi"/>
          <w:szCs w:val="22"/>
        </w:rPr>
        <w:t>y el PUGS</w:t>
      </w:r>
      <w:r w:rsidR="007C6862" w:rsidRPr="00161058">
        <w:rPr>
          <w:rFonts w:asciiTheme="majorHAnsi" w:eastAsia="Calibri" w:hAnsiTheme="majorHAnsi" w:cstheme="majorHAnsi"/>
          <w:color w:val="FF0000"/>
          <w:szCs w:val="22"/>
        </w:rPr>
        <w:t>)</w:t>
      </w:r>
      <w:r w:rsidR="007C6862" w:rsidRPr="00B24A80">
        <w:rPr>
          <w:rFonts w:asciiTheme="majorHAnsi" w:eastAsia="Calibri" w:hAnsiTheme="majorHAnsi" w:cstheme="majorHAnsi"/>
          <w:szCs w:val="22"/>
        </w:rPr>
        <w:t xml:space="preserve"> </w:t>
      </w:r>
      <w:r w:rsidRPr="00B24A80">
        <w:rPr>
          <w:rFonts w:asciiTheme="majorHAnsi" w:eastAsia="Calibri" w:hAnsiTheme="majorHAnsi" w:cstheme="majorHAnsi"/>
          <w:szCs w:val="22"/>
        </w:rPr>
        <w:t xml:space="preserve">del GAD </w:t>
      </w:r>
      <w:r w:rsidR="007C6862" w:rsidRPr="00B24A80">
        <w:rPr>
          <w:rFonts w:asciiTheme="majorHAnsi" w:eastAsia="Calibri" w:hAnsiTheme="majorHAnsi" w:cstheme="majorHAnsi"/>
          <w:szCs w:val="22"/>
        </w:rPr>
        <w:t>M</w:t>
      </w:r>
      <w:r w:rsidRPr="00B24A80">
        <w:rPr>
          <w:rFonts w:asciiTheme="majorHAnsi" w:eastAsia="Calibri" w:hAnsiTheme="majorHAnsi" w:cstheme="majorHAnsi"/>
          <w:szCs w:val="22"/>
        </w:rPr>
        <w:t xml:space="preserve">unicipal del </w:t>
      </w:r>
      <w:r w:rsidR="00161058" w:rsidRPr="00161058">
        <w:rPr>
          <w:rFonts w:asciiTheme="majorHAnsi" w:eastAsia="Calibri" w:hAnsiTheme="majorHAnsi" w:cstheme="majorHAnsi"/>
          <w:szCs w:val="22"/>
        </w:rPr>
        <w:t>C</w:t>
      </w:r>
      <w:r w:rsidR="00CD4F27" w:rsidRPr="00B24A80">
        <w:rPr>
          <w:rFonts w:asciiTheme="majorHAnsi" w:eastAsia="Calibri" w:hAnsiTheme="majorHAnsi" w:cstheme="majorHAnsi"/>
          <w:szCs w:val="22"/>
        </w:rPr>
        <w:t>antón La Joya de los Sachas</w:t>
      </w:r>
      <w:r w:rsidRPr="00B24A80">
        <w:rPr>
          <w:rFonts w:asciiTheme="majorHAnsi" w:eastAsia="Calibri" w:hAnsiTheme="majorHAnsi" w:cstheme="majorHAnsi"/>
          <w:szCs w:val="22"/>
        </w:rPr>
        <w:t xml:space="preserve"> regirá durante el periodo comprendido </w:t>
      </w:r>
      <w:r w:rsidR="007F65EA">
        <w:rPr>
          <w:rFonts w:asciiTheme="majorHAnsi" w:eastAsia="Calibri" w:hAnsiTheme="majorHAnsi" w:cstheme="majorHAnsi"/>
          <w:szCs w:val="22"/>
        </w:rPr>
        <w:t>entre la fecha de su vigencia hasta la fecha de la actualización de la nueva administración</w:t>
      </w:r>
      <w:r w:rsidRPr="00B24A80">
        <w:rPr>
          <w:rFonts w:asciiTheme="majorHAnsi" w:eastAsia="Calibri" w:hAnsiTheme="majorHAnsi" w:cstheme="majorHAnsi"/>
          <w:szCs w:val="22"/>
        </w:rPr>
        <w:t>. Para el caso de estrategias, programas, proyectos u otras acciones estratégicas a largo plazo, su vigencia será la establecida en las mismas. El Plan podrá ser ajustado o modificado con la aprobación formal del Concejo Municipal, previo la resolución favorable del Consejo de Planificación Cantonal, al informe técnico de la unidad responsable del PD</w:t>
      </w:r>
      <w:r w:rsidR="00F673B6" w:rsidRPr="00B24A80">
        <w:rPr>
          <w:rFonts w:asciiTheme="majorHAnsi" w:eastAsia="Calibri" w:hAnsiTheme="majorHAnsi" w:cstheme="majorHAnsi"/>
          <w:szCs w:val="22"/>
        </w:rPr>
        <w:t>y</w:t>
      </w:r>
      <w:r w:rsidRPr="00B24A80">
        <w:rPr>
          <w:rFonts w:asciiTheme="majorHAnsi" w:eastAsia="Calibri" w:hAnsiTheme="majorHAnsi" w:cstheme="majorHAnsi"/>
          <w:szCs w:val="22"/>
        </w:rPr>
        <w:t>OT del GAD municipal del cantón la Joya de los Sachas, en irrestricto apego a la normativa vigente y en el marco de las competencias de cada instancia.</w:t>
      </w:r>
      <w:r w:rsidRPr="00B24A80">
        <w:rPr>
          <w:rFonts w:cs="Calibri"/>
          <w:szCs w:val="22"/>
        </w:rPr>
        <w:t xml:space="preserve"> </w:t>
      </w:r>
    </w:p>
    <w:p w14:paraId="5F313ED4" w14:textId="77777777" w:rsidR="00B95551" w:rsidRPr="00B24A80" w:rsidRDefault="00B95551" w:rsidP="00B95551">
      <w:pPr>
        <w:pStyle w:val="Prrafodelista"/>
        <w:rPr>
          <w:rFonts w:asciiTheme="majorHAnsi" w:eastAsia="Calibri" w:hAnsiTheme="majorHAnsi" w:cstheme="majorHAnsi"/>
          <w:b/>
          <w:color w:val="000000"/>
          <w:szCs w:val="22"/>
        </w:rPr>
      </w:pPr>
    </w:p>
    <w:p w14:paraId="728B7BA9" w14:textId="26F9CE84" w:rsidR="00B95551" w:rsidRPr="00B24A80" w:rsidRDefault="00C90D10" w:rsidP="00CA24CF">
      <w:pPr>
        <w:pStyle w:val="Prrafodelista"/>
        <w:widowControl/>
        <w:numPr>
          <w:ilvl w:val="0"/>
          <w:numId w:val="114"/>
        </w:numPr>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color w:val="000000"/>
          <w:szCs w:val="22"/>
        </w:rPr>
        <w:t>Seguimiento y evaluación de los Planes:</w:t>
      </w:r>
      <w:r w:rsidRPr="00B24A80">
        <w:rPr>
          <w:rFonts w:asciiTheme="majorHAnsi" w:eastAsia="Calibri" w:hAnsiTheme="majorHAnsi" w:cstheme="majorHAnsi"/>
          <w:szCs w:val="22"/>
        </w:rPr>
        <w:t xml:space="preserve"> </w:t>
      </w:r>
      <w:r w:rsidRPr="00B24A80">
        <w:rPr>
          <w:rFonts w:asciiTheme="majorHAnsi" w:eastAsia="Calibri" w:hAnsiTheme="majorHAnsi" w:cstheme="majorHAnsi"/>
          <w:color w:val="000000"/>
          <w:szCs w:val="22"/>
        </w:rPr>
        <w:t xml:space="preserve">El GAD </w:t>
      </w:r>
      <w:r w:rsidR="007C6862" w:rsidRPr="00B24A80">
        <w:rPr>
          <w:rFonts w:asciiTheme="majorHAnsi" w:eastAsia="Calibri" w:hAnsiTheme="majorHAnsi" w:cstheme="majorHAnsi"/>
          <w:color w:val="000000"/>
          <w:szCs w:val="22"/>
        </w:rPr>
        <w:t>M</w:t>
      </w:r>
      <w:r w:rsidRPr="00B24A80">
        <w:rPr>
          <w:rFonts w:asciiTheme="majorHAnsi" w:eastAsia="Calibri" w:hAnsiTheme="majorHAnsi" w:cstheme="majorHAnsi"/>
          <w:color w:val="000000"/>
          <w:szCs w:val="22"/>
        </w:rPr>
        <w:t xml:space="preserve">unicipal del </w:t>
      </w:r>
      <w:r w:rsidR="00CD4F27" w:rsidRPr="00B24A80">
        <w:rPr>
          <w:rFonts w:asciiTheme="majorHAnsi" w:eastAsia="Calibri" w:hAnsiTheme="majorHAnsi" w:cstheme="majorHAnsi"/>
          <w:color w:val="000000"/>
          <w:szCs w:val="22"/>
        </w:rPr>
        <w:t>cantón La Joya de los Sachas</w:t>
      </w:r>
      <w:r w:rsidRPr="00B24A80">
        <w:rPr>
          <w:rFonts w:asciiTheme="majorHAnsi" w:eastAsia="Calibri" w:hAnsiTheme="majorHAnsi" w:cstheme="majorHAnsi"/>
          <w:color w:val="000000"/>
          <w:szCs w:val="22"/>
        </w:rPr>
        <w:t xml:space="preserve">, realizará un seguimiento permanente de las metas e indicadores contenidos en sus Planes. El seguimiento y evaluación le corresponde al equipo técnico permanente responsable del GAD </w:t>
      </w:r>
      <w:r w:rsidR="007C6862" w:rsidRPr="00B24A80">
        <w:rPr>
          <w:rFonts w:asciiTheme="majorHAnsi" w:eastAsia="Calibri" w:hAnsiTheme="majorHAnsi" w:cstheme="majorHAnsi"/>
          <w:color w:val="000000"/>
          <w:szCs w:val="22"/>
        </w:rPr>
        <w:t>M</w:t>
      </w:r>
      <w:r w:rsidRPr="00B24A80">
        <w:rPr>
          <w:rFonts w:asciiTheme="majorHAnsi" w:eastAsia="Calibri" w:hAnsiTheme="majorHAnsi" w:cstheme="majorHAnsi"/>
          <w:color w:val="000000"/>
          <w:szCs w:val="22"/>
        </w:rPr>
        <w:t xml:space="preserve">unicipal del </w:t>
      </w:r>
      <w:r w:rsidR="00CD4F27" w:rsidRPr="00B24A80">
        <w:rPr>
          <w:rFonts w:asciiTheme="majorHAnsi" w:eastAsia="Calibri" w:hAnsiTheme="majorHAnsi" w:cstheme="majorHAnsi"/>
          <w:color w:val="000000"/>
          <w:szCs w:val="22"/>
        </w:rPr>
        <w:t>cantón La Joya de los Sachas</w:t>
      </w:r>
      <w:r w:rsidRPr="00B24A80">
        <w:rPr>
          <w:rFonts w:asciiTheme="majorHAnsi" w:eastAsia="Calibri" w:hAnsiTheme="majorHAnsi" w:cstheme="majorHAnsi"/>
          <w:color w:val="000000"/>
          <w:szCs w:val="22"/>
        </w:rPr>
        <w:t xml:space="preserve">, que reportará su acción al Consejo de Planificación Cantonal e instancias de participación ciudadana establecidas en el </w:t>
      </w:r>
      <w:r w:rsidR="007C6862" w:rsidRPr="00B24A80">
        <w:rPr>
          <w:rFonts w:asciiTheme="majorHAnsi" w:eastAsia="Calibri" w:hAnsiTheme="majorHAnsi" w:cstheme="majorHAnsi"/>
          <w:color w:val="000000"/>
          <w:szCs w:val="22"/>
        </w:rPr>
        <w:t>C</w:t>
      </w:r>
      <w:r w:rsidRPr="00B24A80">
        <w:rPr>
          <w:rFonts w:asciiTheme="majorHAnsi" w:eastAsia="Calibri" w:hAnsiTheme="majorHAnsi" w:cstheme="majorHAnsi"/>
          <w:color w:val="000000"/>
          <w:szCs w:val="22"/>
        </w:rPr>
        <w:t xml:space="preserve">antón, de acuerdo a lo previsto en el marco legal vigente. Independientemente de cambios en las autoridades o equipo técnico del </w:t>
      </w:r>
      <w:r w:rsidR="007C6862" w:rsidRPr="00B24A80">
        <w:rPr>
          <w:rFonts w:asciiTheme="majorHAnsi" w:eastAsia="Calibri" w:hAnsiTheme="majorHAnsi" w:cstheme="majorHAnsi"/>
          <w:color w:val="000000"/>
          <w:szCs w:val="22"/>
        </w:rPr>
        <w:t>GADMCJS</w:t>
      </w:r>
      <w:r w:rsidRPr="00B24A80">
        <w:rPr>
          <w:rFonts w:asciiTheme="majorHAnsi" w:eastAsia="Calibri" w:hAnsiTheme="majorHAnsi" w:cstheme="majorHAnsi"/>
          <w:color w:val="000000"/>
          <w:szCs w:val="22"/>
        </w:rPr>
        <w:t xml:space="preserve">, las responsabilidades para seguimiento y evaluación </w:t>
      </w:r>
      <w:r w:rsidR="007F65EA" w:rsidRPr="00B24A80">
        <w:rPr>
          <w:rFonts w:asciiTheme="majorHAnsi" w:eastAsia="Calibri" w:hAnsiTheme="majorHAnsi" w:cstheme="majorHAnsi"/>
          <w:color w:val="000000"/>
          <w:szCs w:val="22"/>
        </w:rPr>
        <w:t>estarán a</w:t>
      </w:r>
      <w:r w:rsidRPr="00B24A80">
        <w:rPr>
          <w:rFonts w:asciiTheme="majorHAnsi" w:eastAsia="Calibri" w:hAnsiTheme="majorHAnsi" w:cstheme="majorHAnsi"/>
          <w:color w:val="000000"/>
          <w:szCs w:val="22"/>
        </w:rPr>
        <w:t xml:space="preserve"> cargo</w:t>
      </w:r>
      <w:r w:rsidR="00633892" w:rsidRPr="00B24A80">
        <w:rPr>
          <w:rFonts w:asciiTheme="majorHAnsi" w:eastAsia="Calibri" w:hAnsiTheme="majorHAnsi" w:cstheme="majorHAnsi"/>
          <w:color w:val="000000"/>
          <w:szCs w:val="22"/>
        </w:rPr>
        <w:t xml:space="preserve"> de la Jefatura de Ordenamiento Territorial</w:t>
      </w:r>
      <w:r w:rsidRPr="00B24A80">
        <w:rPr>
          <w:rFonts w:asciiTheme="majorHAnsi" w:eastAsia="Calibri" w:hAnsiTheme="majorHAnsi" w:cstheme="majorHAnsi"/>
          <w:color w:val="000000"/>
          <w:szCs w:val="22"/>
        </w:rPr>
        <w:t>,</w:t>
      </w:r>
      <w:r w:rsidR="007C6862" w:rsidRPr="00B24A80">
        <w:rPr>
          <w:rFonts w:asciiTheme="majorHAnsi" w:eastAsia="Calibri" w:hAnsiTheme="majorHAnsi" w:cstheme="majorHAnsi"/>
          <w:color w:val="000000"/>
          <w:szCs w:val="22"/>
        </w:rPr>
        <w:t xml:space="preserve"> </w:t>
      </w:r>
      <w:r w:rsidR="007F65EA">
        <w:rPr>
          <w:rFonts w:asciiTheme="majorHAnsi" w:eastAsia="Calibri" w:hAnsiTheme="majorHAnsi" w:cstheme="majorHAnsi"/>
          <w:color w:val="000000"/>
          <w:szCs w:val="22"/>
        </w:rPr>
        <w:t>o quien haga sus veces</w:t>
      </w:r>
      <w:r w:rsidRPr="00B24A80">
        <w:rPr>
          <w:rFonts w:asciiTheme="majorHAnsi" w:eastAsia="Calibri" w:hAnsiTheme="majorHAnsi" w:cstheme="majorHAnsi"/>
          <w:color w:val="000000"/>
          <w:szCs w:val="22"/>
        </w:rPr>
        <w:t xml:space="preserve">, con el fin de dar continuidad y resultados eficientes a lo previsto en los instrumentos de planificación del </w:t>
      </w:r>
      <w:r w:rsidR="007C6862" w:rsidRPr="00B24A80">
        <w:rPr>
          <w:rFonts w:asciiTheme="majorHAnsi" w:eastAsia="Calibri" w:hAnsiTheme="majorHAnsi" w:cstheme="majorHAnsi"/>
          <w:color w:val="000000"/>
          <w:szCs w:val="22"/>
        </w:rPr>
        <w:t>C</w:t>
      </w:r>
      <w:r w:rsidRPr="00B24A80">
        <w:rPr>
          <w:rFonts w:asciiTheme="majorHAnsi" w:eastAsia="Calibri" w:hAnsiTheme="majorHAnsi" w:cstheme="majorHAnsi"/>
          <w:color w:val="000000"/>
          <w:szCs w:val="22"/>
        </w:rPr>
        <w:t xml:space="preserve">antón, independientemente de las ideologías políticas u otros intereses que puedan conflictuar su accionar. Se fomentará, bajo todo concepto, la transparencia en la gestión, el manejo de recursos, socialización de resultados y rendición de cuentas, promoviendo el desarrollo del </w:t>
      </w:r>
      <w:r w:rsidR="007C6862" w:rsidRPr="00B24A80">
        <w:rPr>
          <w:rFonts w:asciiTheme="majorHAnsi" w:eastAsia="Calibri" w:hAnsiTheme="majorHAnsi" w:cstheme="majorHAnsi"/>
          <w:color w:val="000000"/>
          <w:szCs w:val="22"/>
        </w:rPr>
        <w:t>C</w:t>
      </w:r>
      <w:r w:rsidRPr="00B24A80">
        <w:rPr>
          <w:rFonts w:asciiTheme="majorHAnsi" w:eastAsia="Calibri" w:hAnsiTheme="majorHAnsi" w:cstheme="majorHAnsi"/>
          <w:color w:val="000000"/>
          <w:szCs w:val="22"/>
        </w:rPr>
        <w:t>antón y dejando de lado los intereses personales, de ser el caso.</w:t>
      </w:r>
    </w:p>
    <w:p w14:paraId="34AB63DC" w14:textId="56C5519F" w:rsidR="00B95551" w:rsidRPr="00B24A80" w:rsidRDefault="00CC319B" w:rsidP="00CA24CF">
      <w:pPr>
        <w:pStyle w:val="Prrafodelista"/>
        <w:widowControl/>
        <w:numPr>
          <w:ilvl w:val="0"/>
          <w:numId w:val="114"/>
        </w:numPr>
        <w:spacing w:after="240" w:line="276" w:lineRule="auto"/>
        <w:ind w:left="0" w:firstLine="0"/>
        <w:rPr>
          <w:rFonts w:asciiTheme="majorHAnsi" w:eastAsia="Calibri" w:hAnsiTheme="majorHAnsi" w:cstheme="majorHAnsi"/>
          <w:b/>
          <w:szCs w:val="22"/>
        </w:rPr>
      </w:pPr>
      <w:r w:rsidRPr="00B24A80">
        <w:rPr>
          <w:rFonts w:asciiTheme="majorHAnsi" w:eastAsia="Calibri" w:hAnsiTheme="majorHAnsi" w:cstheme="majorHAnsi"/>
          <w:b/>
          <w:color w:val="000000"/>
          <w:szCs w:val="22"/>
        </w:rPr>
        <w:t xml:space="preserve">Jerarquía Normativa. - </w:t>
      </w:r>
      <w:r w:rsidRPr="00B24A80">
        <w:rPr>
          <w:rFonts w:asciiTheme="majorHAnsi" w:eastAsia="Calibri" w:hAnsiTheme="majorHAnsi" w:cstheme="majorHAnsi"/>
          <w:color w:val="000000"/>
          <w:szCs w:val="22"/>
        </w:rPr>
        <w:t>El contenido de la Ordenanza PD</w:t>
      </w:r>
      <w:r w:rsidR="00F673B6" w:rsidRPr="00B24A80">
        <w:rPr>
          <w:rFonts w:asciiTheme="majorHAnsi" w:eastAsia="Calibri" w:hAnsiTheme="majorHAnsi" w:cstheme="majorHAnsi"/>
          <w:color w:val="000000"/>
          <w:szCs w:val="22"/>
        </w:rPr>
        <w:t>y</w:t>
      </w:r>
      <w:r w:rsidRPr="00B24A80">
        <w:rPr>
          <w:rFonts w:asciiTheme="majorHAnsi" w:eastAsia="Calibri" w:hAnsiTheme="majorHAnsi" w:cstheme="majorHAnsi"/>
          <w:color w:val="000000"/>
          <w:szCs w:val="22"/>
        </w:rPr>
        <w:t>OT-PUGS-SACHA</w:t>
      </w:r>
      <w:r w:rsidR="00633892"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junto con sus componentes técnicos y legales, está completamente en consonancia con las leyes y la </w:t>
      </w:r>
      <w:r w:rsidR="007C6862" w:rsidRPr="00B24A80">
        <w:rPr>
          <w:rFonts w:asciiTheme="majorHAnsi" w:eastAsia="Calibri" w:hAnsiTheme="majorHAnsi" w:cstheme="majorHAnsi"/>
          <w:color w:val="000000"/>
          <w:szCs w:val="22"/>
        </w:rPr>
        <w:t>C</w:t>
      </w:r>
      <w:r w:rsidRPr="00B24A80">
        <w:rPr>
          <w:rFonts w:asciiTheme="majorHAnsi" w:eastAsia="Calibri" w:hAnsiTheme="majorHAnsi" w:cstheme="majorHAnsi"/>
          <w:color w:val="000000"/>
          <w:szCs w:val="22"/>
        </w:rPr>
        <w:t xml:space="preserve">onstitución vigentes. Por lo tanto, esta ordenanza tendrá </w:t>
      </w:r>
      <w:r w:rsidR="007C6862" w:rsidRPr="00B24A80">
        <w:rPr>
          <w:rFonts w:asciiTheme="majorHAnsi" w:eastAsia="Calibri" w:hAnsiTheme="majorHAnsi" w:cstheme="majorHAnsi"/>
          <w:color w:val="000000"/>
          <w:szCs w:val="22"/>
        </w:rPr>
        <w:t>supremacía</w:t>
      </w:r>
      <w:r w:rsidR="00633892"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sobre cualquier otra ordenanza, acto administrativo o normativa municipal emitida por el Concejo que contradiga, modifique o limite su contenido o alcance.</w:t>
      </w:r>
    </w:p>
    <w:p w14:paraId="7BD6EC11" w14:textId="663E3427" w:rsidR="00CC319B" w:rsidRPr="00B24A80" w:rsidRDefault="00CC319B"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Vinculación Jurídica. -</w:t>
      </w:r>
      <w:r w:rsidRPr="00B24A80">
        <w:rPr>
          <w:rFonts w:asciiTheme="majorHAnsi" w:eastAsia="Calibri" w:hAnsiTheme="majorHAnsi" w:cstheme="majorHAnsi"/>
          <w:color w:val="000000"/>
          <w:szCs w:val="22"/>
        </w:rPr>
        <w:t>La Ordenanza PD</w:t>
      </w:r>
      <w:r w:rsidR="00F673B6" w:rsidRPr="00B24A80">
        <w:rPr>
          <w:rFonts w:asciiTheme="majorHAnsi" w:eastAsia="Calibri" w:hAnsiTheme="majorHAnsi" w:cstheme="majorHAnsi"/>
          <w:color w:val="000000"/>
          <w:szCs w:val="22"/>
        </w:rPr>
        <w:t>y</w:t>
      </w:r>
      <w:r w:rsidRPr="00B24A80">
        <w:rPr>
          <w:rFonts w:asciiTheme="majorHAnsi" w:eastAsia="Calibri" w:hAnsiTheme="majorHAnsi" w:cstheme="majorHAnsi"/>
          <w:color w:val="000000"/>
          <w:szCs w:val="22"/>
        </w:rPr>
        <w:t>OT-PUGS-SACHA es de carácter obligatorio y establece derechos y obligaciones para el GAD Municipal, así como para personas y entidades, sean estas públicas o privadas. Cualquier normativa adicional que se desarrolle debe estar en armonía con lo establecido en esta Ordenanza.</w:t>
      </w:r>
    </w:p>
    <w:p w14:paraId="02A9DAFD" w14:textId="77777777" w:rsidR="00B95551" w:rsidRPr="00B24A80" w:rsidRDefault="00B95551" w:rsidP="00B95551">
      <w:pPr>
        <w:pStyle w:val="Prrafodelista"/>
        <w:widowControl/>
        <w:tabs>
          <w:tab w:val="left" w:pos="851"/>
        </w:tabs>
        <w:spacing w:after="240" w:line="276" w:lineRule="auto"/>
        <w:ind w:left="0" w:right="-100"/>
        <w:rPr>
          <w:rFonts w:asciiTheme="majorHAnsi" w:eastAsia="Calibri" w:hAnsiTheme="majorHAnsi" w:cstheme="majorHAnsi"/>
          <w:szCs w:val="22"/>
        </w:rPr>
      </w:pPr>
    </w:p>
    <w:p w14:paraId="7CF944F0" w14:textId="1843D754" w:rsidR="00EE04AC" w:rsidRPr="00B24A80" w:rsidRDefault="00CC319B" w:rsidP="00CE1A4A">
      <w:pPr>
        <w:pStyle w:val="Prrafodelista"/>
        <w:widowControl/>
        <w:numPr>
          <w:ilvl w:val="0"/>
          <w:numId w:val="114"/>
        </w:numPr>
        <w:tabs>
          <w:tab w:val="left" w:pos="851"/>
        </w:tabs>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b/>
          <w:szCs w:val="22"/>
        </w:rPr>
        <w:t>Interpretación y aplicación de la norma. -</w:t>
      </w:r>
      <w:r w:rsidRPr="00B24A80">
        <w:rPr>
          <w:szCs w:val="22"/>
        </w:rPr>
        <w:t xml:space="preserve"> </w:t>
      </w:r>
      <w:r w:rsidR="00EE04AC" w:rsidRPr="00B24A80">
        <w:rPr>
          <w:rFonts w:asciiTheme="majorHAnsi" w:eastAsia="Calibri" w:hAnsiTheme="majorHAnsi" w:cstheme="majorHAnsi"/>
          <w:szCs w:val="22"/>
        </w:rPr>
        <w:t>Para la correcta aplicación e interpretación de esta Ordenanza, se tomará como referencia obligatoria</w:t>
      </w:r>
      <w:r w:rsidR="007F65EA">
        <w:rPr>
          <w:rFonts w:asciiTheme="majorHAnsi" w:eastAsia="Calibri" w:hAnsiTheme="majorHAnsi" w:cstheme="majorHAnsi"/>
          <w:szCs w:val="22"/>
        </w:rPr>
        <w:t xml:space="preserve"> el COOTAD, LOOTUGS y su reglamento,</w:t>
      </w:r>
      <w:r w:rsidR="00EE04AC" w:rsidRPr="00B24A80">
        <w:rPr>
          <w:rFonts w:asciiTheme="majorHAnsi" w:eastAsia="Calibri" w:hAnsiTheme="majorHAnsi" w:cstheme="majorHAnsi"/>
          <w:szCs w:val="22"/>
        </w:rPr>
        <w:t xml:space="preserve"> que constituyen los instrumentos principales para la gestión del desarrollo y ordenamiento del territorio.</w:t>
      </w:r>
    </w:p>
    <w:p w14:paraId="20D66B65" w14:textId="77777777" w:rsidR="00EE04AC" w:rsidRPr="00B24A80" w:rsidRDefault="00EE04AC" w:rsidP="00CE1A4A">
      <w:pPr>
        <w:widowControl/>
        <w:tabs>
          <w:tab w:val="left" w:pos="851"/>
        </w:tabs>
        <w:spacing w:after="240" w:line="276" w:lineRule="auto"/>
        <w:ind w:left="360"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Ninguna entidad estatal, empresa pública o persona, sea jurídica o natural, podrá interpretar o aplicar esta Ordenanza de manera diferente a lo establecido en estos instrumentos.</w:t>
      </w:r>
    </w:p>
    <w:p w14:paraId="01A32BE9" w14:textId="100FB82B" w:rsidR="00EE04AC" w:rsidRPr="00B24A80" w:rsidRDefault="00EE04AC" w:rsidP="00CE1A4A">
      <w:pPr>
        <w:widowControl/>
        <w:tabs>
          <w:tab w:val="left" w:pos="851"/>
        </w:tabs>
        <w:spacing w:after="240" w:line="276" w:lineRule="auto"/>
        <w:ind w:left="360"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En caso de presentar dudas, contradicciones o ambigüedades en la aplicación o interpretación de esta Ordenanza, prevalecerán los criterios que se alineen de manera más fiel con las competencias constitucionales en materia de ordenamiento territorial y con las atribuciones del Gobierno Autónomo Descentralizado Municipal de La Joya de los Sachas.</w:t>
      </w:r>
    </w:p>
    <w:p w14:paraId="6CA72E0E" w14:textId="1FFD9D16" w:rsidR="00EE04AC" w:rsidRPr="00B24A80" w:rsidRDefault="00EE04AC" w:rsidP="00CE1A4A">
      <w:pPr>
        <w:widowControl/>
        <w:tabs>
          <w:tab w:val="left" w:pos="851"/>
        </w:tabs>
        <w:spacing w:after="240" w:line="276" w:lineRule="auto"/>
        <w:ind w:left="360" w:right="-100"/>
        <w:rPr>
          <w:rFonts w:asciiTheme="majorHAnsi" w:eastAsia="Calibri" w:hAnsiTheme="majorHAnsi" w:cstheme="majorHAnsi"/>
          <w:b/>
          <w:sz w:val="22"/>
          <w:szCs w:val="22"/>
        </w:rPr>
      </w:pPr>
      <w:r w:rsidRPr="00B24A80">
        <w:rPr>
          <w:rFonts w:asciiTheme="majorHAnsi" w:eastAsia="Calibri" w:hAnsiTheme="majorHAnsi" w:cstheme="majorHAnsi"/>
          <w:sz w:val="22"/>
          <w:szCs w:val="22"/>
        </w:rPr>
        <w:t xml:space="preserve">La resolución de cualquier discrepancia deberá priorizar la mejora de los espacios públicos, la provisión de equipamiento comunitario, la protección del patrimonio natural y cultural, la reducción del impacto ambiental y paisajístico, y el beneficio social colectivo, considerando siempre </w:t>
      </w:r>
      <w:r w:rsidR="00DA4427" w:rsidRPr="00B24A80">
        <w:rPr>
          <w:rFonts w:asciiTheme="majorHAnsi" w:eastAsia="Calibri" w:hAnsiTheme="majorHAnsi" w:cstheme="majorHAnsi"/>
          <w:sz w:val="22"/>
          <w:szCs w:val="22"/>
        </w:rPr>
        <w:t>la función</w:t>
      </w:r>
      <w:r w:rsidRPr="00B24A80">
        <w:rPr>
          <w:rFonts w:asciiTheme="majorHAnsi" w:eastAsia="Calibri" w:hAnsiTheme="majorHAnsi" w:cstheme="majorHAnsi"/>
          <w:sz w:val="22"/>
          <w:szCs w:val="22"/>
        </w:rPr>
        <w:t xml:space="preserve"> social de la propiedad y su subordinación a los intereses públicos.</w:t>
      </w:r>
    </w:p>
    <w:p w14:paraId="67A31BC1" w14:textId="7902D045" w:rsidR="00F50358" w:rsidRPr="008676B7" w:rsidRDefault="00CC319B" w:rsidP="008676B7">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8676B7">
        <w:rPr>
          <w:rFonts w:asciiTheme="majorHAnsi" w:eastAsia="Calibri" w:hAnsiTheme="majorHAnsi" w:cstheme="majorHAnsi"/>
          <w:b/>
          <w:szCs w:val="22"/>
        </w:rPr>
        <w:t xml:space="preserve">Declaración de interés público o social. - </w:t>
      </w:r>
      <w:r w:rsidRPr="008676B7">
        <w:rPr>
          <w:rFonts w:asciiTheme="majorHAnsi" w:eastAsia="Calibri" w:hAnsiTheme="majorHAnsi" w:cstheme="majorHAnsi"/>
          <w:szCs w:val="22"/>
        </w:rPr>
        <w:t xml:space="preserve">A través de esta Ordenanza, se declara de interés público y social todas las actividades y operaciones de planificación, ordenamiento y gestión del territorio en el </w:t>
      </w:r>
      <w:r w:rsidR="00917215" w:rsidRPr="008676B7">
        <w:rPr>
          <w:rFonts w:asciiTheme="majorHAnsi" w:eastAsia="Calibri" w:hAnsiTheme="majorHAnsi" w:cstheme="majorHAnsi"/>
          <w:szCs w:val="22"/>
        </w:rPr>
        <w:t>C</w:t>
      </w:r>
      <w:r w:rsidR="008676B7">
        <w:rPr>
          <w:rFonts w:asciiTheme="majorHAnsi" w:eastAsia="Calibri" w:hAnsiTheme="majorHAnsi" w:cstheme="majorHAnsi"/>
          <w:szCs w:val="22"/>
        </w:rPr>
        <w:t xml:space="preserve">antón. </w:t>
      </w:r>
      <w:r w:rsidRPr="008676B7">
        <w:rPr>
          <w:rFonts w:asciiTheme="majorHAnsi" w:eastAsia="Calibri" w:hAnsiTheme="majorHAnsi" w:cstheme="majorHAnsi"/>
          <w:szCs w:val="22"/>
        </w:rPr>
        <w:t xml:space="preserve">Tanto las acciones públicas como privadas que afecten el territorio del </w:t>
      </w:r>
      <w:r w:rsidR="00917215" w:rsidRPr="008676B7">
        <w:rPr>
          <w:rFonts w:asciiTheme="majorHAnsi" w:eastAsia="Calibri" w:hAnsiTheme="majorHAnsi" w:cstheme="majorHAnsi"/>
          <w:szCs w:val="22"/>
        </w:rPr>
        <w:t>C</w:t>
      </w:r>
      <w:r w:rsidRPr="008676B7">
        <w:rPr>
          <w:rFonts w:asciiTheme="majorHAnsi" w:eastAsia="Calibri" w:hAnsiTheme="majorHAnsi" w:cstheme="majorHAnsi"/>
          <w:szCs w:val="22"/>
        </w:rPr>
        <w:t>antón o influyan directamente en él, deberán alinearse con las disposiciones del PD</w:t>
      </w:r>
      <w:r w:rsidR="00917215" w:rsidRPr="008676B7">
        <w:rPr>
          <w:rFonts w:asciiTheme="majorHAnsi" w:eastAsia="Calibri" w:hAnsiTheme="majorHAnsi" w:cstheme="majorHAnsi"/>
          <w:szCs w:val="22"/>
        </w:rPr>
        <w:t>y</w:t>
      </w:r>
      <w:r w:rsidRPr="008676B7">
        <w:rPr>
          <w:rFonts w:asciiTheme="majorHAnsi" w:eastAsia="Calibri" w:hAnsiTheme="majorHAnsi" w:cstheme="majorHAnsi"/>
          <w:szCs w:val="22"/>
        </w:rPr>
        <w:t>OT-PUGS-</w:t>
      </w:r>
      <w:r w:rsidR="009C6E01" w:rsidRPr="008676B7">
        <w:rPr>
          <w:rFonts w:asciiTheme="majorHAnsi" w:eastAsia="Calibri" w:hAnsiTheme="majorHAnsi" w:cstheme="majorHAnsi"/>
          <w:szCs w:val="22"/>
        </w:rPr>
        <w:t>SACHA</w:t>
      </w:r>
      <w:r w:rsidRPr="008676B7">
        <w:rPr>
          <w:rFonts w:asciiTheme="majorHAnsi" w:eastAsia="Calibri" w:hAnsiTheme="majorHAnsi" w:cstheme="majorHAnsi"/>
          <w:szCs w:val="22"/>
        </w:rPr>
        <w:t xml:space="preserve"> y sus instrumentos principales y complementarios, y estarán bajo la supervisión de las autoridades municipales correspondientes.</w:t>
      </w:r>
    </w:p>
    <w:p w14:paraId="7E7DFDE0" w14:textId="77777777" w:rsidR="0072757A" w:rsidRPr="00B24A80" w:rsidRDefault="0072757A" w:rsidP="0072757A">
      <w:pPr>
        <w:rPr>
          <w:rFonts w:asciiTheme="majorHAnsi" w:eastAsia="Calibri" w:hAnsiTheme="majorHAnsi" w:cstheme="majorHAnsi"/>
          <w:sz w:val="22"/>
          <w:szCs w:val="22"/>
        </w:rPr>
      </w:pPr>
    </w:p>
    <w:p w14:paraId="1D1C01FB" w14:textId="277EF314" w:rsidR="0072757A" w:rsidRPr="00B24A80" w:rsidRDefault="0072757A">
      <w:pPr>
        <w:jc w:val="left"/>
        <w:rPr>
          <w:rFonts w:asciiTheme="majorHAnsi" w:eastAsia="Calibri" w:hAnsiTheme="majorHAnsi" w:cstheme="majorHAnsi"/>
          <w:sz w:val="22"/>
          <w:szCs w:val="22"/>
        </w:rPr>
      </w:pPr>
      <w:r w:rsidRPr="00B24A80">
        <w:rPr>
          <w:rFonts w:asciiTheme="majorHAnsi" w:eastAsia="Calibri" w:hAnsiTheme="majorHAnsi" w:cstheme="majorHAnsi"/>
          <w:sz w:val="22"/>
          <w:szCs w:val="22"/>
        </w:rPr>
        <w:br w:type="page"/>
      </w:r>
    </w:p>
    <w:p w14:paraId="672BA309" w14:textId="44D7D9A9" w:rsidR="009C6E01" w:rsidRPr="00B24A80" w:rsidRDefault="009C6E01" w:rsidP="009C6E01">
      <w:pPr>
        <w:jc w:val="center"/>
        <w:rPr>
          <w:b/>
          <w:sz w:val="22"/>
          <w:szCs w:val="22"/>
        </w:rPr>
      </w:pPr>
      <w:r w:rsidRPr="00B24A80">
        <w:rPr>
          <w:b/>
          <w:sz w:val="22"/>
          <w:szCs w:val="22"/>
        </w:rPr>
        <w:lastRenderedPageBreak/>
        <w:t>LIBRO I</w:t>
      </w:r>
      <w:r w:rsidR="0072757A" w:rsidRPr="00B24A80">
        <w:rPr>
          <w:b/>
          <w:sz w:val="22"/>
          <w:szCs w:val="22"/>
        </w:rPr>
        <w:t>I</w:t>
      </w:r>
    </w:p>
    <w:p w14:paraId="65CC3EA4" w14:textId="77777777" w:rsidR="009C6E01" w:rsidRPr="00B24A80" w:rsidRDefault="009C6E01" w:rsidP="009C6E01">
      <w:pPr>
        <w:jc w:val="center"/>
        <w:rPr>
          <w:b/>
          <w:sz w:val="22"/>
          <w:szCs w:val="22"/>
        </w:rPr>
      </w:pPr>
      <w:r w:rsidRPr="00B24A80">
        <w:rPr>
          <w:b/>
          <w:sz w:val="22"/>
          <w:szCs w:val="22"/>
        </w:rPr>
        <w:t>PLAN DE DESARROLLO Y ORDENAMIENTOTERRITORIAL</w:t>
      </w:r>
    </w:p>
    <w:p w14:paraId="7F7EDC1C" w14:textId="77777777" w:rsidR="009C6E01" w:rsidRPr="00B24A80" w:rsidRDefault="009C6E01" w:rsidP="009C6E01">
      <w:pPr>
        <w:jc w:val="center"/>
        <w:rPr>
          <w:b/>
          <w:sz w:val="22"/>
          <w:szCs w:val="22"/>
        </w:rPr>
      </w:pPr>
      <w:r w:rsidRPr="00B24A80">
        <w:rPr>
          <w:b/>
          <w:sz w:val="22"/>
          <w:szCs w:val="22"/>
        </w:rPr>
        <w:t>TITULO I</w:t>
      </w:r>
    </w:p>
    <w:p w14:paraId="4B6844A8" w14:textId="40CF0A4B" w:rsidR="00F50358" w:rsidRPr="00B24A80" w:rsidRDefault="009C6E01" w:rsidP="009C6E01">
      <w:pPr>
        <w:jc w:val="center"/>
        <w:rPr>
          <w:b/>
          <w:sz w:val="22"/>
          <w:szCs w:val="22"/>
        </w:rPr>
      </w:pPr>
      <w:r w:rsidRPr="00B24A80">
        <w:rPr>
          <w:b/>
          <w:sz w:val="22"/>
          <w:szCs w:val="22"/>
        </w:rPr>
        <w:t>FUNDAMENTOS DEL PLAN</w:t>
      </w:r>
    </w:p>
    <w:p w14:paraId="6932FD35" w14:textId="77777777" w:rsidR="0072757A" w:rsidRPr="00B24A80" w:rsidRDefault="0072757A" w:rsidP="009C6E01">
      <w:pPr>
        <w:jc w:val="center"/>
        <w:rPr>
          <w:b/>
          <w:sz w:val="22"/>
          <w:szCs w:val="22"/>
        </w:rPr>
      </w:pPr>
    </w:p>
    <w:p w14:paraId="7C400B3D" w14:textId="6AEE36F0" w:rsidR="009C6E01" w:rsidRPr="00B24A80" w:rsidRDefault="00F52CD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bCs/>
          <w:szCs w:val="22"/>
        </w:rPr>
        <w:t>Naturaleza y alcance del Plan:</w:t>
      </w:r>
      <w:r w:rsidRPr="00B24A80">
        <w:rPr>
          <w:rFonts w:asciiTheme="majorHAnsi" w:eastAsia="Calibri" w:hAnsiTheme="majorHAnsi" w:cstheme="majorHAnsi"/>
          <w:szCs w:val="22"/>
        </w:rPr>
        <w:t xml:space="preserve"> El PD</w:t>
      </w:r>
      <w:r w:rsidR="00AC069C" w:rsidRPr="00B24A80">
        <w:rPr>
          <w:rFonts w:asciiTheme="majorHAnsi" w:eastAsia="Calibri" w:hAnsiTheme="majorHAnsi" w:cstheme="majorHAnsi"/>
          <w:szCs w:val="22"/>
        </w:rPr>
        <w:t>y</w:t>
      </w:r>
      <w:r w:rsidRPr="00B24A80">
        <w:rPr>
          <w:rFonts w:asciiTheme="majorHAnsi" w:eastAsia="Calibri" w:hAnsiTheme="majorHAnsi" w:cstheme="majorHAnsi"/>
          <w:szCs w:val="22"/>
        </w:rPr>
        <w:t xml:space="preserve">OT –SACHA, constituye una herramienta técnica, legal, administrativa, social, financiera, que rige la política pública del </w:t>
      </w:r>
      <w:r w:rsidR="00AC069C" w:rsidRPr="00B24A80">
        <w:rPr>
          <w:rFonts w:asciiTheme="majorHAnsi" w:eastAsia="Calibri" w:hAnsiTheme="majorHAnsi" w:cstheme="majorHAnsi"/>
          <w:szCs w:val="22"/>
        </w:rPr>
        <w:t>C</w:t>
      </w:r>
      <w:r w:rsidRPr="00B24A80">
        <w:rPr>
          <w:rFonts w:asciiTheme="majorHAnsi" w:eastAsia="Calibri" w:hAnsiTheme="majorHAnsi" w:cstheme="majorHAnsi"/>
          <w:szCs w:val="22"/>
        </w:rPr>
        <w:t>antón, al ser un  instrumento de planificación de desarrollo que busca ordenar, conciliar y armonizar las decisiones estratégicas del desarrollo respecto de los temas trascendentales que le competen, en función de las cualidades territoriales, a través de la definición de lineamientos para la materialización del modelo territorial de largo plazo, expedido de conformidad a la normativa vigente.</w:t>
      </w:r>
    </w:p>
    <w:p w14:paraId="0FDBBBC1" w14:textId="77777777" w:rsidR="00B95551" w:rsidRPr="00B24A80" w:rsidRDefault="00B95551" w:rsidP="00B95551">
      <w:pPr>
        <w:pStyle w:val="Prrafodelista"/>
        <w:widowControl/>
        <w:tabs>
          <w:tab w:val="left" w:pos="851"/>
        </w:tabs>
        <w:spacing w:after="240" w:line="276" w:lineRule="auto"/>
        <w:ind w:left="0" w:right="-100"/>
        <w:rPr>
          <w:rFonts w:asciiTheme="majorHAnsi" w:eastAsia="Calibri" w:hAnsiTheme="majorHAnsi" w:cstheme="majorHAnsi"/>
          <w:szCs w:val="22"/>
        </w:rPr>
      </w:pPr>
    </w:p>
    <w:p w14:paraId="2A64CD7D" w14:textId="5E6CCFFB" w:rsidR="009C6E01" w:rsidRPr="00B24A80" w:rsidRDefault="009C6E01"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bCs/>
          <w:szCs w:val="22"/>
        </w:rPr>
        <w:t>Documentos</w:t>
      </w:r>
      <w:r w:rsidRPr="00B24A80">
        <w:rPr>
          <w:rFonts w:asciiTheme="majorHAnsi" w:eastAsia="Calibri" w:hAnsiTheme="majorHAnsi" w:cstheme="majorHAnsi"/>
          <w:b/>
          <w:szCs w:val="22"/>
        </w:rPr>
        <w:t xml:space="preserve"> y Contenidos. </w:t>
      </w:r>
      <w:r w:rsidR="0072757A" w:rsidRPr="00B24A80">
        <w:rPr>
          <w:rFonts w:asciiTheme="majorHAnsi" w:eastAsia="Calibri" w:hAnsiTheme="majorHAnsi" w:cstheme="majorHAnsi"/>
          <w:b/>
          <w:szCs w:val="22"/>
        </w:rPr>
        <w:t>–</w:t>
      </w:r>
      <w:r w:rsidRPr="00B24A80">
        <w:rPr>
          <w:rFonts w:asciiTheme="majorHAnsi" w:eastAsia="Calibri" w:hAnsiTheme="majorHAnsi" w:cstheme="majorHAnsi"/>
          <w:b/>
          <w:szCs w:val="22"/>
        </w:rPr>
        <w:t xml:space="preserve"> </w:t>
      </w:r>
      <w:r w:rsidR="0072757A" w:rsidRPr="00B24A80">
        <w:rPr>
          <w:rFonts w:asciiTheme="majorHAnsi" w:eastAsia="Calibri" w:hAnsiTheme="majorHAnsi" w:cstheme="majorHAnsi"/>
          <w:szCs w:val="22"/>
        </w:rPr>
        <w:t xml:space="preserve">La presente ordenanza del </w:t>
      </w:r>
      <w:r w:rsidRPr="00B24A80">
        <w:rPr>
          <w:rFonts w:asciiTheme="majorHAnsi" w:eastAsia="Calibri" w:hAnsiTheme="majorHAnsi" w:cstheme="majorHAnsi"/>
          <w:szCs w:val="22"/>
        </w:rPr>
        <w:t>PD</w:t>
      </w:r>
      <w:r w:rsidR="00AC069C" w:rsidRPr="00B24A80">
        <w:rPr>
          <w:rFonts w:asciiTheme="majorHAnsi" w:eastAsia="Calibri" w:hAnsiTheme="majorHAnsi" w:cstheme="majorHAnsi"/>
          <w:szCs w:val="22"/>
        </w:rPr>
        <w:t>y</w:t>
      </w:r>
      <w:r w:rsidRPr="00B24A80">
        <w:rPr>
          <w:rFonts w:asciiTheme="majorHAnsi" w:eastAsia="Calibri" w:hAnsiTheme="majorHAnsi" w:cstheme="majorHAnsi"/>
          <w:szCs w:val="22"/>
        </w:rPr>
        <w:t>OT-PUGS-SACHA, abarca todo el contenido de documentos, m</w:t>
      </w:r>
      <w:r w:rsidR="008676B7">
        <w:rPr>
          <w:rFonts w:asciiTheme="majorHAnsi" w:eastAsia="Calibri" w:hAnsiTheme="majorHAnsi" w:cstheme="majorHAnsi"/>
          <w:szCs w:val="22"/>
        </w:rPr>
        <w:t>apas, tablas, gráficos y anexos</w:t>
      </w:r>
      <w:r w:rsidRPr="00B24A80">
        <w:rPr>
          <w:rFonts w:asciiTheme="majorHAnsi" w:eastAsia="Calibri" w:hAnsiTheme="majorHAnsi" w:cstheme="majorHAnsi"/>
          <w:szCs w:val="22"/>
        </w:rPr>
        <w:t>, formando un único instrumento legal que debe cumplirse obligatoriamente.</w:t>
      </w:r>
    </w:p>
    <w:p w14:paraId="510E65DD" w14:textId="1FD02776" w:rsidR="00B95551" w:rsidRPr="00B24A80" w:rsidRDefault="00B95551" w:rsidP="00B95551">
      <w:pPr>
        <w:pStyle w:val="Prrafodelista"/>
        <w:widowControl/>
        <w:tabs>
          <w:tab w:val="left" w:pos="851"/>
        </w:tabs>
        <w:spacing w:after="240" w:line="276" w:lineRule="auto"/>
        <w:ind w:left="0" w:right="-100"/>
        <w:rPr>
          <w:rFonts w:asciiTheme="majorHAnsi" w:eastAsia="Calibri" w:hAnsiTheme="majorHAnsi" w:cstheme="majorHAnsi"/>
          <w:szCs w:val="22"/>
        </w:rPr>
      </w:pPr>
    </w:p>
    <w:p w14:paraId="1D2F4688" w14:textId="21E98227" w:rsidR="00B95551" w:rsidRPr="00B24A80" w:rsidRDefault="00B17E82"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bCs/>
          <w:szCs w:val="22"/>
        </w:rPr>
        <w:t>Documentos</w:t>
      </w:r>
      <w:r w:rsidRPr="00B24A80">
        <w:rPr>
          <w:rFonts w:asciiTheme="majorHAnsi" w:eastAsia="Calibri" w:hAnsiTheme="majorHAnsi" w:cstheme="majorHAnsi"/>
          <w:b/>
          <w:color w:val="000000"/>
          <w:szCs w:val="22"/>
        </w:rPr>
        <w:t xml:space="preserve"> anexos. –</w:t>
      </w:r>
      <w:r w:rsidRPr="00B24A80">
        <w:rPr>
          <w:szCs w:val="22"/>
        </w:rPr>
        <w:t xml:space="preserve"> </w:t>
      </w:r>
      <w:r w:rsidRPr="00B24A80">
        <w:rPr>
          <w:rFonts w:asciiTheme="majorHAnsi" w:eastAsia="Calibri" w:hAnsiTheme="majorHAnsi" w:cstheme="majorHAnsi"/>
          <w:szCs w:val="22"/>
        </w:rPr>
        <w:t>Esta ordenanza incluye los informes del PD</w:t>
      </w:r>
      <w:r w:rsidR="00AC069C" w:rsidRPr="00B24A80">
        <w:rPr>
          <w:rFonts w:asciiTheme="majorHAnsi" w:eastAsia="Calibri" w:hAnsiTheme="majorHAnsi" w:cstheme="majorHAnsi"/>
          <w:szCs w:val="22"/>
        </w:rPr>
        <w:t>y</w:t>
      </w:r>
      <w:r w:rsidRPr="00B24A80">
        <w:rPr>
          <w:rFonts w:asciiTheme="majorHAnsi" w:eastAsia="Calibri" w:hAnsiTheme="majorHAnsi" w:cstheme="majorHAnsi"/>
          <w:szCs w:val="22"/>
        </w:rPr>
        <w:t xml:space="preserve">OT y del PUGS (Plan de Uso y </w:t>
      </w:r>
      <w:r w:rsidR="00A353F3" w:rsidRPr="00B24A80">
        <w:rPr>
          <w:rFonts w:asciiTheme="majorHAnsi" w:eastAsia="Calibri" w:hAnsiTheme="majorHAnsi" w:cstheme="majorHAnsi"/>
          <w:szCs w:val="22"/>
        </w:rPr>
        <w:t>Gestión del</w:t>
      </w:r>
      <w:r w:rsidRPr="00B24A80">
        <w:rPr>
          <w:rFonts w:asciiTheme="majorHAnsi" w:eastAsia="Calibri" w:hAnsiTheme="majorHAnsi" w:cstheme="majorHAnsi"/>
          <w:szCs w:val="22"/>
        </w:rPr>
        <w:t xml:space="preserve"> Suelo), los cuales contienen la descripción, aplicación y los diversos procesos técnicos utilizados en la formulación del Plan.</w:t>
      </w:r>
    </w:p>
    <w:p w14:paraId="41965FB8" w14:textId="77777777" w:rsidR="00B95551" w:rsidRPr="00B24A80" w:rsidRDefault="00B95551" w:rsidP="00B95551">
      <w:pPr>
        <w:pStyle w:val="Prrafodelista"/>
        <w:rPr>
          <w:rFonts w:asciiTheme="majorHAnsi" w:eastAsia="Calibri" w:hAnsiTheme="majorHAnsi" w:cstheme="majorHAnsi"/>
          <w:b/>
          <w:color w:val="000000"/>
          <w:szCs w:val="22"/>
        </w:rPr>
      </w:pPr>
    </w:p>
    <w:p w14:paraId="43F7251A" w14:textId="57276526" w:rsidR="00C536EB" w:rsidRPr="00B24A80" w:rsidRDefault="00B17E82"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 Componentes. </w:t>
      </w:r>
      <w:r w:rsidR="00C536EB" w:rsidRPr="00B24A80">
        <w:rPr>
          <w:rFonts w:asciiTheme="majorHAnsi" w:eastAsia="Calibri" w:hAnsiTheme="majorHAnsi" w:cstheme="majorHAnsi"/>
          <w:szCs w:val="22"/>
        </w:rPr>
        <w:t>Para efectos de estructuración de los contenidos de la actualización del Plan de Desarrollo y Ordenamiento Territorial, se efectuó un análisis de los contenidos del PD</w:t>
      </w:r>
      <w:r w:rsidR="00AC069C" w:rsidRPr="00B24A80">
        <w:rPr>
          <w:rFonts w:asciiTheme="majorHAnsi" w:eastAsia="Calibri" w:hAnsiTheme="majorHAnsi" w:cstheme="majorHAnsi"/>
          <w:szCs w:val="22"/>
        </w:rPr>
        <w:t>y</w:t>
      </w:r>
      <w:r w:rsidR="00C536EB" w:rsidRPr="00B24A80">
        <w:rPr>
          <w:rFonts w:asciiTheme="majorHAnsi" w:eastAsia="Calibri" w:hAnsiTheme="majorHAnsi" w:cstheme="majorHAnsi"/>
          <w:szCs w:val="22"/>
        </w:rPr>
        <w:t>OT 2019-2023 y levantamiento de información territorial conforme lo señala la guía metodológica de la Secretaria Nacional de Planificación, determinando los siguientes contenidos:</w:t>
      </w:r>
    </w:p>
    <w:p w14:paraId="7CF520A7" w14:textId="1D603CCC" w:rsidR="009C1018" w:rsidRPr="00B24A80" w:rsidRDefault="00D37331" w:rsidP="00CA24CF">
      <w:pPr>
        <w:pStyle w:val="Prrafodelista"/>
        <w:widowControl/>
        <w:numPr>
          <w:ilvl w:val="0"/>
          <w:numId w:val="107"/>
        </w:numPr>
        <w:spacing w:after="240" w:line="276" w:lineRule="auto"/>
        <w:ind w:right="-100"/>
        <w:rPr>
          <w:rFonts w:asciiTheme="majorHAnsi" w:eastAsia="Calibri" w:hAnsiTheme="majorHAnsi" w:cstheme="majorHAnsi"/>
          <w:b/>
          <w:color w:val="000000"/>
          <w:szCs w:val="22"/>
        </w:rPr>
      </w:pPr>
      <w:r w:rsidRPr="00B24A80">
        <w:rPr>
          <w:rFonts w:asciiTheme="majorHAnsi" w:eastAsia="Calibri" w:hAnsiTheme="majorHAnsi" w:cstheme="majorHAnsi"/>
          <w:b/>
          <w:szCs w:val="22"/>
        </w:rPr>
        <w:t>FASE PREPARATORIA</w:t>
      </w:r>
      <w:r w:rsidR="00F52CD4" w:rsidRPr="00B24A80">
        <w:rPr>
          <w:rFonts w:asciiTheme="majorHAnsi" w:eastAsia="Calibri" w:hAnsiTheme="majorHAnsi" w:cstheme="majorHAnsi"/>
          <w:b/>
          <w:szCs w:val="22"/>
        </w:rPr>
        <w:t xml:space="preserve">. </w:t>
      </w:r>
      <w:r w:rsidRPr="00B24A80">
        <w:rPr>
          <w:rFonts w:asciiTheme="majorHAnsi" w:eastAsia="Calibri" w:hAnsiTheme="majorHAnsi" w:cstheme="majorHAnsi"/>
          <w:b/>
          <w:szCs w:val="22"/>
        </w:rPr>
        <w:t>-</w:t>
      </w:r>
      <w:r w:rsidRPr="00B24A80">
        <w:rPr>
          <w:rFonts w:asciiTheme="majorHAnsi" w:eastAsia="Calibri" w:hAnsiTheme="majorHAnsi" w:cstheme="majorHAnsi"/>
          <w:b/>
          <w:color w:val="000000"/>
          <w:szCs w:val="22"/>
        </w:rPr>
        <w:t xml:space="preserve"> </w:t>
      </w:r>
      <w:r w:rsidRPr="00B24A80">
        <w:rPr>
          <w:rFonts w:asciiTheme="majorHAnsi" w:eastAsia="Calibri" w:hAnsiTheme="majorHAnsi" w:cstheme="majorHAnsi"/>
          <w:color w:val="000000"/>
          <w:szCs w:val="22"/>
        </w:rPr>
        <w:t>En esta sección se detallan los principales insumos técnicos que el GAD recopiló y revisó previo al desarrollo de las próximas fases del PD</w:t>
      </w:r>
      <w:r w:rsidR="00AC069C" w:rsidRPr="00B24A80">
        <w:rPr>
          <w:rFonts w:asciiTheme="majorHAnsi" w:eastAsia="Calibri" w:hAnsiTheme="majorHAnsi" w:cstheme="majorHAnsi"/>
          <w:color w:val="000000"/>
          <w:szCs w:val="22"/>
        </w:rPr>
        <w:t>y</w:t>
      </w:r>
      <w:r w:rsidRPr="00B24A80">
        <w:rPr>
          <w:rFonts w:asciiTheme="majorHAnsi" w:eastAsia="Calibri" w:hAnsiTheme="majorHAnsi" w:cstheme="majorHAnsi"/>
          <w:color w:val="000000"/>
          <w:szCs w:val="22"/>
        </w:rPr>
        <w:t xml:space="preserve">OT. </w:t>
      </w:r>
    </w:p>
    <w:p w14:paraId="383070B6" w14:textId="77777777" w:rsidR="00D37331" w:rsidRPr="00B24A80" w:rsidRDefault="00D37331" w:rsidP="00D37331">
      <w:pPr>
        <w:pStyle w:val="Prrafodelista"/>
        <w:widowControl/>
        <w:spacing w:after="240" w:line="276" w:lineRule="auto"/>
        <w:ind w:right="-100"/>
        <w:rPr>
          <w:rFonts w:asciiTheme="majorHAnsi" w:eastAsia="Calibri" w:hAnsiTheme="majorHAnsi" w:cstheme="majorHAnsi"/>
          <w:b/>
          <w:color w:val="000000"/>
          <w:szCs w:val="22"/>
        </w:rPr>
      </w:pPr>
    </w:p>
    <w:p w14:paraId="79285960" w14:textId="19CC05E2" w:rsidR="00A126F5" w:rsidRPr="00B24A80" w:rsidRDefault="0078045A" w:rsidP="00CA24CF">
      <w:pPr>
        <w:pStyle w:val="Prrafodelista"/>
        <w:widowControl/>
        <w:numPr>
          <w:ilvl w:val="0"/>
          <w:numId w:val="107"/>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b/>
          <w:szCs w:val="22"/>
        </w:rPr>
        <w:t xml:space="preserve">DIAGNÓSTICO. </w:t>
      </w:r>
      <w:r w:rsidR="00B17E82" w:rsidRPr="00B24A80">
        <w:rPr>
          <w:rFonts w:asciiTheme="majorHAnsi" w:eastAsia="Calibri" w:hAnsiTheme="majorHAnsi" w:cstheme="majorHAnsi"/>
          <w:b/>
          <w:szCs w:val="22"/>
        </w:rPr>
        <w:t>–</w:t>
      </w:r>
      <w:r w:rsidR="00B17E82" w:rsidRPr="00B24A80">
        <w:rPr>
          <w:rFonts w:asciiTheme="majorHAnsi" w:eastAsia="Calibri" w:hAnsiTheme="majorHAnsi" w:cstheme="majorHAnsi"/>
          <w:szCs w:val="22"/>
        </w:rPr>
        <w:t xml:space="preserve"> El diagnóstico estratégico del Plan de Desarrollo y Ordenamiento Territorial del </w:t>
      </w:r>
      <w:r w:rsidR="00AC069C" w:rsidRPr="00B24A80">
        <w:rPr>
          <w:rFonts w:asciiTheme="majorHAnsi" w:eastAsia="Calibri" w:hAnsiTheme="majorHAnsi" w:cstheme="majorHAnsi"/>
          <w:szCs w:val="22"/>
        </w:rPr>
        <w:t>c</w:t>
      </w:r>
      <w:r w:rsidR="00B17E82" w:rsidRPr="00B24A80">
        <w:rPr>
          <w:rFonts w:asciiTheme="majorHAnsi" w:eastAsia="Calibri" w:hAnsiTheme="majorHAnsi" w:cstheme="majorHAnsi"/>
          <w:szCs w:val="22"/>
        </w:rPr>
        <w:t>antón La Joya de los Sachas, contiene lo siguiente:</w:t>
      </w:r>
    </w:p>
    <w:p w14:paraId="7346D7D6" w14:textId="77777777"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1.</w:t>
      </w:r>
      <w:r w:rsidRPr="00B24A80">
        <w:rPr>
          <w:rFonts w:asciiTheme="majorHAnsi" w:eastAsia="Calibri" w:hAnsiTheme="majorHAnsi" w:cstheme="majorHAnsi"/>
          <w:sz w:val="22"/>
          <w:szCs w:val="22"/>
        </w:rPr>
        <w:tab/>
        <w:t>Análisis por sistemas</w:t>
      </w:r>
    </w:p>
    <w:p w14:paraId="7FD31D48" w14:textId="29DCCD93" w:rsidR="009C1018" w:rsidRPr="00844061" w:rsidRDefault="009C1018" w:rsidP="009C1018">
      <w:pPr>
        <w:ind w:left="360"/>
        <w:rPr>
          <w:rFonts w:asciiTheme="majorHAnsi" w:eastAsia="Calibri" w:hAnsiTheme="majorHAnsi" w:cstheme="majorHAnsi"/>
          <w:sz w:val="22"/>
          <w:szCs w:val="22"/>
        </w:rPr>
      </w:pPr>
      <w:r w:rsidRPr="00844061">
        <w:rPr>
          <w:rFonts w:asciiTheme="majorHAnsi" w:eastAsia="Calibri" w:hAnsiTheme="majorHAnsi" w:cstheme="majorHAnsi"/>
          <w:sz w:val="22"/>
          <w:szCs w:val="22"/>
        </w:rPr>
        <w:tab/>
        <w:t>1.1.</w:t>
      </w:r>
      <w:r w:rsidRPr="00844061">
        <w:rPr>
          <w:rFonts w:asciiTheme="majorHAnsi" w:eastAsia="Calibri" w:hAnsiTheme="majorHAnsi" w:cstheme="majorHAnsi"/>
          <w:sz w:val="22"/>
          <w:szCs w:val="22"/>
        </w:rPr>
        <w:tab/>
      </w:r>
      <w:r w:rsidR="00844061" w:rsidRPr="00844061">
        <w:rPr>
          <w:rFonts w:asciiTheme="majorHAnsi" w:eastAsia="Calibri" w:hAnsiTheme="majorHAnsi" w:cstheme="majorHAnsi"/>
          <w:sz w:val="22"/>
          <w:szCs w:val="22"/>
        </w:rPr>
        <w:t xml:space="preserve">SISTEMA FÍSICO AMBIENTAL </w:t>
      </w:r>
    </w:p>
    <w:p w14:paraId="61174CC3" w14:textId="7CDFE5B6"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1.1.1.</w:t>
      </w:r>
      <w:r w:rsidRPr="00B24A80">
        <w:rPr>
          <w:rFonts w:asciiTheme="majorHAnsi" w:eastAsia="Calibri" w:hAnsiTheme="majorHAnsi" w:cstheme="majorHAnsi"/>
          <w:sz w:val="22"/>
          <w:szCs w:val="22"/>
        </w:rPr>
        <w:tab/>
        <w:t>Recursos naturales no renovables</w:t>
      </w:r>
    </w:p>
    <w:p w14:paraId="55E8CD8C" w14:textId="0C739B38"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1.1.2.</w:t>
      </w:r>
      <w:r w:rsidRPr="00B24A80">
        <w:rPr>
          <w:rFonts w:asciiTheme="majorHAnsi" w:eastAsia="Calibri" w:hAnsiTheme="majorHAnsi" w:cstheme="majorHAnsi"/>
          <w:sz w:val="22"/>
          <w:szCs w:val="22"/>
        </w:rPr>
        <w:tab/>
        <w:t>Recursos naturales renovables</w:t>
      </w:r>
    </w:p>
    <w:p w14:paraId="5F226599" w14:textId="56DAB320"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1.1.3.</w:t>
      </w:r>
      <w:r w:rsidRPr="00B24A80">
        <w:rPr>
          <w:rFonts w:asciiTheme="majorHAnsi" w:eastAsia="Calibri" w:hAnsiTheme="majorHAnsi" w:cstheme="majorHAnsi"/>
          <w:sz w:val="22"/>
          <w:szCs w:val="22"/>
        </w:rPr>
        <w:tab/>
        <w:t>Ecosistemas</w:t>
      </w:r>
    </w:p>
    <w:p w14:paraId="45A09472" w14:textId="1762BB33"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1.1.4.</w:t>
      </w:r>
      <w:r w:rsidRPr="00B24A80">
        <w:rPr>
          <w:rFonts w:asciiTheme="majorHAnsi" w:eastAsia="Calibri" w:hAnsiTheme="majorHAnsi" w:cstheme="majorHAnsi"/>
          <w:sz w:val="22"/>
          <w:szCs w:val="22"/>
        </w:rPr>
        <w:tab/>
        <w:t>Amenazas naturales</w:t>
      </w:r>
    </w:p>
    <w:p w14:paraId="3C6BA88A" w14:textId="56D3B242"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1.1.5.</w:t>
      </w:r>
      <w:r w:rsidRPr="00B24A80">
        <w:rPr>
          <w:rFonts w:asciiTheme="majorHAnsi" w:eastAsia="Calibri" w:hAnsiTheme="majorHAnsi" w:cstheme="majorHAnsi"/>
          <w:sz w:val="22"/>
          <w:szCs w:val="22"/>
        </w:rPr>
        <w:tab/>
        <w:t>Amenazas climáticas</w:t>
      </w:r>
    </w:p>
    <w:p w14:paraId="092D88C8" w14:textId="0C600F54"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1.1.6.</w:t>
      </w:r>
      <w:r w:rsidRPr="00B24A80">
        <w:rPr>
          <w:rFonts w:asciiTheme="majorHAnsi" w:eastAsia="Calibri" w:hAnsiTheme="majorHAnsi" w:cstheme="majorHAnsi"/>
          <w:sz w:val="22"/>
          <w:szCs w:val="22"/>
        </w:rPr>
        <w:tab/>
        <w:t>Gestión de riesgos de desastres</w:t>
      </w:r>
    </w:p>
    <w:p w14:paraId="32E5218C" w14:textId="60314B0A"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1.1.7.</w:t>
      </w:r>
      <w:r w:rsidRPr="00B24A80">
        <w:rPr>
          <w:rFonts w:asciiTheme="majorHAnsi" w:eastAsia="Calibri" w:hAnsiTheme="majorHAnsi" w:cstheme="majorHAnsi"/>
          <w:sz w:val="22"/>
          <w:szCs w:val="22"/>
        </w:rPr>
        <w:tab/>
        <w:t>Clima</w:t>
      </w:r>
    </w:p>
    <w:p w14:paraId="1B44B6E0" w14:textId="5F5F629D"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1.1.8.</w:t>
      </w:r>
      <w:r w:rsidRPr="00B24A80">
        <w:rPr>
          <w:rFonts w:asciiTheme="majorHAnsi" w:eastAsia="Calibri" w:hAnsiTheme="majorHAnsi" w:cstheme="majorHAnsi"/>
          <w:sz w:val="22"/>
          <w:szCs w:val="22"/>
        </w:rPr>
        <w:tab/>
        <w:t>Conflictos ambientales</w:t>
      </w:r>
    </w:p>
    <w:p w14:paraId="36288000" w14:textId="5FB9AFD9"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1.1.9.</w:t>
      </w:r>
      <w:r w:rsidRPr="00B24A80">
        <w:rPr>
          <w:rFonts w:asciiTheme="majorHAnsi" w:eastAsia="Calibri" w:hAnsiTheme="majorHAnsi" w:cstheme="majorHAnsi"/>
          <w:sz w:val="22"/>
          <w:szCs w:val="22"/>
        </w:rPr>
        <w:tab/>
        <w:t xml:space="preserve">Zonas de protección, </w:t>
      </w:r>
      <w:r w:rsidR="00C807DB" w:rsidRPr="00B24A80">
        <w:rPr>
          <w:rFonts w:asciiTheme="majorHAnsi" w:eastAsia="Calibri" w:hAnsiTheme="majorHAnsi" w:cstheme="majorHAnsi"/>
          <w:sz w:val="22"/>
          <w:szCs w:val="22"/>
        </w:rPr>
        <w:t xml:space="preserve">regeneración y recuperación </w:t>
      </w:r>
      <w:r w:rsidR="00C807DB" w:rsidRPr="00B24A80">
        <w:rPr>
          <w:rFonts w:asciiTheme="majorHAnsi" w:eastAsia="Calibri" w:hAnsiTheme="majorHAnsi" w:cstheme="majorHAnsi"/>
          <w:sz w:val="22"/>
          <w:szCs w:val="22"/>
        </w:rPr>
        <w:tab/>
      </w:r>
      <w:r w:rsidR="00C807DB" w:rsidRPr="00B24A80">
        <w:rPr>
          <w:rFonts w:asciiTheme="majorHAnsi" w:eastAsia="Calibri" w:hAnsiTheme="majorHAnsi" w:cstheme="majorHAnsi"/>
          <w:sz w:val="22"/>
          <w:szCs w:val="22"/>
        </w:rPr>
        <w:tab/>
      </w:r>
      <w:r w:rsidR="00C807DB" w:rsidRPr="00B24A80">
        <w:rPr>
          <w:rFonts w:asciiTheme="majorHAnsi" w:eastAsia="Calibri" w:hAnsiTheme="majorHAnsi" w:cstheme="majorHAnsi"/>
          <w:sz w:val="22"/>
          <w:szCs w:val="22"/>
        </w:rPr>
        <w:lastRenderedPageBreak/>
        <w:tab/>
      </w:r>
      <w:r w:rsidR="00C807DB"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ambiental</w:t>
      </w:r>
    </w:p>
    <w:p w14:paraId="4AC3448F" w14:textId="60F9D71C"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1.1.10. </w:t>
      </w:r>
      <w:r w:rsidR="009C1018" w:rsidRPr="00B24A80">
        <w:rPr>
          <w:rFonts w:asciiTheme="majorHAnsi" w:eastAsia="Calibri" w:hAnsiTheme="majorHAnsi" w:cstheme="majorHAnsi"/>
          <w:sz w:val="22"/>
          <w:szCs w:val="22"/>
        </w:rPr>
        <w:t>Calidad ambiental</w:t>
      </w:r>
    </w:p>
    <w:p w14:paraId="402A0382" w14:textId="2CD9A7DC"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1.1.</w:t>
      </w:r>
      <w:r w:rsidRPr="00B24A80">
        <w:rPr>
          <w:rFonts w:asciiTheme="majorHAnsi" w:eastAsia="Calibri" w:hAnsiTheme="majorHAnsi" w:cstheme="majorHAnsi"/>
          <w:sz w:val="22"/>
          <w:szCs w:val="22"/>
        </w:rPr>
        <w:t>11. Gestores</w:t>
      </w:r>
      <w:r w:rsidR="009C1018" w:rsidRPr="00B24A80">
        <w:rPr>
          <w:rFonts w:asciiTheme="majorHAnsi" w:eastAsia="Calibri" w:hAnsiTheme="majorHAnsi" w:cstheme="majorHAnsi"/>
          <w:sz w:val="22"/>
          <w:szCs w:val="22"/>
        </w:rPr>
        <w:t xml:space="preserve"> ambientales</w:t>
      </w:r>
    </w:p>
    <w:p w14:paraId="26D558BC" w14:textId="5D94723A"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1.1.</w:t>
      </w:r>
      <w:r w:rsidRPr="00B24A80">
        <w:rPr>
          <w:rFonts w:asciiTheme="majorHAnsi" w:eastAsia="Calibri" w:hAnsiTheme="majorHAnsi" w:cstheme="majorHAnsi"/>
          <w:sz w:val="22"/>
          <w:szCs w:val="22"/>
        </w:rPr>
        <w:t>12. Contaminación</w:t>
      </w:r>
    </w:p>
    <w:p w14:paraId="61B9FB36" w14:textId="5F898B53"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1.2.</w:t>
      </w:r>
      <w:r w:rsidR="00C807DB"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SISTEMA ASENTAMIENTOS HUMANOS</w:t>
      </w:r>
    </w:p>
    <w:p w14:paraId="36E73B6E" w14:textId="1473C74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1.2.1. </w:t>
      </w:r>
      <w:r w:rsidR="009C1018" w:rsidRPr="00B24A80">
        <w:rPr>
          <w:rFonts w:asciiTheme="majorHAnsi" w:eastAsia="Calibri" w:hAnsiTheme="majorHAnsi" w:cstheme="majorHAnsi"/>
          <w:sz w:val="22"/>
          <w:szCs w:val="22"/>
        </w:rPr>
        <w:t>Estrategia Territorial Nacional y asentamientos humanos</w:t>
      </w:r>
    </w:p>
    <w:p w14:paraId="5FDFCB9E" w14:textId="3DF4AFB9"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1.2.2. </w:t>
      </w:r>
      <w:r w:rsidR="009C1018" w:rsidRPr="00B24A80">
        <w:rPr>
          <w:rFonts w:asciiTheme="majorHAnsi" w:eastAsia="Calibri" w:hAnsiTheme="majorHAnsi" w:cstheme="majorHAnsi"/>
          <w:sz w:val="22"/>
          <w:szCs w:val="22"/>
        </w:rPr>
        <w:t>Distribución demográfica.</w:t>
      </w:r>
    </w:p>
    <w:p w14:paraId="27935261" w14:textId="11C52983"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1.2.3. </w:t>
      </w:r>
      <w:r w:rsidR="009C1018" w:rsidRPr="00B24A80">
        <w:rPr>
          <w:rFonts w:asciiTheme="majorHAnsi" w:eastAsia="Calibri" w:hAnsiTheme="majorHAnsi" w:cstheme="majorHAnsi"/>
          <w:sz w:val="22"/>
          <w:szCs w:val="22"/>
        </w:rPr>
        <w:t>Jerarquización de asentamientos humanos en la ETN.</w:t>
      </w:r>
    </w:p>
    <w:p w14:paraId="59CC0EE1" w14:textId="6CF20AD0"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1.2.4. </w:t>
      </w:r>
      <w:r w:rsidR="009C1018" w:rsidRPr="00B24A80">
        <w:rPr>
          <w:rFonts w:asciiTheme="majorHAnsi" w:eastAsia="Calibri" w:hAnsiTheme="majorHAnsi" w:cstheme="majorHAnsi"/>
          <w:sz w:val="22"/>
          <w:szCs w:val="22"/>
        </w:rPr>
        <w:t>Red nacional de asentamientos humanos</w:t>
      </w:r>
    </w:p>
    <w:p w14:paraId="0463BE0F" w14:textId="75CE639A"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1.2.5. </w:t>
      </w:r>
      <w:r w:rsidR="009C1018" w:rsidRPr="00B24A80">
        <w:rPr>
          <w:rFonts w:asciiTheme="majorHAnsi" w:eastAsia="Calibri" w:hAnsiTheme="majorHAnsi" w:cstheme="majorHAnsi"/>
          <w:sz w:val="22"/>
          <w:szCs w:val="22"/>
        </w:rPr>
        <w:t>Categoría de asentamientos</w:t>
      </w:r>
    </w:p>
    <w:p w14:paraId="017F03A5" w14:textId="0B6A0C36"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1.2.6. </w:t>
      </w:r>
      <w:r w:rsidR="009C1018" w:rsidRPr="00B24A80">
        <w:rPr>
          <w:rFonts w:asciiTheme="majorHAnsi" w:eastAsia="Calibri" w:hAnsiTheme="majorHAnsi" w:cstheme="majorHAnsi"/>
          <w:sz w:val="22"/>
          <w:szCs w:val="22"/>
        </w:rPr>
        <w:t xml:space="preserve">Identificación de asentamientos y distribución existentes en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el cantón La Joya de los Sachas</w:t>
      </w:r>
    </w:p>
    <w:p w14:paraId="00BB7B48" w14:textId="7FE2F64F"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1.2.7.</w:t>
      </w:r>
      <w:r w:rsidR="009C1018" w:rsidRPr="00B24A80">
        <w:rPr>
          <w:rFonts w:asciiTheme="majorHAnsi" w:eastAsia="Calibri" w:hAnsiTheme="majorHAnsi" w:cstheme="majorHAnsi"/>
          <w:sz w:val="22"/>
          <w:szCs w:val="22"/>
        </w:rPr>
        <w:tab/>
        <w:t>Uso y ocupación del suelo</w:t>
      </w:r>
    </w:p>
    <w:p w14:paraId="33751E53" w14:textId="7EE40501"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1.2.8.</w:t>
      </w:r>
      <w:r w:rsidR="009C1018" w:rsidRPr="00B24A80">
        <w:rPr>
          <w:rFonts w:asciiTheme="majorHAnsi" w:eastAsia="Calibri" w:hAnsiTheme="majorHAnsi" w:cstheme="majorHAnsi"/>
          <w:sz w:val="22"/>
          <w:szCs w:val="22"/>
        </w:rPr>
        <w:tab/>
        <w:t>Límite de área urbana</w:t>
      </w:r>
    </w:p>
    <w:p w14:paraId="2F1918BA" w14:textId="1D47559F"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1.2.9.</w:t>
      </w:r>
      <w:r w:rsidR="009C1018" w:rsidRPr="00B24A80">
        <w:rPr>
          <w:rFonts w:asciiTheme="majorHAnsi" w:eastAsia="Calibri" w:hAnsiTheme="majorHAnsi" w:cstheme="majorHAnsi"/>
          <w:sz w:val="22"/>
          <w:szCs w:val="22"/>
        </w:rPr>
        <w:tab/>
        <w:t>Usos de suelo urbano y rural</w:t>
      </w:r>
    </w:p>
    <w:p w14:paraId="70D65618" w14:textId="2DF4F73E"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1.2.10.</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Ocupación y aprovechamiento del suelo</w:t>
      </w:r>
    </w:p>
    <w:p w14:paraId="69B1D9F4" w14:textId="2E19E730"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1.2.11.</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Unidades de uso</w:t>
      </w:r>
    </w:p>
    <w:p w14:paraId="67035834" w14:textId="4326A38D"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1.2.12.</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Ocupación y aprovechamiento del suelo</w:t>
      </w:r>
    </w:p>
    <w:p w14:paraId="065BB8AF" w14:textId="528CCAA9"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1.2.13.</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Catastro urbano - rural.</w:t>
      </w:r>
    </w:p>
    <w:p w14:paraId="07C8B35F" w14:textId="0AFC669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1.2.14.</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 xml:space="preserve">Regulación, asentamientos irregulares, con enfoque de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  </w:t>
      </w:r>
      <w:r w:rsidR="008A07AF">
        <w:rPr>
          <w:rFonts w:asciiTheme="majorHAnsi" w:eastAsia="Calibri" w:hAnsiTheme="majorHAnsi" w:cstheme="majorHAnsi"/>
          <w:sz w:val="22"/>
          <w:szCs w:val="22"/>
        </w:rPr>
        <w:tab/>
      </w:r>
      <w:r w:rsidR="008A07AF">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gestión de riesgos</w:t>
      </w:r>
    </w:p>
    <w:p w14:paraId="3995F3EB" w14:textId="2910889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1.2.15. </w:t>
      </w:r>
      <w:r w:rsidR="009C1018" w:rsidRPr="00B24A80">
        <w:rPr>
          <w:rFonts w:asciiTheme="majorHAnsi" w:eastAsia="Calibri" w:hAnsiTheme="majorHAnsi" w:cstheme="majorHAnsi"/>
          <w:sz w:val="22"/>
          <w:szCs w:val="22"/>
        </w:rPr>
        <w:t>Movilidad, conectividad e infraestructura.</w:t>
      </w:r>
    </w:p>
    <w:p w14:paraId="48BB3EE2" w14:textId="1C6E4CDE"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1.2.16. </w:t>
      </w:r>
      <w:r w:rsidR="009C1018" w:rsidRPr="00B24A80">
        <w:rPr>
          <w:rFonts w:asciiTheme="majorHAnsi" w:eastAsia="Calibri" w:hAnsiTheme="majorHAnsi" w:cstheme="majorHAnsi"/>
          <w:sz w:val="22"/>
          <w:szCs w:val="22"/>
        </w:rPr>
        <w:t xml:space="preserve">Establecimientos de: Educación, salud, desarrollo infantil,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8A07AF">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seguridad, centros de atención a grupos p</w:t>
      </w:r>
      <w:r w:rsidRPr="00B24A80">
        <w:rPr>
          <w:rFonts w:asciiTheme="majorHAnsi" w:eastAsia="Calibri" w:hAnsiTheme="majorHAnsi" w:cstheme="majorHAnsi"/>
          <w:sz w:val="22"/>
          <w:szCs w:val="22"/>
        </w:rPr>
        <w:t xml:space="preserve">rioritarios,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8A07AF">
        <w:rPr>
          <w:rFonts w:asciiTheme="majorHAnsi" w:eastAsia="Calibri" w:hAnsiTheme="majorHAnsi" w:cstheme="majorHAnsi"/>
          <w:sz w:val="22"/>
          <w:szCs w:val="22"/>
        </w:rPr>
        <w:tab/>
      </w:r>
      <w:r w:rsidRPr="00B24A80">
        <w:rPr>
          <w:rFonts w:asciiTheme="majorHAnsi" w:eastAsia="Calibri" w:hAnsiTheme="majorHAnsi" w:cstheme="majorHAnsi"/>
          <w:sz w:val="22"/>
          <w:szCs w:val="22"/>
        </w:rPr>
        <w:t xml:space="preserve">albergues, espacio </w:t>
      </w:r>
      <w:r w:rsidR="009C1018" w:rsidRPr="00B24A80">
        <w:rPr>
          <w:rFonts w:asciiTheme="majorHAnsi" w:eastAsia="Calibri" w:hAnsiTheme="majorHAnsi" w:cstheme="majorHAnsi"/>
          <w:sz w:val="22"/>
          <w:szCs w:val="22"/>
        </w:rPr>
        <w:t>público.</w:t>
      </w:r>
    </w:p>
    <w:p w14:paraId="52684D00" w14:textId="6B575E14"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1.2.17. </w:t>
      </w:r>
      <w:r w:rsidR="009C1018" w:rsidRPr="00B24A80">
        <w:rPr>
          <w:rFonts w:asciiTheme="majorHAnsi" w:eastAsia="Calibri" w:hAnsiTheme="majorHAnsi" w:cstheme="majorHAnsi"/>
          <w:sz w:val="22"/>
          <w:szCs w:val="22"/>
        </w:rPr>
        <w:t>Infraestructura de: agua, saneamien</w:t>
      </w:r>
      <w:r w:rsidRPr="00B24A80">
        <w:rPr>
          <w:rFonts w:asciiTheme="majorHAnsi" w:eastAsia="Calibri" w:hAnsiTheme="majorHAnsi" w:cstheme="majorHAnsi"/>
          <w:sz w:val="22"/>
          <w:szCs w:val="22"/>
        </w:rPr>
        <w:t xml:space="preserve">to, desechos sólidos,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hábitat y  </w:t>
      </w:r>
      <w:r w:rsidR="009C1018" w:rsidRPr="00B24A80">
        <w:rPr>
          <w:rFonts w:asciiTheme="majorHAnsi" w:eastAsia="Calibri" w:hAnsiTheme="majorHAnsi" w:cstheme="majorHAnsi"/>
          <w:sz w:val="22"/>
          <w:szCs w:val="22"/>
        </w:rPr>
        <w:t>vivienda.</w:t>
      </w:r>
    </w:p>
    <w:p w14:paraId="065EDE3B" w14:textId="05A09094"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1.3.</w:t>
      </w:r>
      <w:r w:rsidR="00C807DB"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SISTEMA SOCIOCULTURAL</w:t>
      </w:r>
    </w:p>
    <w:p w14:paraId="00804020" w14:textId="4CFE1D14"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1.3.1.</w:t>
      </w:r>
      <w:r w:rsidR="009C1018" w:rsidRPr="00B24A80">
        <w:rPr>
          <w:rFonts w:asciiTheme="majorHAnsi" w:eastAsia="Calibri" w:hAnsiTheme="majorHAnsi" w:cstheme="majorHAnsi"/>
          <w:sz w:val="22"/>
          <w:szCs w:val="22"/>
        </w:rPr>
        <w:tab/>
        <w:t>Demografía y población</w:t>
      </w:r>
    </w:p>
    <w:p w14:paraId="5328B210" w14:textId="1C4D04BD"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1.3.2.</w:t>
      </w:r>
      <w:r w:rsidR="009C1018" w:rsidRPr="00B24A80">
        <w:rPr>
          <w:rFonts w:asciiTheme="majorHAnsi" w:eastAsia="Calibri" w:hAnsiTheme="majorHAnsi" w:cstheme="majorHAnsi"/>
          <w:sz w:val="22"/>
          <w:szCs w:val="22"/>
        </w:rPr>
        <w:tab/>
        <w:t>Servicios públicos y sociales</w:t>
      </w:r>
    </w:p>
    <w:p w14:paraId="5B43F09F" w14:textId="08C238DA"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1.3.3.</w:t>
      </w:r>
      <w:r w:rsidR="009C1018" w:rsidRPr="00B24A80">
        <w:rPr>
          <w:rFonts w:asciiTheme="majorHAnsi" w:eastAsia="Calibri" w:hAnsiTheme="majorHAnsi" w:cstheme="majorHAnsi"/>
          <w:sz w:val="22"/>
          <w:szCs w:val="22"/>
        </w:rPr>
        <w:tab/>
        <w:t>Patrimonio y diversidad cultural</w:t>
      </w:r>
    </w:p>
    <w:p w14:paraId="5872DCC6" w14:textId="3BF44418"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1.3.4.</w:t>
      </w:r>
      <w:r w:rsidR="009C1018" w:rsidRPr="00B24A80">
        <w:rPr>
          <w:rFonts w:asciiTheme="majorHAnsi" w:eastAsia="Calibri" w:hAnsiTheme="majorHAnsi" w:cstheme="majorHAnsi"/>
          <w:sz w:val="22"/>
          <w:szCs w:val="22"/>
        </w:rPr>
        <w:tab/>
        <w:t>Pobreza y desigualdad</w:t>
      </w:r>
    </w:p>
    <w:p w14:paraId="498C900A" w14:textId="01F94F20"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1.3.5.</w:t>
      </w:r>
      <w:r w:rsidR="009C1018" w:rsidRPr="00B24A80">
        <w:rPr>
          <w:rFonts w:asciiTheme="majorHAnsi" w:eastAsia="Calibri" w:hAnsiTheme="majorHAnsi" w:cstheme="majorHAnsi"/>
          <w:sz w:val="22"/>
          <w:szCs w:val="22"/>
        </w:rPr>
        <w:tab/>
        <w:t>Seguridad y convivencia ciudadana</w:t>
      </w:r>
    </w:p>
    <w:p w14:paraId="307EAFFE" w14:textId="6361EBE8"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1.4.</w:t>
      </w:r>
      <w:r w:rsidR="00C807DB"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SISTEMA ECONÓMICO PRODUCTIVO</w:t>
      </w:r>
    </w:p>
    <w:p w14:paraId="07326D62" w14:textId="716C7B5A"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w:t>
      </w:r>
      <w:r w:rsidR="009C1018" w:rsidRPr="00B24A80">
        <w:rPr>
          <w:rFonts w:asciiTheme="majorHAnsi" w:eastAsia="Calibri" w:hAnsiTheme="majorHAnsi" w:cstheme="majorHAnsi"/>
          <w:sz w:val="22"/>
          <w:szCs w:val="22"/>
        </w:rPr>
        <w:tab/>
        <w:t>Actividades económicas y productivas</w:t>
      </w:r>
    </w:p>
    <w:p w14:paraId="349AEE5E" w14:textId="3DE69781"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1.4.2.</w:t>
      </w:r>
      <w:r w:rsidR="009C1018" w:rsidRPr="00B24A80">
        <w:rPr>
          <w:rFonts w:asciiTheme="majorHAnsi" w:eastAsia="Calibri" w:hAnsiTheme="majorHAnsi" w:cstheme="majorHAnsi"/>
          <w:sz w:val="22"/>
          <w:szCs w:val="22"/>
        </w:rPr>
        <w:tab/>
        <w:t>Emprendimiento y sector empresarial</w:t>
      </w:r>
    </w:p>
    <w:p w14:paraId="36B7549B" w14:textId="2494E23F"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1.4.3.</w:t>
      </w:r>
      <w:r w:rsidR="009C1018" w:rsidRPr="00B24A80">
        <w:rPr>
          <w:rFonts w:asciiTheme="majorHAnsi" w:eastAsia="Calibri" w:hAnsiTheme="majorHAnsi" w:cstheme="majorHAnsi"/>
          <w:sz w:val="22"/>
          <w:szCs w:val="22"/>
        </w:rPr>
        <w:tab/>
        <w:t>Cadena de valor</w:t>
      </w:r>
    </w:p>
    <w:p w14:paraId="32358A96" w14:textId="127A1F14"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1.4.4.</w:t>
      </w:r>
      <w:r w:rsidR="009C1018" w:rsidRPr="00B24A80">
        <w:rPr>
          <w:rFonts w:asciiTheme="majorHAnsi" w:eastAsia="Calibri" w:hAnsiTheme="majorHAnsi" w:cstheme="majorHAnsi"/>
          <w:sz w:val="22"/>
          <w:szCs w:val="22"/>
        </w:rPr>
        <w:tab/>
        <w:t>Agricultura</w:t>
      </w:r>
    </w:p>
    <w:p w14:paraId="4B1272E2" w14:textId="2FD8A999"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1.4.5.</w:t>
      </w:r>
      <w:r w:rsidR="009C1018" w:rsidRPr="00B24A80">
        <w:rPr>
          <w:rFonts w:asciiTheme="majorHAnsi" w:eastAsia="Calibri" w:hAnsiTheme="majorHAnsi" w:cstheme="majorHAnsi"/>
          <w:sz w:val="22"/>
          <w:szCs w:val="22"/>
        </w:rPr>
        <w:tab/>
        <w:t>Recursos turísticos</w:t>
      </w:r>
    </w:p>
    <w:p w14:paraId="1DCE3281" w14:textId="7083CEF5"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1.4.6.</w:t>
      </w:r>
      <w:r w:rsidR="009C1018" w:rsidRPr="00B24A80">
        <w:rPr>
          <w:rFonts w:asciiTheme="majorHAnsi" w:eastAsia="Calibri" w:hAnsiTheme="majorHAnsi" w:cstheme="majorHAnsi"/>
          <w:sz w:val="22"/>
          <w:szCs w:val="22"/>
        </w:rPr>
        <w:tab/>
        <w:t>Industria</w:t>
      </w:r>
    </w:p>
    <w:p w14:paraId="0A742FA5" w14:textId="2BC8FDF5"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1.4.7.</w:t>
      </w:r>
      <w:r w:rsidR="009C1018" w:rsidRPr="00B24A80">
        <w:rPr>
          <w:rFonts w:asciiTheme="majorHAnsi" w:eastAsia="Calibri" w:hAnsiTheme="majorHAnsi" w:cstheme="majorHAnsi"/>
          <w:sz w:val="22"/>
          <w:szCs w:val="22"/>
        </w:rPr>
        <w:tab/>
        <w:t>Productos y mercados locales, nacionales y globales</w:t>
      </w:r>
    </w:p>
    <w:p w14:paraId="265489EF" w14:textId="2DCFEFE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1.4.8.</w:t>
      </w:r>
      <w:r w:rsidR="009C1018" w:rsidRPr="00B24A80">
        <w:rPr>
          <w:rFonts w:asciiTheme="majorHAnsi" w:eastAsia="Calibri" w:hAnsiTheme="majorHAnsi" w:cstheme="majorHAnsi"/>
          <w:sz w:val="22"/>
          <w:szCs w:val="22"/>
        </w:rPr>
        <w:tab/>
        <w:t>Empleo y mercado laboral</w:t>
      </w:r>
    </w:p>
    <w:p w14:paraId="143C6A1F" w14:textId="74ECC33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1.4.9.</w:t>
      </w:r>
      <w:r w:rsidR="009C1018" w:rsidRPr="00B24A80">
        <w:rPr>
          <w:rFonts w:asciiTheme="majorHAnsi" w:eastAsia="Calibri" w:hAnsiTheme="majorHAnsi" w:cstheme="majorHAnsi"/>
          <w:sz w:val="22"/>
          <w:szCs w:val="22"/>
        </w:rPr>
        <w:tab/>
        <w:t>Concentración y distribución de la riqueza</w:t>
      </w:r>
    </w:p>
    <w:p w14:paraId="6CBFE7FF" w14:textId="10A58769"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1.4.10.</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Servicios a la producción</w:t>
      </w:r>
    </w:p>
    <w:p w14:paraId="19341F72" w14:textId="2230D3BD"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1.4.11.</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 xml:space="preserve">Proyecto de Innovación de Asistencia Técnica y Extensión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Rural (PIATER)</w:t>
      </w:r>
    </w:p>
    <w:p w14:paraId="7FA70AFD" w14:textId="7ADBBC0F"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1.4.12.</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 xml:space="preserve">Proyecto Integral de Diversificación </w:t>
      </w:r>
      <w:r w:rsidR="00546A09" w:rsidRPr="00B24A80">
        <w:rPr>
          <w:rFonts w:asciiTheme="majorHAnsi" w:eastAsia="Calibri" w:hAnsiTheme="majorHAnsi" w:cstheme="majorHAnsi"/>
          <w:sz w:val="22"/>
          <w:szCs w:val="22"/>
        </w:rPr>
        <w:t>Agro productiva</w:t>
      </w:r>
      <w:r w:rsidR="009C1018" w:rsidRPr="00B24A80">
        <w:rPr>
          <w:rFonts w:asciiTheme="majorHAnsi" w:eastAsia="Calibri" w:hAnsiTheme="majorHAnsi" w:cstheme="majorHAnsi"/>
          <w:sz w:val="22"/>
          <w:szCs w:val="22"/>
        </w:rPr>
        <w:t xml:space="preserve"> y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 xml:space="preserve">Reconversión </w:t>
      </w:r>
      <w:r w:rsidR="00A35002">
        <w:rPr>
          <w:rFonts w:asciiTheme="majorHAnsi" w:eastAsia="Calibri" w:hAnsiTheme="majorHAnsi" w:cstheme="majorHAnsi"/>
          <w:sz w:val="22"/>
          <w:szCs w:val="22"/>
        </w:rPr>
        <w:t>Rural</w:t>
      </w:r>
      <w:r w:rsidR="009C1018" w:rsidRPr="00B24A80">
        <w:rPr>
          <w:rFonts w:asciiTheme="majorHAnsi" w:eastAsia="Calibri" w:hAnsiTheme="majorHAnsi" w:cstheme="majorHAnsi"/>
          <w:sz w:val="22"/>
          <w:szCs w:val="22"/>
        </w:rPr>
        <w:t xml:space="preserve"> – PIDARA</w:t>
      </w:r>
    </w:p>
    <w:p w14:paraId="465D7D0D" w14:textId="645D349D"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1.4.13 Funcionalidad</w:t>
      </w:r>
      <w:r w:rsidR="009C1018" w:rsidRPr="00B24A80">
        <w:rPr>
          <w:rFonts w:asciiTheme="majorHAnsi" w:eastAsia="Calibri" w:hAnsiTheme="majorHAnsi" w:cstheme="majorHAnsi"/>
          <w:sz w:val="22"/>
          <w:szCs w:val="22"/>
        </w:rPr>
        <w:t xml:space="preserve"> económica del territorio</w:t>
      </w:r>
    </w:p>
    <w:p w14:paraId="0B93405B" w14:textId="6BB67A6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1.4.14.</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Economía popular y solidaria</w:t>
      </w:r>
    </w:p>
    <w:p w14:paraId="2B18945D" w14:textId="04A1F121"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1.4.15.</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Modelos de consumo</w:t>
      </w:r>
    </w:p>
    <w:p w14:paraId="69007B31" w14:textId="0D4EF7B5"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1.4.16.</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 xml:space="preserve">Seguridad alimentaria: Alimentos seguros, nutritivos y en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cantidad suficiente para satisfacer sus requerimientos.</w:t>
      </w:r>
    </w:p>
    <w:p w14:paraId="5282E49C" w14:textId="3FAC3A47"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1.4.17.</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Infraestructura productiva</w:t>
      </w:r>
    </w:p>
    <w:p w14:paraId="02891E66" w14:textId="405AECFB"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1.5. </w:t>
      </w:r>
      <w:r w:rsidR="009C1018" w:rsidRPr="00B24A80">
        <w:rPr>
          <w:rFonts w:asciiTheme="majorHAnsi" w:eastAsia="Calibri" w:hAnsiTheme="majorHAnsi" w:cstheme="majorHAnsi"/>
          <w:sz w:val="22"/>
          <w:szCs w:val="22"/>
        </w:rPr>
        <w:t>SISTEMA POLÍTICO INSTITUCIONAL</w:t>
      </w:r>
    </w:p>
    <w:p w14:paraId="615FEDD8" w14:textId="346B8821" w:rsidR="009C1018" w:rsidRPr="00B24A80" w:rsidRDefault="00C807DB"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1.5.1.</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Introducción</w:t>
      </w:r>
    </w:p>
    <w:p w14:paraId="3834598E" w14:textId="5EB9E44E"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1.5.2.</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Capacidades institucionales locales</w:t>
      </w:r>
    </w:p>
    <w:p w14:paraId="4B5C5E26" w14:textId="2EC38F4F"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1.5.3.</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Sistema local de planificación participativa</w:t>
      </w:r>
    </w:p>
    <w:p w14:paraId="3194AF2C" w14:textId="0849691A"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1.5.4.</w:t>
      </w:r>
      <w:r w:rsidR="009C1018" w:rsidRPr="00B24A80">
        <w:rPr>
          <w:rFonts w:asciiTheme="majorHAnsi" w:eastAsia="Calibri" w:hAnsiTheme="majorHAnsi" w:cstheme="majorHAnsi"/>
          <w:sz w:val="22"/>
          <w:szCs w:val="22"/>
        </w:rPr>
        <w:tab/>
        <w:t>Planificación, gestión y gobernanza</w:t>
      </w:r>
    </w:p>
    <w:p w14:paraId="3010FCE2" w14:textId="3077C8E3"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1.5.5.</w:t>
      </w:r>
      <w:r w:rsidR="009C1018" w:rsidRPr="00B24A80">
        <w:rPr>
          <w:rFonts w:asciiTheme="majorHAnsi" w:eastAsia="Calibri" w:hAnsiTheme="majorHAnsi" w:cstheme="majorHAnsi"/>
          <w:sz w:val="22"/>
          <w:szCs w:val="22"/>
        </w:rPr>
        <w:tab/>
        <w:t>Articulación Interinstitucional</w:t>
      </w:r>
    </w:p>
    <w:p w14:paraId="16C23209" w14:textId="1F112B1B"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1.5.6.</w:t>
      </w:r>
      <w:r w:rsidR="009C1018" w:rsidRPr="00B24A80">
        <w:rPr>
          <w:rFonts w:asciiTheme="majorHAnsi" w:eastAsia="Calibri" w:hAnsiTheme="majorHAnsi" w:cstheme="majorHAnsi"/>
          <w:sz w:val="22"/>
          <w:szCs w:val="22"/>
        </w:rPr>
        <w:tab/>
        <w:t>Actores territoriales y organización social</w:t>
      </w:r>
    </w:p>
    <w:p w14:paraId="33064522" w14:textId="2C5FF70B"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1.5.7.</w:t>
      </w:r>
      <w:r w:rsidR="009C1018" w:rsidRPr="00B24A80">
        <w:rPr>
          <w:rFonts w:asciiTheme="majorHAnsi" w:eastAsia="Calibri" w:hAnsiTheme="majorHAnsi" w:cstheme="majorHAnsi"/>
          <w:sz w:val="22"/>
          <w:szCs w:val="22"/>
        </w:rPr>
        <w:tab/>
        <w:t>Sistema de protección de derechos</w:t>
      </w:r>
    </w:p>
    <w:p w14:paraId="1296F63B" w14:textId="77777777"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2.</w:t>
      </w:r>
      <w:r w:rsidRPr="00B24A80">
        <w:rPr>
          <w:rFonts w:asciiTheme="majorHAnsi" w:eastAsia="Calibri" w:hAnsiTheme="majorHAnsi" w:cstheme="majorHAnsi"/>
          <w:sz w:val="22"/>
          <w:szCs w:val="22"/>
        </w:rPr>
        <w:tab/>
        <w:t>ANÁLISIS ESTRATÉGICO</w:t>
      </w:r>
    </w:p>
    <w:p w14:paraId="4470F6D9" w14:textId="5281F809"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2.1.</w:t>
      </w:r>
      <w:r w:rsidRPr="00B24A80">
        <w:rPr>
          <w:rFonts w:asciiTheme="majorHAnsi" w:eastAsia="Calibri" w:hAnsiTheme="majorHAnsi" w:cstheme="majorHAnsi"/>
          <w:sz w:val="22"/>
          <w:szCs w:val="22"/>
        </w:rPr>
        <w:t xml:space="preserve"> Identificación y sistematización de potencialidades y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problemas del territorio</w:t>
      </w:r>
    </w:p>
    <w:p w14:paraId="3CBAAC43" w14:textId="1E7F2DDA"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2.2.</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PRIORIZACIÓN DE POTENCIALIDADES Y PROBLEMAS</w:t>
      </w:r>
    </w:p>
    <w:p w14:paraId="606F607A" w14:textId="36C19BB0"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2.2.1.</w:t>
      </w:r>
      <w:r w:rsidR="009C1018" w:rsidRPr="00B24A80">
        <w:rPr>
          <w:rFonts w:asciiTheme="majorHAnsi" w:eastAsia="Calibri" w:hAnsiTheme="majorHAnsi" w:cstheme="majorHAnsi"/>
          <w:sz w:val="22"/>
          <w:szCs w:val="22"/>
        </w:rPr>
        <w:tab/>
        <w:t>Pasos para la priorización.</w:t>
      </w:r>
    </w:p>
    <w:p w14:paraId="2BD515DE" w14:textId="52E3D6DD"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2.2.2.</w:t>
      </w:r>
      <w:r w:rsidR="009C1018" w:rsidRPr="00B24A80">
        <w:rPr>
          <w:rFonts w:asciiTheme="majorHAnsi" w:eastAsia="Calibri" w:hAnsiTheme="majorHAnsi" w:cstheme="majorHAnsi"/>
          <w:sz w:val="22"/>
          <w:szCs w:val="22"/>
        </w:rPr>
        <w:tab/>
        <w:t>Calificación y validación de problemas y potencialidades:</w:t>
      </w:r>
    </w:p>
    <w:p w14:paraId="28B4AE8E" w14:textId="343F86C5"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2.3.</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MODELO TERRITORIAL ACTUAL</w:t>
      </w:r>
    </w:p>
    <w:p w14:paraId="36994D4F" w14:textId="7D758380"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2.3.1.</w:t>
      </w:r>
      <w:r w:rsidR="009C1018" w:rsidRPr="00B24A80">
        <w:rPr>
          <w:rFonts w:asciiTheme="majorHAnsi" w:eastAsia="Calibri" w:hAnsiTheme="majorHAnsi" w:cstheme="majorHAnsi"/>
          <w:sz w:val="22"/>
          <w:szCs w:val="22"/>
        </w:rPr>
        <w:tab/>
        <w:t>Análisis estratégico Económico Productivo</w:t>
      </w:r>
    </w:p>
    <w:p w14:paraId="3237B3BB" w14:textId="56EF3F70"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2.3.2.</w:t>
      </w:r>
      <w:r w:rsidR="009C1018" w:rsidRPr="00B24A80">
        <w:rPr>
          <w:rFonts w:asciiTheme="majorHAnsi" w:eastAsia="Calibri" w:hAnsiTheme="majorHAnsi" w:cstheme="majorHAnsi"/>
          <w:sz w:val="22"/>
          <w:szCs w:val="22"/>
        </w:rPr>
        <w:tab/>
        <w:t>Análisis estratégico Sistema Físico Ambiental</w:t>
      </w:r>
    </w:p>
    <w:p w14:paraId="1DF6D338" w14:textId="230B05EE"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2.3.3.</w:t>
      </w:r>
      <w:r w:rsidR="009C1018" w:rsidRPr="00B24A80">
        <w:rPr>
          <w:rFonts w:asciiTheme="majorHAnsi" w:eastAsia="Calibri" w:hAnsiTheme="majorHAnsi" w:cstheme="majorHAnsi"/>
          <w:sz w:val="22"/>
          <w:szCs w:val="22"/>
        </w:rPr>
        <w:tab/>
        <w:t>Análisis estratégico Sistema Socio Cultural</w:t>
      </w:r>
    </w:p>
    <w:p w14:paraId="2111CD5C" w14:textId="1C1EE375"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2.3.4.</w:t>
      </w:r>
      <w:r w:rsidR="009C1018" w:rsidRPr="00B24A80">
        <w:rPr>
          <w:rFonts w:asciiTheme="majorHAnsi" w:eastAsia="Calibri" w:hAnsiTheme="majorHAnsi" w:cstheme="majorHAnsi"/>
          <w:sz w:val="22"/>
          <w:szCs w:val="22"/>
        </w:rPr>
        <w:tab/>
        <w:t>Análisis estratégico Sistema Político Institucional</w:t>
      </w:r>
    </w:p>
    <w:p w14:paraId="42FFF6DF" w14:textId="1527C96B"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2.3.5.</w:t>
      </w:r>
      <w:r w:rsidR="009C1018" w:rsidRPr="00B24A80">
        <w:rPr>
          <w:rFonts w:asciiTheme="majorHAnsi" w:eastAsia="Calibri" w:hAnsiTheme="majorHAnsi" w:cstheme="majorHAnsi"/>
          <w:sz w:val="22"/>
          <w:szCs w:val="22"/>
        </w:rPr>
        <w:tab/>
        <w:t>Análisis estratégico Sistema Asentamientos Humanos</w:t>
      </w:r>
    </w:p>
    <w:p w14:paraId="70AEA88B" w14:textId="1D5477D3"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ab/>
      </w:r>
      <w:r w:rsidR="009C1018" w:rsidRPr="00B24A80">
        <w:rPr>
          <w:rFonts w:asciiTheme="majorHAnsi" w:eastAsia="Calibri" w:hAnsiTheme="majorHAnsi" w:cstheme="majorHAnsi"/>
          <w:sz w:val="22"/>
          <w:szCs w:val="22"/>
        </w:rPr>
        <w:t>2.4.</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CONCLUSIONES</w:t>
      </w:r>
    </w:p>
    <w:p w14:paraId="7784CD09" w14:textId="77777777"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3.</w:t>
      </w:r>
      <w:r w:rsidRPr="00B24A80">
        <w:rPr>
          <w:rFonts w:asciiTheme="majorHAnsi" w:eastAsia="Calibri" w:hAnsiTheme="majorHAnsi" w:cstheme="majorHAnsi"/>
          <w:sz w:val="22"/>
          <w:szCs w:val="22"/>
        </w:rPr>
        <w:tab/>
        <w:t>BIBLIOGRAFÍA</w:t>
      </w:r>
    </w:p>
    <w:p w14:paraId="3CBACBE1" w14:textId="226EA474"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3.1.</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COMPONENTE ECONÓMICO PRODUCTIVO</w:t>
      </w:r>
    </w:p>
    <w:p w14:paraId="652C4915" w14:textId="23796A31"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3.2.</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COMPONENTE FÍSICO AMBIENTAL</w:t>
      </w:r>
    </w:p>
    <w:p w14:paraId="6EFC9C5E" w14:textId="6DD95BDF"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3.3.</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COMPONENTE SOCIO CULTURAL</w:t>
      </w:r>
    </w:p>
    <w:p w14:paraId="6C07B802" w14:textId="77777777" w:rsidR="009C1018" w:rsidRPr="00B24A80" w:rsidRDefault="009C1018"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4.</w:t>
      </w:r>
      <w:r w:rsidRPr="00B24A80">
        <w:rPr>
          <w:rFonts w:asciiTheme="majorHAnsi" w:eastAsia="Calibri" w:hAnsiTheme="majorHAnsi" w:cstheme="majorHAnsi"/>
          <w:sz w:val="22"/>
          <w:szCs w:val="22"/>
        </w:rPr>
        <w:tab/>
        <w:t>ANEXOS</w:t>
      </w:r>
    </w:p>
    <w:p w14:paraId="7F2B1A49" w14:textId="149C0A00"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4.1.</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METODOLOGÍA DE LEVANTAMIENTO DE INFORMACIÓN</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PRIMARIA</w:t>
      </w:r>
    </w:p>
    <w:p w14:paraId="339C6293" w14:textId="7B640C4E"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4.1.1.</w:t>
      </w:r>
      <w:r w:rsidR="009C1018" w:rsidRPr="00B24A80">
        <w:rPr>
          <w:rFonts w:asciiTheme="majorHAnsi" w:eastAsia="Calibri" w:hAnsiTheme="majorHAnsi" w:cstheme="majorHAnsi"/>
          <w:sz w:val="22"/>
          <w:szCs w:val="22"/>
        </w:rPr>
        <w:tab/>
        <w:t>Obtención de datos primarios</w:t>
      </w:r>
    </w:p>
    <w:p w14:paraId="117E6537" w14:textId="25E3F9D5"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4.1.2.</w:t>
      </w:r>
      <w:r w:rsidR="009C1018" w:rsidRPr="00B24A80">
        <w:rPr>
          <w:rFonts w:asciiTheme="majorHAnsi" w:eastAsia="Calibri" w:hAnsiTheme="majorHAnsi" w:cstheme="majorHAnsi"/>
          <w:sz w:val="22"/>
          <w:szCs w:val="22"/>
        </w:rPr>
        <w:tab/>
        <w:t xml:space="preserve">Captura de imágenes aéreas empleando vehículos aéreos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no tripulados.</w:t>
      </w:r>
    </w:p>
    <w:p w14:paraId="38FDB138" w14:textId="0AE38F29"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4.2.</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COMPONENTE ECONÓMICO PRODUCTIVO</w:t>
      </w:r>
    </w:p>
    <w:p w14:paraId="77847AB2" w14:textId="7E7236D2"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4.3.</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COMPONENTE FÍSICO AMBIENTAL</w:t>
      </w:r>
    </w:p>
    <w:p w14:paraId="3063F833" w14:textId="46C529B1"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t xml:space="preserve">4.5. </w:t>
      </w:r>
      <w:r w:rsidR="009C1018" w:rsidRPr="00B24A80">
        <w:rPr>
          <w:rFonts w:asciiTheme="majorHAnsi" w:eastAsia="Calibri" w:hAnsiTheme="majorHAnsi" w:cstheme="majorHAnsi"/>
          <w:sz w:val="22"/>
          <w:szCs w:val="22"/>
        </w:rPr>
        <w:t>COMPONENTE SOCIO CULTURAL</w:t>
      </w:r>
    </w:p>
    <w:p w14:paraId="063587FC" w14:textId="726B9370" w:rsidR="009C1018" w:rsidRPr="00B24A80" w:rsidRDefault="008E7A90" w:rsidP="009C1018">
      <w:pPr>
        <w:ind w:left="360"/>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009C1018" w:rsidRPr="00B24A80">
        <w:rPr>
          <w:rFonts w:asciiTheme="majorHAnsi" w:eastAsia="Calibri" w:hAnsiTheme="majorHAnsi" w:cstheme="majorHAnsi"/>
          <w:sz w:val="22"/>
          <w:szCs w:val="22"/>
        </w:rPr>
        <w:t>4.</w:t>
      </w:r>
      <w:r w:rsidRPr="00B24A80">
        <w:rPr>
          <w:rFonts w:asciiTheme="majorHAnsi" w:eastAsia="Calibri" w:hAnsiTheme="majorHAnsi" w:cstheme="majorHAnsi"/>
          <w:sz w:val="22"/>
          <w:szCs w:val="22"/>
        </w:rPr>
        <w:t>6</w:t>
      </w:r>
      <w:r w:rsidR="009C1018" w:rsidRPr="00B24A80">
        <w:rPr>
          <w:rFonts w:asciiTheme="majorHAnsi" w:eastAsia="Calibri" w:hAnsiTheme="majorHAnsi" w:cstheme="majorHAnsi"/>
          <w:sz w:val="22"/>
          <w:szCs w:val="22"/>
        </w:rPr>
        <w:t>.</w:t>
      </w:r>
      <w:r w:rsidRPr="00B24A80">
        <w:rPr>
          <w:rFonts w:asciiTheme="majorHAnsi" w:eastAsia="Calibri" w:hAnsiTheme="majorHAnsi" w:cstheme="majorHAnsi"/>
          <w:sz w:val="22"/>
          <w:szCs w:val="22"/>
        </w:rPr>
        <w:t xml:space="preserve"> </w:t>
      </w:r>
      <w:r w:rsidR="009C1018" w:rsidRPr="00B24A80">
        <w:rPr>
          <w:rFonts w:asciiTheme="majorHAnsi" w:eastAsia="Calibri" w:hAnsiTheme="majorHAnsi" w:cstheme="majorHAnsi"/>
          <w:sz w:val="22"/>
          <w:szCs w:val="22"/>
        </w:rPr>
        <w:t>COMPONENTE ASENTAMIENTOS HUMANOS</w:t>
      </w:r>
    </w:p>
    <w:p w14:paraId="79C83DA2" w14:textId="77777777" w:rsidR="00A126F5" w:rsidRPr="00B24A80" w:rsidRDefault="00A126F5" w:rsidP="00A126F5">
      <w:pPr>
        <w:pStyle w:val="Prrafodelista"/>
        <w:rPr>
          <w:rFonts w:asciiTheme="majorHAnsi" w:eastAsia="Calibri" w:hAnsiTheme="majorHAnsi" w:cstheme="majorHAnsi"/>
          <w:szCs w:val="22"/>
        </w:rPr>
      </w:pPr>
    </w:p>
    <w:p w14:paraId="70A805DE" w14:textId="4E1F1551" w:rsidR="009C6E01" w:rsidRPr="00B24A80" w:rsidRDefault="0078045A" w:rsidP="00CA24CF">
      <w:pPr>
        <w:pStyle w:val="Prrafodelista"/>
        <w:widowControl/>
        <w:numPr>
          <w:ilvl w:val="0"/>
          <w:numId w:val="107"/>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b/>
          <w:szCs w:val="22"/>
        </w:rPr>
        <w:t>PROPUESTA</w:t>
      </w:r>
      <w:r w:rsidR="009B5FEE" w:rsidRPr="00B24A80">
        <w:rPr>
          <w:rFonts w:asciiTheme="majorHAnsi" w:eastAsia="Calibri" w:hAnsiTheme="majorHAnsi" w:cstheme="majorHAnsi"/>
          <w:b/>
          <w:szCs w:val="22"/>
        </w:rPr>
        <w:t>. –</w:t>
      </w:r>
      <w:r w:rsidR="009B5FEE" w:rsidRPr="00B24A80">
        <w:rPr>
          <w:rFonts w:asciiTheme="majorHAnsi" w:eastAsia="Calibri" w:hAnsiTheme="majorHAnsi" w:cstheme="majorHAnsi"/>
          <w:szCs w:val="22"/>
        </w:rPr>
        <w:t xml:space="preserve"> </w:t>
      </w:r>
      <w:r w:rsidR="00D81D37" w:rsidRPr="00B24A80">
        <w:rPr>
          <w:rFonts w:asciiTheme="majorHAnsi" w:eastAsia="Calibri" w:hAnsiTheme="majorHAnsi" w:cstheme="majorHAnsi"/>
          <w:szCs w:val="22"/>
        </w:rPr>
        <w:t xml:space="preserve">El </w:t>
      </w:r>
      <w:r w:rsidR="00EE2F61" w:rsidRPr="00B24A80">
        <w:rPr>
          <w:rFonts w:asciiTheme="majorHAnsi" w:eastAsia="Calibri" w:hAnsiTheme="majorHAnsi" w:cstheme="majorHAnsi"/>
          <w:szCs w:val="22"/>
        </w:rPr>
        <w:t>P</w:t>
      </w:r>
      <w:r w:rsidR="00D81D37" w:rsidRPr="00B24A80">
        <w:rPr>
          <w:rFonts w:asciiTheme="majorHAnsi" w:eastAsia="Calibri" w:hAnsiTheme="majorHAnsi" w:cstheme="majorHAnsi"/>
          <w:szCs w:val="22"/>
        </w:rPr>
        <w:t xml:space="preserve">lan de </w:t>
      </w:r>
      <w:r w:rsidR="00EE2F61" w:rsidRPr="00B24A80">
        <w:rPr>
          <w:rFonts w:asciiTheme="majorHAnsi" w:eastAsia="Calibri" w:hAnsiTheme="majorHAnsi" w:cstheme="majorHAnsi"/>
          <w:szCs w:val="22"/>
        </w:rPr>
        <w:t>D</w:t>
      </w:r>
      <w:r w:rsidR="00D81D37" w:rsidRPr="00B24A80">
        <w:rPr>
          <w:rFonts w:asciiTheme="majorHAnsi" w:eastAsia="Calibri" w:hAnsiTheme="majorHAnsi" w:cstheme="majorHAnsi"/>
          <w:szCs w:val="22"/>
        </w:rPr>
        <w:t xml:space="preserve">esarrollo y </w:t>
      </w:r>
      <w:r w:rsidR="00EE2F61" w:rsidRPr="00B24A80">
        <w:rPr>
          <w:rFonts w:asciiTheme="majorHAnsi" w:eastAsia="Calibri" w:hAnsiTheme="majorHAnsi" w:cstheme="majorHAnsi"/>
          <w:szCs w:val="22"/>
        </w:rPr>
        <w:t>O</w:t>
      </w:r>
      <w:r w:rsidR="00D81D37" w:rsidRPr="00B24A80">
        <w:rPr>
          <w:rFonts w:asciiTheme="majorHAnsi" w:eastAsia="Calibri" w:hAnsiTheme="majorHAnsi" w:cstheme="majorHAnsi"/>
          <w:szCs w:val="22"/>
        </w:rPr>
        <w:t xml:space="preserve">rdenamiento </w:t>
      </w:r>
      <w:r w:rsidR="00EE2F61" w:rsidRPr="00B24A80">
        <w:rPr>
          <w:rFonts w:asciiTheme="majorHAnsi" w:eastAsia="Calibri" w:hAnsiTheme="majorHAnsi" w:cstheme="majorHAnsi"/>
          <w:szCs w:val="22"/>
        </w:rPr>
        <w:t>T</w:t>
      </w:r>
      <w:r w:rsidR="00D81D37" w:rsidRPr="00B24A80">
        <w:rPr>
          <w:rFonts w:asciiTheme="majorHAnsi" w:eastAsia="Calibri" w:hAnsiTheme="majorHAnsi" w:cstheme="majorHAnsi"/>
          <w:szCs w:val="22"/>
        </w:rPr>
        <w:t xml:space="preserve">erritorial del </w:t>
      </w:r>
      <w:r w:rsidR="008A07AF">
        <w:rPr>
          <w:rFonts w:asciiTheme="majorHAnsi" w:eastAsia="Calibri" w:hAnsiTheme="majorHAnsi" w:cstheme="majorHAnsi"/>
          <w:szCs w:val="22"/>
        </w:rPr>
        <w:t>C</w:t>
      </w:r>
      <w:r w:rsidR="00CD4F27" w:rsidRPr="00B24A80">
        <w:rPr>
          <w:rFonts w:asciiTheme="majorHAnsi" w:eastAsia="Calibri" w:hAnsiTheme="majorHAnsi" w:cstheme="majorHAnsi"/>
          <w:szCs w:val="22"/>
        </w:rPr>
        <w:t>antón La Joya de los Sachas</w:t>
      </w:r>
      <w:r w:rsidR="00D81D37" w:rsidRPr="00B24A80">
        <w:rPr>
          <w:rFonts w:asciiTheme="majorHAnsi" w:eastAsia="Calibri" w:hAnsiTheme="majorHAnsi" w:cstheme="majorHAnsi"/>
          <w:szCs w:val="22"/>
        </w:rPr>
        <w:t xml:space="preserve">, </w:t>
      </w:r>
      <w:r w:rsidRPr="00B24A80">
        <w:rPr>
          <w:rFonts w:asciiTheme="majorHAnsi" w:eastAsia="Calibri" w:hAnsiTheme="majorHAnsi" w:cstheme="majorHAnsi"/>
          <w:szCs w:val="22"/>
        </w:rPr>
        <w:t xml:space="preserve">la propuesta </w:t>
      </w:r>
      <w:r w:rsidR="00D81D37" w:rsidRPr="00B24A80">
        <w:rPr>
          <w:rFonts w:asciiTheme="majorHAnsi" w:eastAsia="Calibri" w:hAnsiTheme="majorHAnsi" w:cstheme="majorHAnsi"/>
          <w:szCs w:val="22"/>
        </w:rPr>
        <w:t>contiene lo siguiente:</w:t>
      </w:r>
    </w:p>
    <w:p w14:paraId="595ED97E" w14:textId="46580973"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t>1. CONTEXTO</w:t>
      </w:r>
    </w:p>
    <w:p w14:paraId="26CA9124" w14:textId="651A8C56"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t>2. PROPUESTAS DE LARGO PLAZO</w:t>
      </w:r>
    </w:p>
    <w:p w14:paraId="442EC7CD" w14:textId="0B87EF5A"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2.1. VISIÓN DE DESARROLLO</w:t>
      </w:r>
    </w:p>
    <w:p w14:paraId="51B3E661" w14:textId="66EF279A"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2.1.1.</w:t>
      </w:r>
      <w:r w:rsidRPr="00B24A80">
        <w:rPr>
          <w:rFonts w:asciiTheme="majorHAnsi" w:eastAsia="Calibri" w:hAnsiTheme="majorHAnsi" w:cstheme="majorHAnsi"/>
          <w:sz w:val="22"/>
          <w:szCs w:val="22"/>
        </w:rPr>
        <w:tab/>
        <w:t>Objetivos de desarrollo</w:t>
      </w:r>
    </w:p>
    <w:p w14:paraId="7D99E815" w14:textId="100E3D18"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t>3. PROPUESTA DE GESTIÓN DE MEDIANO PLAZO</w:t>
      </w:r>
    </w:p>
    <w:p w14:paraId="14696D76" w14:textId="677271C4"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3.1. ANÁLISIS FUNCIONAL DE UNIDADES TERRITORIALES</w:t>
      </w:r>
    </w:p>
    <w:p w14:paraId="2B98F6D9" w14:textId="3D6B79D7"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 OBJETIVOS, POLÍTICAS, METAS, INDICADORES</w:t>
      </w:r>
    </w:p>
    <w:p w14:paraId="2642B867" w14:textId="6C7AD25F"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3.2.1.</w:t>
      </w:r>
      <w:r w:rsidRPr="00B24A80">
        <w:rPr>
          <w:rFonts w:asciiTheme="majorHAnsi" w:eastAsia="Calibri" w:hAnsiTheme="majorHAnsi" w:cstheme="majorHAnsi"/>
          <w:sz w:val="22"/>
          <w:szCs w:val="22"/>
        </w:rPr>
        <w:tab/>
        <w:t>Asentamientos Humanos</w:t>
      </w:r>
    </w:p>
    <w:p w14:paraId="68A90B87" w14:textId="1C5D5970"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w:t>
      </w:r>
      <w:r w:rsidRPr="00B24A80">
        <w:rPr>
          <w:rFonts w:asciiTheme="majorHAnsi" w:eastAsia="Calibri" w:hAnsiTheme="majorHAnsi" w:cstheme="majorHAnsi"/>
          <w:sz w:val="22"/>
          <w:szCs w:val="22"/>
        </w:rPr>
        <w:tab/>
        <w:t>Sociocultural</w:t>
      </w:r>
    </w:p>
    <w:p w14:paraId="382C1827" w14:textId="5A44B2E1"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3.2.3.</w:t>
      </w:r>
      <w:r w:rsidRPr="00B24A80">
        <w:rPr>
          <w:rFonts w:asciiTheme="majorHAnsi" w:eastAsia="Calibri" w:hAnsiTheme="majorHAnsi" w:cstheme="majorHAnsi"/>
          <w:sz w:val="22"/>
          <w:szCs w:val="22"/>
        </w:rPr>
        <w:tab/>
        <w:t>Económico productivo</w:t>
      </w:r>
    </w:p>
    <w:p w14:paraId="0EA76F68" w14:textId="2B493CBF"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3.2.4.</w:t>
      </w:r>
      <w:r w:rsidRPr="00B24A80">
        <w:rPr>
          <w:rFonts w:asciiTheme="majorHAnsi" w:eastAsia="Calibri" w:hAnsiTheme="majorHAnsi" w:cstheme="majorHAnsi"/>
          <w:sz w:val="22"/>
          <w:szCs w:val="22"/>
        </w:rPr>
        <w:tab/>
        <w:t>Físico Ambiental</w:t>
      </w:r>
    </w:p>
    <w:p w14:paraId="48699716" w14:textId="2A8C7DE3"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3.2.5.</w:t>
      </w:r>
      <w:r w:rsidRPr="00B24A80">
        <w:rPr>
          <w:rFonts w:asciiTheme="majorHAnsi" w:eastAsia="Calibri" w:hAnsiTheme="majorHAnsi" w:cstheme="majorHAnsi"/>
          <w:sz w:val="22"/>
          <w:szCs w:val="22"/>
        </w:rPr>
        <w:tab/>
        <w:t>Político institucional</w:t>
      </w:r>
    </w:p>
    <w:p w14:paraId="15D60A93" w14:textId="0EEABF36"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 PLANES, PROGRAMAS, PROYECTOS Y PRESUPUESTO</w:t>
      </w:r>
    </w:p>
    <w:p w14:paraId="4F606C3D" w14:textId="5A10013D"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3.3.1.</w:t>
      </w:r>
      <w:r w:rsidRPr="00B24A80">
        <w:rPr>
          <w:rFonts w:asciiTheme="majorHAnsi" w:eastAsia="Calibri" w:hAnsiTheme="majorHAnsi" w:cstheme="majorHAnsi"/>
          <w:sz w:val="22"/>
          <w:szCs w:val="22"/>
        </w:rPr>
        <w:tab/>
        <w:t>Asentamientos humanos</w:t>
      </w:r>
    </w:p>
    <w:p w14:paraId="41253AE6" w14:textId="6D241BA0"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3.3.2.</w:t>
      </w:r>
      <w:r w:rsidRPr="00B24A80">
        <w:rPr>
          <w:rFonts w:asciiTheme="majorHAnsi" w:eastAsia="Calibri" w:hAnsiTheme="majorHAnsi" w:cstheme="majorHAnsi"/>
          <w:sz w:val="22"/>
          <w:szCs w:val="22"/>
        </w:rPr>
        <w:tab/>
        <w:t>Socio cultural</w:t>
      </w:r>
    </w:p>
    <w:p w14:paraId="4C51621F" w14:textId="4C76C2F3"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3.3.3.</w:t>
      </w:r>
      <w:r w:rsidRPr="00B24A80">
        <w:rPr>
          <w:rFonts w:asciiTheme="majorHAnsi" w:eastAsia="Calibri" w:hAnsiTheme="majorHAnsi" w:cstheme="majorHAnsi"/>
          <w:sz w:val="22"/>
          <w:szCs w:val="22"/>
        </w:rPr>
        <w:tab/>
        <w:t>Económico productivo</w:t>
      </w:r>
    </w:p>
    <w:p w14:paraId="692E0D8F" w14:textId="315149A5"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3.3.4.</w:t>
      </w:r>
      <w:r w:rsidRPr="00B24A80">
        <w:rPr>
          <w:rFonts w:asciiTheme="majorHAnsi" w:eastAsia="Calibri" w:hAnsiTheme="majorHAnsi" w:cstheme="majorHAnsi"/>
          <w:sz w:val="22"/>
          <w:szCs w:val="22"/>
        </w:rPr>
        <w:tab/>
        <w:t>Físico Ambiental</w:t>
      </w:r>
    </w:p>
    <w:p w14:paraId="26CB2009" w14:textId="6E3B5A9F"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3.3.5.</w:t>
      </w:r>
      <w:r w:rsidRPr="00B24A80">
        <w:rPr>
          <w:rFonts w:asciiTheme="majorHAnsi" w:eastAsia="Calibri" w:hAnsiTheme="majorHAnsi" w:cstheme="majorHAnsi"/>
          <w:sz w:val="22"/>
          <w:szCs w:val="22"/>
        </w:rPr>
        <w:tab/>
        <w:t>Político Institucional</w:t>
      </w:r>
    </w:p>
    <w:p w14:paraId="5998C120" w14:textId="78832DCE"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3.3.6.</w:t>
      </w:r>
      <w:r w:rsidRPr="00B24A80">
        <w:rPr>
          <w:rFonts w:asciiTheme="majorHAnsi" w:eastAsia="Calibri" w:hAnsiTheme="majorHAnsi" w:cstheme="majorHAnsi"/>
          <w:sz w:val="22"/>
          <w:szCs w:val="22"/>
        </w:rPr>
        <w:tab/>
        <w:t>Resumen de programas y proyectos</w:t>
      </w:r>
    </w:p>
    <w:p w14:paraId="5435C9E2" w14:textId="3333D9C9"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3.4. ALINEACIÓN A OTROS INSTRUMENTOS DE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PLANIFICACIÓN</w:t>
      </w:r>
    </w:p>
    <w:p w14:paraId="2E8EB41A" w14:textId="42B74912"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4. MODELO TERRITORIAL DESEADO</w:t>
      </w:r>
    </w:p>
    <w:p w14:paraId="33A00A7C" w14:textId="0BA73A3C"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4.1. SISTEMA ASENTAMIENTOS HUMANOS</w:t>
      </w:r>
    </w:p>
    <w:p w14:paraId="1DBF0400" w14:textId="58ABFEE5"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4.2. SISTEMA SOCIOCULTURAL</w:t>
      </w:r>
    </w:p>
    <w:p w14:paraId="44093C61" w14:textId="0083564D"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4.3. SISTEMA ECONÓMICO PRODUCTIVO</w:t>
      </w:r>
    </w:p>
    <w:p w14:paraId="315E40E9" w14:textId="7461FAE4" w:rsidR="008E7A90" w:rsidRPr="00B24A80" w:rsidRDefault="008E7A90" w:rsidP="008E7A9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4.4. SISTEMA FÍSICO AMBIENTAL</w:t>
      </w:r>
    </w:p>
    <w:p w14:paraId="06D82D21" w14:textId="77777777" w:rsidR="00600918" w:rsidRPr="00B24A80" w:rsidRDefault="008E7A90" w:rsidP="00600918">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4.5. SISTEMA POLÍTICO INSTITUCIONAL</w:t>
      </w:r>
    </w:p>
    <w:p w14:paraId="343C801F" w14:textId="77777777" w:rsidR="00600918" w:rsidRPr="00B24A80" w:rsidRDefault="00600918" w:rsidP="00600918">
      <w:pPr>
        <w:spacing w:line="276" w:lineRule="auto"/>
        <w:rPr>
          <w:rFonts w:asciiTheme="majorHAnsi" w:eastAsia="Calibri" w:hAnsiTheme="majorHAnsi" w:cstheme="majorHAnsi"/>
          <w:sz w:val="22"/>
          <w:szCs w:val="22"/>
        </w:rPr>
      </w:pPr>
    </w:p>
    <w:p w14:paraId="663373A3" w14:textId="1981B366" w:rsidR="00600918" w:rsidRPr="00B24A80" w:rsidRDefault="00600918" w:rsidP="00CA24CF">
      <w:pPr>
        <w:pStyle w:val="Prrafodelista"/>
        <w:numPr>
          <w:ilvl w:val="0"/>
          <w:numId w:val="107"/>
        </w:numPr>
        <w:spacing w:line="276" w:lineRule="auto"/>
        <w:rPr>
          <w:rFonts w:asciiTheme="majorHAnsi" w:eastAsia="Calibri" w:hAnsiTheme="majorHAnsi" w:cstheme="majorHAnsi"/>
          <w:b/>
          <w:szCs w:val="22"/>
        </w:rPr>
      </w:pPr>
      <w:r w:rsidRPr="00B24A80">
        <w:rPr>
          <w:rFonts w:asciiTheme="majorHAnsi" w:eastAsia="Calibri" w:hAnsiTheme="majorHAnsi" w:cstheme="majorHAnsi"/>
          <w:b/>
          <w:szCs w:val="22"/>
        </w:rPr>
        <w:t xml:space="preserve">MODELO DE </w:t>
      </w:r>
      <w:r w:rsidR="0078045A" w:rsidRPr="00B24A80">
        <w:rPr>
          <w:rFonts w:asciiTheme="majorHAnsi" w:eastAsia="Calibri" w:hAnsiTheme="majorHAnsi" w:cstheme="majorHAnsi"/>
          <w:b/>
          <w:szCs w:val="22"/>
        </w:rPr>
        <w:t xml:space="preserve">GESTION. - </w:t>
      </w:r>
      <w:r w:rsidR="0078045A" w:rsidRPr="00B24A80">
        <w:rPr>
          <w:rFonts w:asciiTheme="majorHAnsi" w:eastAsia="Calibri" w:hAnsiTheme="majorHAnsi" w:cstheme="majorHAnsi"/>
          <w:szCs w:val="22"/>
        </w:rPr>
        <w:t xml:space="preserve">El </w:t>
      </w:r>
      <w:r w:rsidR="00EE2F61" w:rsidRPr="00B24A80">
        <w:rPr>
          <w:rFonts w:asciiTheme="majorHAnsi" w:eastAsia="Calibri" w:hAnsiTheme="majorHAnsi" w:cstheme="majorHAnsi"/>
          <w:szCs w:val="22"/>
        </w:rPr>
        <w:t>P</w:t>
      </w:r>
      <w:r w:rsidR="0078045A" w:rsidRPr="00B24A80">
        <w:rPr>
          <w:rFonts w:asciiTheme="majorHAnsi" w:eastAsia="Calibri" w:hAnsiTheme="majorHAnsi" w:cstheme="majorHAnsi"/>
          <w:szCs w:val="22"/>
        </w:rPr>
        <w:t xml:space="preserve">lan de </w:t>
      </w:r>
      <w:r w:rsidR="00EE2F61" w:rsidRPr="00B24A80">
        <w:rPr>
          <w:rFonts w:asciiTheme="majorHAnsi" w:eastAsia="Calibri" w:hAnsiTheme="majorHAnsi" w:cstheme="majorHAnsi"/>
          <w:szCs w:val="22"/>
        </w:rPr>
        <w:t>D</w:t>
      </w:r>
      <w:r w:rsidR="0078045A" w:rsidRPr="00B24A80">
        <w:rPr>
          <w:rFonts w:asciiTheme="majorHAnsi" w:eastAsia="Calibri" w:hAnsiTheme="majorHAnsi" w:cstheme="majorHAnsi"/>
          <w:szCs w:val="22"/>
        </w:rPr>
        <w:t xml:space="preserve">esarrollo y </w:t>
      </w:r>
      <w:r w:rsidR="00EE2F61" w:rsidRPr="00B24A80">
        <w:rPr>
          <w:rFonts w:asciiTheme="majorHAnsi" w:eastAsia="Calibri" w:hAnsiTheme="majorHAnsi" w:cstheme="majorHAnsi"/>
          <w:szCs w:val="22"/>
        </w:rPr>
        <w:t>O</w:t>
      </w:r>
      <w:r w:rsidR="0078045A" w:rsidRPr="00B24A80">
        <w:rPr>
          <w:rFonts w:asciiTheme="majorHAnsi" w:eastAsia="Calibri" w:hAnsiTheme="majorHAnsi" w:cstheme="majorHAnsi"/>
          <w:szCs w:val="22"/>
        </w:rPr>
        <w:t xml:space="preserve">rdenamiento </w:t>
      </w:r>
      <w:r w:rsidR="00EE2F61" w:rsidRPr="00B24A80">
        <w:rPr>
          <w:rFonts w:asciiTheme="majorHAnsi" w:eastAsia="Calibri" w:hAnsiTheme="majorHAnsi" w:cstheme="majorHAnsi"/>
          <w:szCs w:val="22"/>
        </w:rPr>
        <w:t>T</w:t>
      </w:r>
      <w:r w:rsidR="0078045A" w:rsidRPr="00B24A80">
        <w:rPr>
          <w:rFonts w:asciiTheme="majorHAnsi" w:eastAsia="Calibri" w:hAnsiTheme="majorHAnsi" w:cstheme="majorHAnsi"/>
          <w:szCs w:val="22"/>
        </w:rPr>
        <w:t xml:space="preserve">erritorial del </w:t>
      </w:r>
      <w:r w:rsidR="00FD2CAF">
        <w:rPr>
          <w:rFonts w:asciiTheme="majorHAnsi" w:eastAsia="Calibri" w:hAnsiTheme="majorHAnsi" w:cstheme="majorHAnsi"/>
          <w:szCs w:val="22"/>
        </w:rPr>
        <w:t>C</w:t>
      </w:r>
      <w:r w:rsidR="00CD4F27" w:rsidRPr="00B24A80">
        <w:rPr>
          <w:rFonts w:asciiTheme="majorHAnsi" w:eastAsia="Calibri" w:hAnsiTheme="majorHAnsi" w:cstheme="majorHAnsi"/>
          <w:szCs w:val="22"/>
        </w:rPr>
        <w:t>antón La Joya de los Sachas</w:t>
      </w:r>
      <w:r w:rsidR="0078045A" w:rsidRPr="00B24A80">
        <w:rPr>
          <w:rFonts w:asciiTheme="majorHAnsi" w:eastAsia="Calibri" w:hAnsiTheme="majorHAnsi" w:cstheme="majorHAnsi"/>
          <w:szCs w:val="22"/>
        </w:rPr>
        <w:t>, en el modelo de gestión contiene lo siguiente:</w:t>
      </w:r>
    </w:p>
    <w:p w14:paraId="5EE81758" w14:textId="77777777" w:rsidR="00600918" w:rsidRPr="00B24A80" w:rsidRDefault="00600918" w:rsidP="00600918">
      <w:pPr>
        <w:jc w:val="center"/>
        <w:rPr>
          <w:rFonts w:asciiTheme="majorHAnsi" w:eastAsia="Calibri" w:hAnsiTheme="majorHAnsi" w:cstheme="majorHAnsi"/>
          <w:sz w:val="22"/>
          <w:szCs w:val="22"/>
        </w:rPr>
      </w:pPr>
    </w:p>
    <w:p w14:paraId="08D470BA" w14:textId="48D7BEB6"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2. FORMAS DE GESTIÓN</w:t>
      </w:r>
    </w:p>
    <w:p w14:paraId="58F5364F" w14:textId="15AA4E43"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2.1. LOS MECANISMOS DE ARTICULACIÓN</w:t>
      </w:r>
    </w:p>
    <w:p w14:paraId="52314B04" w14:textId="603ED577"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3. ESTRATEGIAS TRANSVERSALES</w:t>
      </w:r>
    </w:p>
    <w:p w14:paraId="4817BBE2" w14:textId="2132C190"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3.1. IGUALDAD DE DERECHOS</w:t>
      </w:r>
    </w:p>
    <w:p w14:paraId="518FA85D" w14:textId="552C065A"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3.1.1.</w:t>
      </w:r>
      <w:r w:rsidRPr="00B24A80">
        <w:rPr>
          <w:rFonts w:asciiTheme="majorHAnsi" w:eastAsia="Calibri" w:hAnsiTheme="majorHAnsi" w:cstheme="majorHAnsi"/>
          <w:sz w:val="22"/>
          <w:szCs w:val="22"/>
        </w:rPr>
        <w:tab/>
        <w:t>Definición del enfoque</w:t>
      </w:r>
    </w:p>
    <w:p w14:paraId="0F3ADAC5" w14:textId="635461F9"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 PROTECCIÓN FRENTE A RIESGOS Y DESASTRES</w:t>
      </w:r>
    </w:p>
    <w:p w14:paraId="5FE76904" w14:textId="2D097993"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3.2.1.</w:t>
      </w:r>
      <w:r w:rsidRPr="00B24A80">
        <w:rPr>
          <w:rFonts w:asciiTheme="majorHAnsi" w:eastAsia="Calibri" w:hAnsiTheme="majorHAnsi" w:cstheme="majorHAnsi"/>
          <w:sz w:val="22"/>
          <w:szCs w:val="22"/>
        </w:rPr>
        <w:tab/>
        <w:t>Gestión de riesgos y emergencias</w:t>
      </w:r>
    </w:p>
    <w:p w14:paraId="4BB4BA29" w14:textId="7238E95B"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3.2.1.1. Estrategias para la gestión de riesgos</w:t>
      </w:r>
    </w:p>
    <w:p w14:paraId="6F568C76" w14:textId="472B87B0"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3.2.1.2. Estrategias para la gestión de emergencias</w:t>
      </w:r>
    </w:p>
    <w:p w14:paraId="66577557" w14:textId="5915D523"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3.2.1.3. Tecnología y Herramientas</w:t>
      </w:r>
    </w:p>
    <w:p w14:paraId="443D68CA" w14:textId="7885F589"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3.2.1.4. Enfoques Adicionales</w:t>
      </w:r>
    </w:p>
    <w:p w14:paraId="02E9F397" w14:textId="4DF71C96"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w:t>
      </w:r>
      <w:r w:rsidRPr="00B24A80">
        <w:rPr>
          <w:rFonts w:asciiTheme="majorHAnsi" w:eastAsia="Calibri" w:hAnsiTheme="majorHAnsi" w:cstheme="majorHAnsi"/>
          <w:sz w:val="22"/>
          <w:szCs w:val="22"/>
        </w:rPr>
        <w:tab/>
        <w:t>La reducción de riesgos de desastres (RRD)</w:t>
      </w:r>
    </w:p>
    <w:p w14:paraId="6432920A" w14:textId="0651C4BC"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3.2.2.1. Evaluación y Análisis de Riesgos</w:t>
      </w:r>
    </w:p>
    <w:p w14:paraId="03196D98" w14:textId="10069A33"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3.2.2.2. Planificación y políticas</w:t>
      </w:r>
    </w:p>
    <w:p w14:paraId="018E102D" w14:textId="68007930"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3.2.2.3. Educación y Concienciación</w:t>
      </w:r>
    </w:p>
    <w:p w14:paraId="420F4B6B" w14:textId="6EAAE8DD"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3.2.2.4. Medidas Estructurales</w:t>
      </w:r>
    </w:p>
    <w:p w14:paraId="5FCD13C4" w14:textId="61781D71"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3.2.2.5. Medidas No Estructurales</w:t>
      </w:r>
    </w:p>
    <w:p w14:paraId="597C335F" w14:textId="140DE2C4"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3.2.2.6. Preparación y Respuesta</w:t>
      </w:r>
    </w:p>
    <w:p w14:paraId="0CCBB64E" w14:textId="22B3C4AB"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3.2.2.7. Participación Comunitaria</w:t>
      </w:r>
    </w:p>
    <w:p w14:paraId="7E1D8C4C" w14:textId="6AB0C610"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3.2.2.8. Colaboración y Coordinación</w:t>
      </w:r>
    </w:p>
    <w:p w14:paraId="4E9C4821" w14:textId="232A7511"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3.3. GESTIÓN DEL CAMBIO CLIMÁTICO Y LA VARIABILIDAD </w:t>
      </w:r>
      <w:r w:rsidR="00B66EEB" w:rsidRPr="00B24A80">
        <w:rPr>
          <w:rFonts w:asciiTheme="majorHAnsi" w:eastAsia="Calibri" w:hAnsiTheme="majorHAnsi" w:cstheme="majorHAnsi"/>
          <w:sz w:val="22"/>
          <w:szCs w:val="22"/>
        </w:rPr>
        <w:t xml:space="preserve">CLIMÁTICA </w:t>
      </w:r>
      <w:r w:rsidR="00B66EEB" w:rsidRPr="00B24A80">
        <w:rPr>
          <w:rFonts w:asciiTheme="majorHAnsi" w:eastAsia="Calibri" w:hAnsiTheme="majorHAnsi" w:cstheme="majorHAnsi"/>
          <w:sz w:val="22"/>
          <w:szCs w:val="22"/>
        </w:rPr>
        <w:tab/>
      </w:r>
      <w:r w:rsidR="00B66EEB" w:rsidRPr="00B24A80">
        <w:rPr>
          <w:rFonts w:asciiTheme="majorHAnsi" w:eastAsia="Calibri" w:hAnsiTheme="majorHAnsi" w:cstheme="majorHAnsi"/>
          <w:sz w:val="22"/>
          <w:szCs w:val="22"/>
        </w:rPr>
        <w:tab/>
        <w:t xml:space="preserve">        </w:t>
      </w:r>
      <w:r w:rsidRPr="00B24A80">
        <w:rPr>
          <w:rFonts w:asciiTheme="majorHAnsi" w:eastAsia="Calibri" w:hAnsiTheme="majorHAnsi" w:cstheme="majorHAnsi"/>
          <w:sz w:val="22"/>
          <w:szCs w:val="22"/>
        </w:rPr>
        <w:t>PARA EL GAD MUNICIPAL DEL CANTÓN LA JOYA DE LOS SACHAS</w:t>
      </w:r>
    </w:p>
    <w:p w14:paraId="5C87F207" w14:textId="79A9028B"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3.3.1.</w:t>
      </w:r>
      <w:r w:rsidRPr="00B24A80">
        <w:rPr>
          <w:rFonts w:asciiTheme="majorHAnsi" w:eastAsia="Calibri" w:hAnsiTheme="majorHAnsi" w:cstheme="majorHAnsi"/>
          <w:sz w:val="22"/>
          <w:szCs w:val="22"/>
        </w:rPr>
        <w:tab/>
        <w:t>Marco normativo</w:t>
      </w:r>
    </w:p>
    <w:p w14:paraId="665CE0CA" w14:textId="0693AFB3"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3.3.2.</w:t>
      </w:r>
      <w:r w:rsidRPr="00B24A80">
        <w:rPr>
          <w:rFonts w:asciiTheme="majorHAnsi" w:eastAsia="Calibri" w:hAnsiTheme="majorHAnsi" w:cstheme="majorHAnsi"/>
          <w:sz w:val="22"/>
          <w:szCs w:val="22"/>
        </w:rPr>
        <w:tab/>
        <w:t>Definiciones del enfoque</w:t>
      </w:r>
    </w:p>
    <w:p w14:paraId="142894F4" w14:textId="22F79D30"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3.3.3.</w:t>
      </w:r>
      <w:r w:rsidRPr="00B24A80">
        <w:rPr>
          <w:rFonts w:asciiTheme="majorHAnsi" w:eastAsia="Calibri" w:hAnsiTheme="majorHAnsi" w:cstheme="majorHAnsi"/>
          <w:sz w:val="22"/>
          <w:szCs w:val="22"/>
        </w:rPr>
        <w:tab/>
        <w:t>Estrategias para la gestión del cambio climático</w:t>
      </w:r>
    </w:p>
    <w:p w14:paraId="73E719DF" w14:textId="6923AFDD"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3.4. ESTRATEGIA DE PARTICIPACIÓN</w:t>
      </w:r>
    </w:p>
    <w:p w14:paraId="03D879ED" w14:textId="2E594FE4" w:rsidR="00600918" w:rsidRPr="00B24A80" w:rsidRDefault="00600918"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3.5. FORTALECIMIENTO DE LAS UNIDADES BÁSICAS DE PARTICIPACIÓN </w:t>
      </w:r>
      <w:r w:rsidR="00B66EEB" w:rsidRPr="00B24A80">
        <w:rPr>
          <w:rFonts w:asciiTheme="majorHAnsi" w:eastAsia="Calibri" w:hAnsiTheme="majorHAnsi" w:cstheme="majorHAnsi"/>
          <w:sz w:val="22"/>
          <w:szCs w:val="22"/>
        </w:rPr>
        <w:tab/>
      </w:r>
      <w:r w:rsidR="00B66EEB" w:rsidRPr="00B24A80">
        <w:rPr>
          <w:rFonts w:asciiTheme="majorHAnsi" w:eastAsia="Calibri" w:hAnsiTheme="majorHAnsi" w:cstheme="majorHAnsi"/>
          <w:sz w:val="22"/>
          <w:szCs w:val="22"/>
        </w:rPr>
        <w:tab/>
        <w:t xml:space="preserve">        </w:t>
      </w:r>
      <w:r w:rsidRPr="00B24A80">
        <w:rPr>
          <w:rFonts w:asciiTheme="majorHAnsi" w:eastAsia="Calibri" w:hAnsiTheme="majorHAnsi" w:cstheme="majorHAnsi"/>
          <w:sz w:val="22"/>
          <w:szCs w:val="22"/>
        </w:rPr>
        <w:t>CIUDADANA UBPC</w:t>
      </w:r>
    </w:p>
    <w:p w14:paraId="22CA1A98" w14:textId="7751BCED"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600918" w:rsidRPr="00B24A80">
        <w:rPr>
          <w:rFonts w:asciiTheme="majorHAnsi" w:eastAsia="Calibri" w:hAnsiTheme="majorHAnsi" w:cstheme="majorHAnsi"/>
          <w:sz w:val="22"/>
          <w:szCs w:val="22"/>
        </w:rPr>
        <w:t>3.6.</w:t>
      </w:r>
      <w:r w:rsidRPr="00B24A80">
        <w:rPr>
          <w:rFonts w:asciiTheme="majorHAnsi" w:eastAsia="Calibri" w:hAnsiTheme="majorHAnsi" w:cstheme="majorHAnsi"/>
          <w:sz w:val="22"/>
          <w:szCs w:val="22"/>
        </w:rPr>
        <w:t xml:space="preserve"> </w:t>
      </w:r>
      <w:r w:rsidR="00600918" w:rsidRPr="00B24A80">
        <w:rPr>
          <w:rFonts w:asciiTheme="majorHAnsi" w:eastAsia="Calibri" w:hAnsiTheme="majorHAnsi" w:cstheme="majorHAnsi"/>
          <w:sz w:val="22"/>
          <w:szCs w:val="22"/>
        </w:rPr>
        <w:t>ESCUELA DE LIDERAZGO</w:t>
      </w:r>
    </w:p>
    <w:p w14:paraId="3E6AF41D" w14:textId="5064BA84"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600918" w:rsidRPr="00B24A80">
        <w:rPr>
          <w:rFonts w:asciiTheme="majorHAnsi" w:eastAsia="Calibri" w:hAnsiTheme="majorHAnsi" w:cstheme="majorHAnsi"/>
          <w:sz w:val="22"/>
          <w:szCs w:val="22"/>
        </w:rPr>
        <w:t>3.7.</w:t>
      </w:r>
      <w:r w:rsidRPr="00B24A80">
        <w:rPr>
          <w:rFonts w:asciiTheme="majorHAnsi" w:eastAsia="Calibri" w:hAnsiTheme="majorHAnsi" w:cstheme="majorHAnsi"/>
          <w:sz w:val="22"/>
          <w:szCs w:val="22"/>
        </w:rPr>
        <w:t xml:space="preserve"> </w:t>
      </w:r>
      <w:r w:rsidR="00600918" w:rsidRPr="00B24A80">
        <w:rPr>
          <w:rFonts w:asciiTheme="majorHAnsi" w:eastAsia="Calibri" w:hAnsiTheme="majorHAnsi" w:cstheme="majorHAnsi"/>
          <w:sz w:val="22"/>
          <w:szCs w:val="22"/>
        </w:rPr>
        <w:t>LÍDERES PARA LA PARTICIPACIÓN CIUDADANA COMPETENTES</w:t>
      </w:r>
    </w:p>
    <w:p w14:paraId="2823CD89" w14:textId="56776AC4"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3.8. </w:t>
      </w:r>
      <w:r w:rsidR="00600918" w:rsidRPr="00B24A80">
        <w:rPr>
          <w:rFonts w:asciiTheme="majorHAnsi" w:eastAsia="Calibri" w:hAnsiTheme="majorHAnsi" w:cstheme="majorHAnsi"/>
          <w:sz w:val="22"/>
          <w:szCs w:val="22"/>
        </w:rPr>
        <w:t>ESTRATEGIA SEGUIMIENTO Y EVALUACIÓN</w:t>
      </w:r>
    </w:p>
    <w:p w14:paraId="0090C1D0" w14:textId="4D94CB2C"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3.8.1. </w:t>
      </w:r>
      <w:r w:rsidR="00600918" w:rsidRPr="00B24A80">
        <w:rPr>
          <w:rFonts w:asciiTheme="majorHAnsi" w:eastAsia="Calibri" w:hAnsiTheme="majorHAnsi" w:cstheme="majorHAnsi"/>
          <w:sz w:val="22"/>
          <w:szCs w:val="22"/>
        </w:rPr>
        <w:t>Seguimiento al cumplimiento de metas</w:t>
      </w:r>
    </w:p>
    <w:p w14:paraId="4C67EF26" w14:textId="382600EC"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600918" w:rsidRPr="00B24A80">
        <w:rPr>
          <w:rFonts w:asciiTheme="majorHAnsi" w:eastAsia="Calibri" w:hAnsiTheme="majorHAnsi" w:cstheme="majorHAnsi"/>
          <w:sz w:val="22"/>
          <w:szCs w:val="22"/>
        </w:rPr>
        <w:t>3.8.1.1.</w:t>
      </w:r>
      <w:r w:rsidRPr="00B24A80">
        <w:rPr>
          <w:rFonts w:asciiTheme="majorHAnsi" w:eastAsia="Calibri" w:hAnsiTheme="majorHAnsi" w:cstheme="majorHAnsi"/>
          <w:sz w:val="22"/>
          <w:szCs w:val="22"/>
        </w:rPr>
        <w:t xml:space="preserve"> </w:t>
      </w:r>
      <w:r w:rsidR="00600918" w:rsidRPr="00B24A80">
        <w:rPr>
          <w:rFonts w:asciiTheme="majorHAnsi" w:eastAsia="Calibri" w:hAnsiTheme="majorHAnsi" w:cstheme="majorHAnsi"/>
          <w:sz w:val="22"/>
          <w:szCs w:val="22"/>
        </w:rPr>
        <w:t>Anualizar las metas</w:t>
      </w:r>
    </w:p>
    <w:p w14:paraId="4A4E738D" w14:textId="69D4199E"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3.8.2. </w:t>
      </w:r>
      <w:r w:rsidR="00600918" w:rsidRPr="00B24A80">
        <w:rPr>
          <w:rFonts w:asciiTheme="majorHAnsi" w:eastAsia="Calibri" w:hAnsiTheme="majorHAnsi" w:cstheme="majorHAnsi"/>
          <w:sz w:val="22"/>
          <w:szCs w:val="22"/>
        </w:rPr>
        <w:t xml:space="preserve">Seguimiento a la implementación de los programas y/o </w:t>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600918" w:rsidRPr="00B24A80">
        <w:rPr>
          <w:rFonts w:asciiTheme="majorHAnsi" w:eastAsia="Calibri" w:hAnsiTheme="majorHAnsi" w:cstheme="majorHAnsi"/>
          <w:sz w:val="22"/>
          <w:szCs w:val="22"/>
        </w:rPr>
        <w:t>proyectos</w:t>
      </w:r>
    </w:p>
    <w:p w14:paraId="3EB3B8FF" w14:textId="25569AF1" w:rsidR="00600918" w:rsidRPr="00B24A80" w:rsidRDefault="00B66EEB" w:rsidP="00600918">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t xml:space="preserve">3.8.3. </w:t>
      </w:r>
      <w:r w:rsidR="00600918" w:rsidRPr="00B24A80">
        <w:rPr>
          <w:rFonts w:asciiTheme="majorHAnsi" w:eastAsia="Calibri" w:hAnsiTheme="majorHAnsi" w:cstheme="majorHAnsi"/>
          <w:sz w:val="22"/>
          <w:szCs w:val="22"/>
        </w:rPr>
        <w:t>Conclusiones y recomendaciones:</w:t>
      </w:r>
    </w:p>
    <w:p w14:paraId="7DF405A5" w14:textId="0CCB3BB5" w:rsidR="00D37331" w:rsidRPr="00B24A80" w:rsidRDefault="00B66EEB" w:rsidP="00D37331">
      <w:pPr>
        <w:rPr>
          <w:rFonts w:asciiTheme="majorHAnsi" w:eastAsia="Calibri" w:hAnsiTheme="majorHAnsi" w:cstheme="majorHAnsi"/>
          <w:sz w:val="22"/>
          <w:szCs w:val="22"/>
        </w:rPr>
      </w:pP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Pr="00B24A80">
        <w:rPr>
          <w:rFonts w:asciiTheme="majorHAnsi" w:eastAsia="Calibri" w:hAnsiTheme="majorHAnsi" w:cstheme="majorHAnsi"/>
          <w:sz w:val="22"/>
          <w:szCs w:val="22"/>
        </w:rPr>
        <w:tab/>
      </w:r>
      <w:r w:rsidR="00600918" w:rsidRPr="00B24A80">
        <w:rPr>
          <w:rFonts w:asciiTheme="majorHAnsi" w:eastAsia="Calibri" w:hAnsiTheme="majorHAnsi" w:cstheme="majorHAnsi"/>
          <w:sz w:val="22"/>
          <w:szCs w:val="22"/>
        </w:rPr>
        <w:t>3.8.4.</w:t>
      </w:r>
      <w:r w:rsidRPr="00B24A80">
        <w:rPr>
          <w:rFonts w:asciiTheme="majorHAnsi" w:eastAsia="Calibri" w:hAnsiTheme="majorHAnsi" w:cstheme="majorHAnsi"/>
          <w:sz w:val="22"/>
          <w:szCs w:val="22"/>
        </w:rPr>
        <w:t xml:space="preserve"> </w:t>
      </w:r>
      <w:r w:rsidR="00D37331" w:rsidRPr="00B24A80">
        <w:rPr>
          <w:rFonts w:asciiTheme="majorHAnsi" w:eastAsia="Calibri" w:hAnsiTheme="majorHAnsi" w:cstheme="majorHAnsi"/>
          <w:sz w:val="22"/>
          <w:szCs w:val="22"/>
        </w:rPr>
        <w:t>Plan de acción.</w:t>
      </w:r>
    </w:p>
    <w:p w14:paraId="6BBE38C9" w14:textId="77777777" w:rsidR="00D37331" w:rsidRPr="00B24A80" w:rsidRDefault="00D37331" w:rsidP="00D37331">
      <w:pPr>
        <w:rPr>
          <w:rFonts w:asciiTheme="majorHAnsi" w:eastAsia="Calibri" w:hAnsiTheme="majorHAnsi" w:cstheme="majorHAnsi"/>
          <w:sz w:val="22"/>
          <w:szCs w:val="22"/>
        </w:rPr>
      </w:pPr>
    </w:p>
    <w:p w14:paraId="45BA7AF6" w14:textId="2D26FAC0" w:rsidR="00C536EB" w:rsidRDefault="00C536EB" w:rsidP="00C536EB">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Forman parte integral del presente PD</w:t>
      </w:r>
      <w:r w:rsidR="00EE2F61" w:rsidRPr="00B24A80">
        <w:rPr>
          <w:rFonts w:asciiTheme="majorHAnsi" w:eastAsia="Calibri" w:hAnsiTheme="majorHAnsi" w:cstheme="majorHAnsi"/>
          <w:color w:val="000000"/>
          <w:sz w:val="22"/>
          <w:szCs w:val="22"/>
        </w:rPr>
        <w:t>y</w:t>
      </w:r>
      <w:r w:rsidRPr="00B24A80">
        <w:rPr>
          <w:rFonts w:asciiTheme="majorHAnsi" w:eastAsia="Calibri" w:hAnsiTheme="majorHAnsi" w:cstheme="majorHAnsi"/>
          <w:color w:val="000000"/>
          <w:sz w:val="22"/>
          <w:szCs w:val="22"/>
        </w:rPr>
        <w:t>OT, la documentación explicita</w:t>
      </w:r>
      <w:r w:rsidR="001B6592" w:rsidRPr="00B24A80">
        <w:rPr>
          <w:rFonts w:asciiTheme="majorHAnsi" w:eastAsia="Calibri" w:hAnsiTheme="majorHAnsi" w:cstheme="majorHAnsi"/>
          <w:color w:val="000000"/>
          <w:sz w:val="22"/>
          <w:szCs w:val="22"/>
        </w:rPr>
        <w:t xml:space="preserve"> que contiene el desarrollo de los contenidos antes señalados.</w:t>
      </w:r>
    </w:p>
    <w:p w14:paraId="2CFCAF69" w14:textId="74E220D0" w:rsidR="00CE1A4A" w:rsidRDefault="00CE1A4A">
      <w:pPr>
        <w:spacing w:after="0"/>
        <w:jc w:val="left"/>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br w:type="page"/>
      </w:r>
    </w:p>
    <w:p w14:paraId="7309BB9B" w14:textId="77777777" w:rsidR="007A3F97" w:rsidRPr="00B24A80" w:rsidRDefault="007A3F97" w:rsidP="007A3F97">
      <w:pPr>
        <w:jc w:val="center"/>
        <w:rPr>
          <w:b/>
          <w:sz w:val="22"/>
          <w:szCs w:val="22"/>
        </w:rPr>
      </w:pPr>
      <w:r w:rsidRPr="00B24A80">
        <w:rPr>
          <w:b/>
          <w:sz w:val="22"/>
          <w:szCs w:val="22"/>
        </w:rPr>
        <w:lastRenderedPageBreak/>
        <w:t>CAPÍTULO I</w:t>
      </w:r>
    </w:p>
    <w:p w14:paraId="576F1FEB" w14:textId="77777777" w:rsidR="007A3F97" w:rsidRPr="00B24A80" w:rsidRDefault="007A3F97" w:rsidP="007A3F97">
      <w:pPr>
        <w:jc w:val="center"/>
        <w:rPr>
          <w:b/>
          <w:sz w:val="22"/>
          <w:szCs w:val="22"/>
        </w:rPr>
      </w:pPr>
    </w:p>
    <w:p w14:paraId="2BEABB70" w14:textId="7CD40421" w:rsidR="007A3F97" w:rsidRPr="00B24A80" w:rsidRDefault="007A3F97" w:rsidP="007A3F97">
      <w:pPr>
        <w:jc w:val="center"/>
        <w:rPr>
          <w:b/>
          <w:sz w:val="22"/>
          <w:szCs w:val="22"/>
        </w:rPr>
      </w:pPr>
      <w:r w:rsidRPr="00B24A80">
        <w:rPr>
          <w:b/>
          <w:sz w:val="22"/>
          <w:szCs w:val="22"/>
        </w:rPr>
        <w:t>LINEAMIENTOS, PRINCIPIOS, POLÍTICAS Y PRIORIDADES</w:t>
      </w:r>
      <w:r w:rsidR="00644016" w:rsidRPr="00B24A80">
        <w:rPr>
          <w:b/>
          <w:sz w:val="22"/>
          <w:szCs w:val="22"/>
        </w:rPr>
        <w:t xml:space="preserve"> </w:t>
      </w:r>
      <w:r w:rsidRPr="00B24A80">
        <w:rPr>
          <w:b/>
          <w:sz w:val="22"/>
          <w:szCs w:val="22"/>
        </w:rPr>
        <w:t>ESTRATÉGICAS DE DESARROLLO</w:t>
      </w:r>
    </w:p>
    <w:p w14:paraId="694DBA48" w14:textId="77777777" w:rsidR="00D81D37" w:rsidRPr="00B24A80" w:rsidRDefault="00D81D37" w:rsidP="00D81D37">
      <w:pPr>
        <w:pStyle w:val="Prrafodelista"/>
        <w:widowControl/>
        <w:autoSpaceDE w:val="0"/>
        <w:autoSpaceDN w:val="0"/>
        <w:adjustRightInd w:val="0"/>
        <w:rPr>
          <w:rFonts w:ascii="Arial" w:eastAsiaTheme="minorHAnsi" w:hAnsi="Arial" w:cs="Arial"/>
          <w:color w:val="000000"/>
          <w:szCs w:val="22"/>
          <w:lang w:val="es-EC"/>
        </w:rPr>
      </w:pPr>
    </w:p>
    <w:p w14:paraId="51FEE5D9" w14:textId="38284A4E" w:rsidR="00491CDB" w:rsidRPr="00B24A80" w:rsidRDefault="007A3F97"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La alineación asegura que los objetivos estratégicos y metas del PD</w:t>
      </w:r>
      <w:r w:rsidR="00EE2F61" w:rsidRPr="00B24A80">
        <w:rPr>
          <w:rFonts w:asciiTheme="majorHAnsi" w:eastAsia="Calibri" w:hAnsiTheme="majorHAnsi" w:cstheme="majorHAnsi"/>
          <w:szCs w:val="22"/>
        </w:rPr>
        <w:t>y</w:t>
      </w:r>
      <w:r w:rsidRPr="00B24A80">
        <w:rPr>
          <w:rFonts w:asciiTheme="majorHAnsi" w:eastAsia="Calibri" w:hAnsiTheme="majorHAnsi" w:cstheme="majorHAnsi"/>
          <w:szCs w:val="22"/>
        </w:rPr>
        <w:t xml:space="preserve">OT Cantonal vigente estén en concordancia con los ejes, objetivos y metas del nuevo </w:t>
      </w:r>
      <w:r w:rsidR="00D37331" w:rsidRPr="00B24A80">
        <w:rPr>
          <w:rFonts w:asciiTheme="majorHAnsi" w:eastAsia="Calibri" w:hAnsiTheme="majorHAnsi" w:cstheme="majorHAnsi"/>
          <w:szCs w:val="22"/>
          <w:lang w:val="es-EC"/>
        </w:rPr>
        <w:t>Plan Nacional de Desarrollo</w:t>
      </w:r>
      <w:r w:rsidRPr="00B24A80">
        <w:rPr>
          <w:rFonts w:asciiTheme="majorHAnsi" w:eastAsia="Calibri" w:hAnsiTheme="majorHAnsi" w:cstheme="majorHAnsi"/>
          <w:szCs w:val="22"/>
          <w:lang w:val="es-EC"/>
        </w:rPr>
        <w:t xml:space="preserve"> para el Nuevo Ecuador 2024-2025</w:t>
      </w:r>
      <w:r w:rsidRPr="00B24A80">
        <w:rPr>
          <w:rFonts w:asciiTheme="majorHAnsi" w:eastAsia="Calibri" w:hAnsiTheme="majorHAnsi" w:cstheme="majorHAnsi"/>
          <w:szCs w:val="22"/>
        </w:rPr>
        <w:t>. Esto se</w:t>
      </w:r>
      <w:r w:rsidR="0080067A">
        <w:rPr>
          <w:rFonts w:asciiTheme="majorHAnsi" w:eastAsia="Calibri" w:hAnsiTheme="majorHAnsi" w:cstheme="majorHAnsi"/>
          <w:szCs w:val="22"/>
        </w:rPr>
        <w:t xml:space="preserve"> </w:t>
      </w:r>
      <w:r w:rsidRPr="00B24A80">
        <w:rPr>
          <w:rFonts w:asciiTheme="majorHAnsi" w:eastAsia="Calibri" w:hAnsiTheme="majorHAnsi" w:cstheme="majorHAnsi"/>
          <w:szCs w:val="22"/>
        </w:rPr>
        <w:t>enmarca</w:t>
      </w:r>
      <w:r w:rsidR="0080067A">
        <w:rPr>
          <w:rFonts w:asciiTheme="majorHAnsi" w:eastAsia="Calibri" w:hAnsiTheme="majorHAnsi" w:cstheme="majorHAnsi"/>
          <w:szCs w:val="22"/>
        </w:rPr>
        <w:t xml:space="preserve"> </w:t>
      </w:r>
      <w:r w:rsidRPr="00B24A80">
        <w:rPr>
          <w:rFonts w:asciiTheme="majorHAnsi" w:eastAsia="Calibri" w:hAnsiTheme="majorHAnsi" w:cstheme="majorHAnsi"/>
          <w:szCs w:val="22"/>
        </w:rPr>
        <w:t xml:space="preserve">dentro del Sistema Nacional Descentralizado y de Planificación Participativa, con el fin de garantizar una adecuada coordinación en la planificación, gestión y ejecución entre los distintos niveles de gobierno en el territorio del </w:t>
      </w:r>
      <w:r w:rsidR="00EE2F61" w:rsidRPr="00B24A80">
        <w:rPr>
          <w:rFonts w:asciiTheme="majorHAnsi" w:eastAsia="Calibri" w:hAnsiTheme="majorHAnsi" w:cstheme="majorHAnsi"/>
          <w:szCs w:val="22"/>
        </w:rPr>
        <w:t>C</w:t>
      </w:r>
      <w:r w:rsidRPr="00B24A80">
        <w:rPr>
          <w:rFonts w:asciiTheme="majorHAnsi" w:eastAsia="Calibri" w:hAnsiTheme="majorHAnsi" w:cstheme="majorHAnsi"/>
          <w:szCs w:val="22"/>
        </w:rPr>
        <w:t xml:space="preserve">antón. </w:t>
      </w:r>
    </w:p>
    <w:p w14:paraId="4EC98F5C" w14:textId="77777777" w:rsidR="00491CDB" w:rsidRPr="00B24A80" w:rsidRDefault="00491CDB" w:rsidP="00491CDB">
      <w:pPr>
        <w:pStyle w:val="Prrafodelista"/>
        <w:widowControl/>
        <w:tabs>
          <w:tab w:val="left" w:pos="851"/>
        </w:tabs>
        <w:spacing w:after="240" w:line="276" w:lineRule="auto"/>
        <w:ind w:left="0" w:right="-100"/>
        <w:rPr>
          <w:rFonts w:asciiTheme="majorHAnsi" w:eastAsia="Calibri" w:hAnsiTheme="majorHAnsi" w:cstheme="majorHAnsi"/>
          <w:szCs w:val="22"/>
        </w:rPr>
      </w:pPr>
    </w:p>
    <w:p w14:paraId="360F7F57" w14:textId="6A6EAB50" w:rsidR="009C6E01" w:rsidRPr="00B24A80" w:rsidRDefault="007A3F97"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Principios rectores del PD</w:t>
      </w:r>
      <w:r w:rsidR="00EE2F61" w:rsidRPr="00B24A80">
        <w:rPr>
          <w:rFonts w:asciiTheme="majorHAnsi" w:eastAsia="Calibri" w:hAnsiTheme="majorHAnsi" w:cstheme="majorHAnsi"/>
          <w:b/>
          <w:color w:val="000000"/>
          <w:szCs w:val="22"/>
        </w:rPr>
        <w:t>y</w:t>
      </w:r>
      <w:r w:rsidRPr="00B24A80">
        <w:rPr>
          <w:rFonts w:asciiTheme="majorHAnsi" w:eastAsia="Calibri" w:hAnsiTheme="majorHAnsi" w:cstheme="majorHAnsi"/>
          <w:b/>
          <w:color w:val="000000"/>
          <w:szCs w:val="22"/>
        </w:rPr>
        <w:t>OT.-</w:t>
      </w:r>
      <w:r w:rsidR="007F426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La ejecución </w:t>
      </w:r>
      <w:r w:rsidR="00EE2F61" w:rsidRPr="00B24A80">
        <w:rPr>
          <w:rFonts w:asciiTheme="majorHAnsi" w:eastAsia="Calibri" w:hAnsiTheme="majorHAnsi" w:cstheme="majorHAnsi"/>
          <w:color w:val="000000"/>
          <w:szCs w:val="22"/>
        </w:rPr>
        <w:t xml:space="preserve">del </w:t>
      </w:r>
      <w:r w:rsidRPr="00B24A80">
        <w:rPr>
          <w:rFonts w:asciiTheme="majorHAnsi" w:eastAsia="Calibri" w:hAnsiTheme="majorHAnsi" w:cstheme="majorHAnsi"/>
          <w:color w:val="000000"/>
          <w:szCs w:val="22"/>
        </w:rPr>
        <w:t>PD</w:t>
      </w:r>
      <w:r w:rsidR="00EE2F61" w:rsidRPr="00B24A80">
        <w:rPr>
          <w:rFonts w:asciiTheme="majorHAnsi" w:eastAsia="Calibri" w:hAnsiTheme="majorHAnsi" w:cstheme="majorHAnsi"/>
          <w:color w:val="000000"/>
          <w:szCs w:val="22"/>
        </w:rPr>
        <w:t>y</w:t>
      </w:r>
      <w:r w:rsidRPr="00B24A80">
        <w:rPr>
          <w:rFonts w:asciiTheme="majorHAnsi" w:eastAsia="Calibri" w:hAnsiTheme="majorHAnsi" w:cstheme="majorHAnsi"/>
          <w:color w:val="000000"/>
          <w:szCs w:val="22"/>
        </w:rPr>
        <w:t>OT-PUGS-SACHA conforme al artículo 5 de la Ley Orgánica de Uso y Gestión del Suelo, se orienta y se fundamenta en los siguientes principios rectores:</w:t>
      </w:r>
    </w:p>
    <w:p w14:paraId="7D8A61D0" w14:textId="0058A2A7" w:rsidR="007A3F97" w:rsidRPr="00B24A80" w:rsidRDefault="007A3F97" w:rsidP="007A3F97">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La sustentabilidad.</w:t>
      </w:r>
      <w:r w:rsidRPr="00B24A80">
        <w:rPr>
          <w:rFonts w:asciiTheme="majorHAnsi" w:eastAsia="Calibri" w:hAnsiTheme="majorHAnsi" w:cstheme="majorHAnsi"/>
          <w:color w:val="000000"/>
          <w:sz w:val="22"/>
          <w:szCs w:val="22"/>
        </w:rPr>
        <w:t xml:space="preserve"> La gestión de las competencias de ordenamiento territorial, gestión y uso del suelo promoverá el desarrollo sustentable, el manejo eficiente y racional de los recursos, y la calidad de vida de las futuras generaciones, enfocado en cohesión territorial con sustentabilidad ambiental y gestión de riesgos.</w:t>
      </w:r>
    </w:p>
    <w:p w14:paraId="636490C5" w14:textId="00CC9845" w:rsidR="007A3F97" w:rsidRPr="00B24A80" w:rsidRDefault="007A3F97" w:rsidP="007A3F97">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La equidad territorial y justicia social.</w:t>
      </w:r>
      <w:r w:rsidRPr="00B24A80">
        <w:rPr>
          <w:rFonts w:asciiTheme="majorHAnsi" w:eastAsia="Calibri" w:hAnsiTheme="majorHAnsi" w:cstheme="majorHAnsi"/>
          <w:color w:val="000000"/>
          <w:sz w:val="22"/>
          <w:szCs w:val="22"/>
        </w:rPr>
        <w:t xml:space="preserve"> Todas las decisiones que se adopten en relación con el territorio propenderán a garantizar a la población que se asiente en él, igualdad de oportunidades para aprovecharlas opciones de desarrollo sostenible y el acceso a servicios básicos que garanticen el Buen Vivir.</w:t>
      </w:r>
    </w:p>
    <w:p w14:paraId="43FA3AC0" w14:textId="6968935B" w:rsidR="007A3F97" w:rsidRPr="00B24A80" w:rsidRDefault="007A3F97" w:rsidP="007A3F97">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La autonomía. </w:t>
      </w:r>
      <w:r w:rsidR="00A8155B" w:rsidRPr="00B24A80">
        <w:rPr>
          <w:rFonts w:asciiTheme="majorHAnsi" w:eastAsia="Calibri" w:hAnsiTheme="majorHAnsi" w:cstheme="majorHAnsi"/>
          <w:color w:val="000000"/>
          <w:sz w:val="22"/>
          <w:szCs w:val="22"/>
        </w:rPr>
        <w:t>El Gobierno</w:t>
      </w:r>
      <w:r w:rsidRPr="00B24A80">
        <w:rPr>
          <w:rFonts w:asciiTheme="majorHAnsi" w:eastAsia="Calibri" w:hAnsiTheme="majorHAnsi" w:cstheme="majorHAnsi"/>
          <w:color w:val="000000"/>
          <w:sz w:val="22"/>
          <w:szCs w:val="22"/>
        </w:rPr>
        <w:t xml:space="preserve"> Autónomo Descen</w:t>
      </w:r>
      <w:r w:rsidR="00A8155B" w:rsidRPr="00B24A80">
        <w:rPr>
          <w:rFonts w:asciiTheme="majorHAnsi" w:eastAsia="Calibri" w:hAnsiTheme="majorHAnsi" w:cstheme="majorHAnsi"/>
          <w:color w:val="000000"/>
          <w:sz w:val="22"/>
          <w:szCs w:val="22"/>
        </w:rPr>
        <w:t xml:space="preserve">tralizado Municipal del </w:t>
      </w:r>
      <w:r w:rsidR="00CD4F27" w:rsidRPr="00B24A80">
        <w:rPr>
          <w:rFonts w:asciiTheme="majorHAnsi" w:eastAsia="Calibri" w:hAnsiTheme="majorHAnsi" w:cstheme="majorHAnsi"/>
          <w:color w:val="000000"/>
          <w:sz w:val="22"/>
          <w:szCs w:val="22"/>
        </w:rPr>
        <w:t>cantón La Joya de los Sachas</w:t>
      </w:r>
      <w:r w:rsidRPr="00B24A80">
        <w:rPr>
          <w:rFonts w:asciiTheme="majorHAnsi" w:eastAsia="Calibri" w:hAnsiTheme="majorHAnsi" w:cstheme="majorHAnsi"/>
          <w:color w:val="000000"/>
          <w:sz w:val="22"/>
          <w:szCs w:val="22"/>
        </w:rPr>
        <w:t xml:space="preserve"> ejercerá sus competencias en materia de ordenamiento territorial, uso y gestión del suelo dentro del marco constitucional y legal vigente, así como de las regulaciones nacionales que se establezcan para tal fin. Esto se realizará sin perjuicio de las responsabilidades administrativas, civiles y penales, que serán determinadas por los organismos competentes según lo establecido en la Constitución</w:t>
      </w:r>
      <w:r w:rsidR="003E5921" w:rsidRPr="00B24A80">
        <w:rPr>
          <w:rFonts w:asciiTheme="majorHAnsi" w:eastAsia="Calibri" w:hAnsiTheme="majorHAnsi" w:cstheme="majorHAnsi"/>
          <w:color w:val="000000"/>
          <w:sz w:val="22"/>
          <w:szCs w:val="22"/>
        </w:rPr>
        <w:t>.</w:t>
      </w:r>
    </w:p>
    <w:p w14:paraId="3FA1E6E0" w14:textId="3E18BD05" w:rsidR="009C6E01" w:rsidRPr="00B24A80" w:rsidRDefault="003E5921" w:rsidP="00F50358">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La coherencia</w:t>
      </w:r>
      <w:r w:rsidRPr="00B24A80">
        <w:rPr>
          <w:rFonts w:asciiTheme="majorHAnsi" w:eastAsia="Calibri" w:hAnsiTheme="majorHAnsi" w:cstheme="majorHAnsi"/>
          <w:color w:val="000000"/>
          <w:sz w:val="22"/>
          <w:szCs w:val="22"/>
        </w:rPr>
        <w:t>. Las decisiones respecto del desarrollo y el ordenamiento territorial, uso y gestión del suelo deben guardar coherencia y armonía con las realidades sociales, culturales, económicas y ambientales propias de cada territorio.</w:t>
      </w:r>
    </w:p>
    <w:p w14:paraId="13FBD41C" w14:textId="4768D300" w:rsidR="000F6A9A" w:rsidRPr="00B24A80" w:rsidRDefault="000F6A9A" w:rsidP="000F6A9A">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bCs/>
          <w:color w:val="000000"/>
          <w:sz w:val="22"/>
          <w:szCs w:val="22"/>
        </w:rPr>
        <w:t>La concordancia</w:t>
      </w:r>
      <w:r w:rsidRPr="00B24A80">
        <w:rPr>
          <w:rFonts w:asciiTheme="majorHAnsi" w:eastAsia="Calibri" w:hAnsiTheme="majorHAnsi" w:cstheme="majorHAnsi"/>
          <w:color w:val="000000"/>
          <w:sz w:val="22"/>
          <w:szCs w:val="22"/>
        </w:rPr>
        <w:t>. Las decisiones territoriales de los niveles autónomos descentralizados de gobierno y los regímenes especiales deben ser articuladas entre ellas y guardarán correspondencia con las disposiciones del nivel nacional en el marco de los principios de solidaridad, subsidiariedad, equidad, integración y participación ciudadana, ejercicio concurrente de la gestión, y colaboración y complementariedad establecidos en los artículos 260 y 238 de la Constitución de la República.</w:t>
      </w:r>
    </w:p>
    <w:p w14:paraId="56182CC6" w14:textId="41433382" w:rsidR="003E5921" w:rsidRPr="00B24A80" w:rsidRDefault="003E5921" w:rsidP="00F50358">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El derecho a la ciudad</w:t>
      </w:r>
      <w:r w:rsidRPr="00B24A80">
        <w:rPr>
          <w:rFonts w:asciiTheme="majorHAnsi" w:eastAsia="Calibri" w:hAnsiTheme="majorHAnsi" w:cstheme="majorHAnsi"/>
          <w:color w:val="000000"/>
          <w:sz w:val="22"/>
          <w:szCs w:val="22"/>
        </w:rPr>
        <w:t>. Comprende los siguientes elementos:</w:t>
      </w:r>
    </w:p>
    <w:p w14:paraId="42BD6C8B" w14:textId="77777777" w:rsidR="003E5921" w:rsidRPr="00B24A80" w:rsidRDefault="003E5921" w:rsidP="00CA24CF">
      <w:pPr>
        <w:pStyle w:val="Prrafodelista"/>
        <w:widowControl/>
        <w:numPr>
          <w:ilvl w:val="0"/>
          <w:numId w:val="108"/>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 xml:space="preserve">El ejercicio pleno de la ciudadanía que asegure la dignidad y el bienestar colectivo de los habitantes de la ciudad en condiciones de igualdad y justicia. </w:t>
      </w:r>
    </w:p>
    <w:p w14:paraId="76FBF604" w14:textId="77777777" w:rsidR="003E5921" w:rsidRPr="00B24A80" w:rsidRDefault="003E5921" w:rsidP="00CA24CF">
      <w:pPr>
        <w:pStyle w:val="Prrafodelista"/>
        <w:widowControl/>
        <w:numPr>
          <w:ilvl w:val="0"/>
          <w:numId w:val="108"/>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gestión democrática de las ciudades mediante formas directas y representativas de participación democrática en la planificación y gestión de las ciudades, así como mecanismos de información pública, transparencia y rendición de cuentas. </w:t>
      </w:r>
    </w:p>
    <w:p w14:paraId="51E0E0D2" w14:textId="77777777" w:rsidR="003E5921" w:rsidRPr="00B24A80" w:rsidRDefault="003E5921" w:rsidP="00CA24CF">
      <w:pPr>
        <w:pStyle w:val="Prrafodelista"/>
        <w:widowControl/>
        <w:numPr>
          <w:ilvl w:val="0"/>
          <w:numId w:val="108"/>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La función social y ambiental de la propiedad que anteponga el interés general al particular y garantice el derecho a un hábitat seguro y saludable. Este principio contempla la prohibición de toda forma de confiscación; bajo los principios de sustentabilidad, justicia social, respeto a las diferentes culturas urbanas y equilibrio entre lo urbano y lo rural, así como en la gestión democrática de ésta, y en el ejercicio pleno de la ciudadanía</w:t>
      </w:r>
    </w:p>
    <w:p w14:paraId="247B8EEB" w14:textId="3B496CA1" w:rsidR="003E5921" w:rsidRPr="00B24A80" w:rsidRDefault="003E5921" w:rsidP="003E5921">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La función pública del urbanismo</w:t>
      </w:r>
      <w:r w:rsidRPr="00B24A80">
        <w:rPr>
          <w:rFonts w:asciiTheme="majorHAnsi" w:eastAsia="Calibri" w:hAnsiTheme="majorHAnsi" w:cstheme="majorHAnsi"/>
          <w:color w:val="000000"/>
          <w:sz w:val="22"/>
          <w:szCs w:val="22"/>
        </w:rPr>
        <w:t>. Todas las decisiones relativas a la planificación y gestión del suelo se adoptarán sobre la base del interés público, ponderando las necesidades de la población y garantizando el derecho de los ciudadanos a una vivienda adecuada y digna, a un hábitat seguro y saludable, a un espacio público de calidad y al disfrute del patrimonio natural y cultural.</w:t>
      </w:r>
    </w:p>
    <w:p w14:paraId="0AD92F4A" w14:textId="250B9ED8" w:rsidR="003E5921" w:rsidRPr="00B24A80" w:rsidRDefault="003E5921" w:rsidP="003E5921">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La distribución equitativa de las cargas y los beneficios.</w:t>
      </w:r>
      <w:r w:rsidRPr="00B24A80">
        <w:rPr>
          <w:rFonts w:asciiTheme="majorHAnsi" w:eastAsia="Calibri" w:hAnsiTheme="majorHAnsi" w:cstheme="majorHAnsi"/>
          <w:color w:val="000000"/>
          <w:sz w:val="22"/>
          <w:szCs w:val="22"/>
        </w:rPr>
        <w:t xml:space="preserve"> Se garantizará el justo reparto de las cargas y beneficios entre los diferentes actores implicados en los procesos urbanísticos, conforme con lo establecido en el planeamiento y en las normas que lo desarrollen.</w:t>
      </w:r>
    </w:p>
    <w:p w14:paraId="07458353" w14:textId="0BCFA170" w:rsidR="003E5921" w:rsidRPr="00B24A80" w:rsidRDefault="005F4757"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Sistemas</w:t>
      </w:r>
      <w:r w:rsidR="00A126F5" w:rsidRPr="00B24A80">
        <w:rPr>
          <w:rFonts w:asciiTheme="majorHAnsi" w:eastAsia="Calibri" w:hAnsiTheme="majorHAnsi" w:cstheme="majorHAnsi"/>
          <w:b/>
          <w:color w:val="000000"/>
          <w:szCs w:val="22"/>
        </w:rPr>
        <w:t xml:space="preserve"> </w:t>
      </w:r>
      <w:r w:rsidR="003E5921" w:rsidRPr="00B24A80">
        <w:rPr>
          <w:rFonts w:asciiTheme="majorHAnsi" w:eastAsia="Calibri" w:hAnsiTheme="majorHAnsi" w:cstheme="majorHAnsi"/>
          <w:b/>
          <w:color w:val="000000"/>
          <w:szCs w:val="22"/>
        </w:rPr>
        <w:t>del Plan de Desarrollo y Ordenamiento Territorial. -</w:t>
      </w:r>
      <w:r w:rsidR="003E5921" w:rsidRPr="00B24A80">
        <w:rPr>
          <w:rFonts w:asciiTheme="majorHAnsi" w:eastAsia="Calibri" w:hAnsiTheme="majorHAnsi" w:cstheme="majorHAnsi"/>
          <w:color w:val="000000"/>
          <w:szCs w:val="22"/>
        </w:rPr>
        <w:t xml:space="preserve"> El Plan de Desarrollo y Ordenamiento Territorial, se enmarca en los siguientes </w:t>
      </w:r>
      <w:r w:rsidR="00A126F5" w:rsidRPr="00B24A80">
        <w:rPr>
          <w:rFonts w:asciiTheme="majorHAnsi" w:eastAsia="Calibri" w:hAnsiTheme="majorHAnsi" w:cstheme="majorHAnsi"/>
          <w:color w:val="000000"/>
          <w:szCs w:val="22"/>
        </w:rPr>
        <w:t>sistemas</w:t>
      </w:r>
      <w:r w:rsidR="00C536EB" w:rsidRPr="00B24A80">
        <w:rPr>
          <w:rFonts w:asciiTheme="majorHAnsi" w:eastAsia="Calibri" w:hAnsiTheme="majorHAnsi" w:cstheme="majorHAnsi"/>
          <w:color w:val="000000"/>
          <w:szCs w:val="22"/>
        </w:rPr>
        <w:t xml:space="preserve"> y sus respectivas </w:t>
      </w:r>
      <w:r w:rsidR="00D37331" w:rsidRPr="00B24A80">
        <w:rPr>
          <w:rFonts w:asciiTheme="majorHAnsi" w:eastAsia="Calibri" w:hAnsiTheme="majorHAnsi" w:cstheme="majorHAnsi"/>
          <w:color w:val="000000"/>
          <w:szCs w:val="22"/>
        </w:rPr>
        <w:t>políticas</w:t>
      </w:r>
      <w:r w:rsidR="003E5921" w:rsidRPr="00B24A80">
        <w:rPr>
          <w:rFonts w:asciiTheme="majorHAnsi" w:eastAsia="Calibri" w:hAnsiTheme="majorHAnsi" w:cstheme="majorHAnsi"/>
          <w:color w:val="000000"/>
          <w:szCs w:val="22"/>
        </w:rPr>
        <w:t>:</w:t>
      </w:r>
    </w:p>
    <w:p w14:paraId="10CBC3C6" w14:textId="77777777" w:rsidR="003E5921" w:rsidRPr="00B24A80" w:rsidRDefault="003E5921" w:rsidP="003E5921">
      <w:pPr>
        <w:rPr>
          <w:rFonts w:asciiTheme="majorHAnsi" w:eastAsia="Calibri" w:hAnsiTheme="majorHAnsi" w:cstheme="majorHAnsi"/>
          <w:sz w:val="22"/>
          <w:szCs w:val="22"/>
        </w:rPr>
      </w:pPr>
      <w:r w:rsidRPr="00B24A80">
        <w:rPr>
          <w:sz w:val="22"/>
          <w:szCs w:val="22"/>
        </w:rPr>
        <w:t xml:space="preserve">1) </w:t>
      </w:r>
      <w:r w:rsidRPr="00B24A80">
        <w:rPr>
          <w:rFonts w:asciiTheme="majorHAnsi" w:eastAsia="Calibri" w:hAnsiTheme="majorHAnsi" w:cstheme="majorHAnsi"/>
          <w:sz w:val="22"/>
          <w:szCs w:val="22"/>
        </w:rPr>
        <w:t>Biofísico Ambiental.</w:t>
      </w:r>
    </w:p>
    <w:p w14:paraId="5F4068F1" w14:textId="1C090103" w:rsidR="003E5921" w:rsidRPr="00B24A80" w:rsidRDefault="003E5921" w:rsidP="003E5921">
      <w:pPr>
        <w:rPr>
          <w:rFonts w:asciiTheme="majorHAnsi" w:eastAsia="Calibri" w:hAnsiTheme="majorHAnsi" w:cstheme="majorHAnsi"/>
          <w:sz w:val="22"/>
          <w:szCs w:val="22"/>
        </w:rPr>
      </w:pPr>
      <w:r w:rsidRPr="00B24A80">
        <w:rPr>
          <w:rFonts w:asciiTheme="majorHAnsi" w:eastAsia="Calibri" w:hAnsiTheme="majorHAnsi" w:cstheme="majorHAnsi"/>
          <w:sz w:val="22"/>
          <w:szCs w:val="22"/>
        </w:rPr>
        <w:t>2) Asentamientos Humanos</w:t>
      </w:r>
      <w:r w:rsidR="004A51F8" w:rsidRPr="00B24A80">
        <w:rPr>
          <w:rFonts w:asciiTheme="majorHAnsi" w:eastAsia="Calibri" w:hAnsiTheme="majorHAnsi" w:cstheme="majorHAnsi"/>
          <w:sz w:val="22"/>
          <w:szCs w:val="22"/>
        </w:rPr>
        <w:t>.</w:t>
      </w:r>
      <w:r w:rsidRPr="00B24A80">
        <w:rPr>
          <w:rFonts w:asciiTheme="majorHAnsi" w:eastAsia="Calibri" w:hAnsiTheme="majorHAnsi" w:cstheme="majorHAnsi"/>
          <w:sz w:val="22"/>
          <w:szCs w:val="22"/>
        </w:rPr>
        <w:t xml:space="preserve"> </w:t>
      </w:r>
    </w:p>
    <w:p w14:paraId="4506E18F" w14:textId="39CF960C" w:rsidR="003E5921" w:rsidRPr="00B24A80" w:rsidRDefault="00E35A90" w:rsidP="003E5921">
      <w:pPr>
        <w:rPr>
          <w:rFonts w:asciiTheme="majorHAnsi" w:eastAsia="Calibri" w:hAnsiTheme="majorHAnsi" w:cstheme="majorHAnsi"/>
          <w:sz w:val="22"/>
          <w:szCs w:val="22"/>
        </w:rPr>
      </w:pPr>
      <w:r w:rsidRPr="00B24A80">
        <w:rPr>
          <w:rFonts w:asciiTheme="majorHAnsi" w:eastAsia="Calibri" w:hAnsiTheme="majorHAnsi" w:cstheme="majorHAnsi"/>
          <w:sz w:val="22"/>
          <w:szCs w:val="22"/>
        </w:rPr>
        <w:t>3</w:t>
      </w:r>
      <w:r w:rsidR="003E5921" w:rsidRPr="00B24A80">
        <w:rPr>
          <w:rFonts w:asciiTheme="majorHAnsi" w:eastAsia="Calibri" w:hAnsiTheme="majorHAnsi" w:cstheme="majorHAnsi"/>
          <w:sz w:val="22"/>
          <w:szCs w:val="22"/>
        </w:rPr>
        <w:t>) Económico Productivo.</w:t>
      </w:r>
    </w:p>
    <w:p w14:paraId="3407F607" w14:textId="07D2EC5A" w:rsidR="003E5921" w:rsidRPr="00B24A80" w:rsidRDefault="00E35A90" w:rsidP="003E5921">
      <w:pPr>
        <w:rPr>
          <w:rFonts w:asciiTheme="majorHAnsi" w:eastAsia="Calibri" w:hAnsiTheme="majorHAnsi" w:cstheme="majorHAnsi"/>
          <w:sz w:val="22"/>
          <w:szCs w:val="22"/>
        </w:rPr>
      </w:pPr>
      <w:r w:rsidRPr="00B24A80">
        <w:rPr>
          <w:rFonts w:asciiTheme="majorHAnsi" w:eastAsia="Calibri" w:hAnsiTheme="majorHAnsi" w:cstheme="majorHAnsi"/>
          <w:sz w:val="22"/>
          <w:szCs w:val="22"/>
        </w:rPr>
        <w:t>4</w:t>
      </w:r>
      <w:r w:rsidR="003E5921" w:rsidRPr="00B24A80">
        <w:rPr>
          <w:rFonts w:asciiTheme="majorHAnsi" w:eastAsia="Calibri" w:hAnsiTheme="majorHAnsi" w:cstheme="majorHAnsi"/>
          <w:sz w:val="22"/>
          <w:szCs w:val="22"/>
        </w:rPr>
        <w:t>) Socio Cultural.</w:t>
      </w:r>
    </w:p>
    <w:p w14:paraId="516D1F2B" w14:textId="05243922" w:rsidR="00491CDB" w:rsidRPr="00B24A80" w:rsidRDefault="00E35A90" w:rsidP="00491CDB">
      <w:pPr>
        <w:rPr>
          <w:rFonts w:asciiTheme="majorHAnsi" w:eastAsia="Calibri" w:hAnsiTheme="majorHAnsi" w:cstheme="majorHAnsi"/>
          <w:sz w:val="22"/>
          <w:szCs w:val="22"/>
        </w:rPr>
      </w:pPr>
      <w:r w:rsidRPr="00B24A80">
        <w:rPr>
          <w:rFonts w:asciiTheme="majorHAnsi" w:eastAsia="Calibri" w:hAnsiTheme="majorHAnsi" w:cstheme="majorHAnsi"/>
          <w:sz w:val="22"/>
          <w:szCs w:val="22"/>
        </w:rPr>
        <w:t>5</w:t>
      </w:r>
      <w:r w:rsidR="00491CDB" w:rsidRPr="00B24A80">
        <w:rPr>
          <w:rFonts w:asciiTheme="majorHAnsi" w:eastAsia="Calibri" w:hAnsiTheme="majorHAnsi" w:cstheme="majorHAnsi"/>
          <w:sz w:val="22"/>
          <w:szCs w:val="22"/>
        </w:rPr>
        <w:t>) Político Institucional.</w:t>
      </w:r>
    </w:p>
    <w:p w14:paraId="59B0859F" w14:textId="77777777" w:rsidR="00491CDB" w:rsidRPr="00B24A80" w:rsidRDefault="00491CDB" w:rsidP="00491CDB">
      <w:pPr>
        <w:rPr>
          <w:rFonts w:asciiTheme="majorHAnsi" w:eastAsia="Calibri" w:hAnsiTheme="majorHAnsi" w:cstheme="majorHAnsi"/>
          <w:sz w:val="22"/>
          <w:szCs w:val="22"/>
        </w:rPr>
      </w:pPr>
    </w:p>
    <w:p w14:paraId="7E8D6C28" w14:textId="11144378" w:rsidR="00E35A90" w:rsidRPr="00B24A80" w:rsidRDefault="003E5921"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 Políticas del </w:t>
      </w:r>
      <w:r w:rsidR="005F4757" w:rsidRPr="00B24A80">
        <w:rPr>
          <w:rFonts w:asciiTheme="majorHAnsi" w:eastAsia="Calibri" w:hAnsiTheme="majorHAnsi" w:cstheme="majorHAnsi"/>
          <w:b/>
          <w:szCs w:val="22"/>
        </w:rPr>
        <w:t>S</w:t>
      </w:r>
      <w:r w:rsidR="00C536EB" w:rsidRPr="00B24A80">
        <w:rPr>
          <w:rFonts w:asciiTheme="majorHAnsi" w:eastAsia="Calibri" w:hAnsiTheme="majorHAnsi" w:cstheme="majorHAnsi"/>
          <w:b/>
          <w:szCs w:val="22"/>
        </w:rPr>
        <w:t>istema</w:t>
      </w:r>
      <w:r w:rsidRPr="00B24A80">
        <w:rPr>
          <w:rFonts w:asciiTheme="majorHAnsi" w:eastAsia="Calibri" w:hAnsiTheme="majorHAnsi" w:cstheme="majorHAnsi"/>
          <w:b/>
          <w:szCs w:val="22"/>
        </w:rPr>
        <w:t xml:space="preserve"> </w:t>
      </w:r>
      <w:r w:rsidR="002C4F15" w:rsidRPr="00B24A80">
        <w:rPr>
          <w:rFonts w:asciiTheme="majorHAnsi" w:eastAsia="Calibri" w:hAnsiTheme="majorHAnsi" w:cstheme="majorHAnsi"/>
          <w:b/>
          <w:szCs w:val="22"/>
        </w:rPr>
        <w:t>Físico - Ambiental</w:t>
      </w:r>
      <w:r w:rsidRPr="00B24A80">
        <w:rPr>
          <w:rFonts w:asciiTheme="majorHAnsi" w:eastAsia="Calibri" w:hAnsiTheme="majorHAnsi" w:cstheme="majorHAnsi"/>
          <w:b/>
          <w:szCs w:val="22"/>
        </w:rPr>
        <w:t xml:space="preserve">. - </w:t>
      </w:r>
    </w:p>
    <w:p w14:paraId="47D46712" w14:textId="621B6C13" w:rsidR="00F50358"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szCs w:val="22"/>
        </w:rPr>
        <w:t>Promover y fortalecer la gestión integral de desechos sólidos, incluyendo la participación ciudadana.</w:t>
      </w:r>
    </w:p>
    <w:p w14:paraId="587A7A89" w14:textId="7F801D52" w:rsidR="004A51F8"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Diseñar y complementar, en coordinación con la autoridad Ambiental y Productiva, normativas de gestión integral de los envases de agroquímicos.</w:t>
      </w:r>
    </w:p>
    <w:p w14:paraId="70F1D516" w14:textId="3A4EBB46" w:rsidR="009D7444"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Promover campañas de sensibilización sobre el manejo y cuidado de la Fauna Urbana.</w:t>
      </w:r>
    </w:p>
    <w:p w14:paraId="79734897" w14:textId="6A59C386" w:rsidR="009D7444"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Monitoreo y control de componentes ambientales (agua, suelo y aire).</w:t>
      </w:r>
    </w:p>
    <w:p w14:paraId="10AECEBD" w14:textId="00C1A23D" w:rsidR="009D7444"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Identificar, en coordinación con la Autoridad Ambiental, zonas de pasivos ambientales consolidando una base para su mitigación.</w:t>
      </w:r>
    </w:p>
    <w:p w14:paraId="1F79BEC0" w14:textId="14BF6C79" w:rsidR="009D7444"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Conservar y proteger el patrimonio natural, biodiversidad y recursos hídricos mediante la declaratoria de figuras de conservación.</w:t>
      </w:r>
    </w:p>
    <w:p w14:paraId="0EB1127C" w14:textId="063F696E" w:rsidR="009D7444"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Integrar estrategias de prevención, mitigación y adaptación al cambio climático para la prevención de desastres en la planificación del territorio.</w:t>
      </w:r>
    </w:p>
    <w:p w14:paraId="14C9EFCE" w14:textId="52F9686E" w:rsidR="00491CDB" w:rsidRPr="00B24A80" w:rsidRDefault="009D7444" w:rsidP="00CA24CF">
      <w:pPr>
        <w:pStyle w:val="Prrafodelista"/>
        <w:widowControl/>
        <w:numPr>
          <w:ilvl w:val="0"/>
          <w:numId w:val="109"/>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Implementar acciones para concientización y la reducción de riesgos de desastres a través de estrategias integrales de atención prevención y mitigación frente al cambio climático, y; garantizar una protección efectiva de las comunidades vulnerables</w:t>
      </w:r>
      <w:r w:rsidR="00491CDB" w:rsidRPr="00B24A80">
        <w:rPr>
          <w:rFonts w:asciiTheme="majorHAnsi" w:eastAsia="Calibri" w:hAnsiTheme="majorHAnsi" w:cstheme="majorHAnsi"/>
          <w:color w:val="000000"/>
          <w:szCs w:val="22"/>
        </w:rPr>
        <w:t>.</w:t>
      </w:r>
    </w:p>
    <w:p w14:paraId="45282777" w14:textId="77777777" w:rsidR="00491CDB" w:rsidRPr="00B24A80" w:rsidRDefault="00491CDB" w:rsidP="00491CDB">
      <w:pPr>
        <w:pStyle w:val="Prrafodelista"/>
        <w:widowControl/>
        <w:spacing w:after="240" w:line="276" w:lineRule="auto"/>
        <w:ind w:right="-100"/>
        <w:rPr>
          <w:rFonts w:asciiTheme="majorHAnsi" w:eastAsia="Calibri" w:hAnsiTheme="majorHAnsi" w:cstheme="majorHAnsi"/>
          <w:color w:val="000000"/>
          <w:szCs w:val="22"/>
        </w:rPr>
      </w:pPr>
    </w:p>
    <w:p w14:paraId="7C55C2B9" w14:textId="7ADB34D6" w:rsidR="004A51F8" w:rsidRPr="00B24A80" w:rsidRDefault="005F4757"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Políticas del S</w:t>
      </w:r>
      <w:r w:rsidR="00C536EB" w:rsidRPr="00B24A80">
        <w:rPr>
          <w:rFonts w:asciiTheme="majorHAnsi" w:eastAsia="Calibri" w:hAnsiTheme="majorHAnsi" w:cstheme="majorHAnsi"/>
          <w:b/>
          <w:szCs w:val="22"/>
        </w:rPr>
        <w:t>istema</w:t>
      </w:r>
      <w:r w:rsidR="004A51F8" w:rsidRPr="00B24A80">
        <w:rPr>
          <w:rFonts w:asciiTheme="majorHAnsi" w:eastAsia="Calibri" w:hAnsiTheme="majorHAnsi" w:cstheme="majorHAnsi"/>
          <w:b/>
          <w:szCs w:val="22"/>
        </w:rPr>
        <w:t xml:space="preserve"> Asentamientos Humanos. – </w:t>
      </w:r>
    </w:p>
    <w:p w14:paraId="110F74B6" w14:textId="2882E008" w:rsidR="004A51F8" w:rsidRPr="00B24A80" w:rsidRDefault="009D7444" w:rsidP="00CA24CF">
      <w:pPr>
        <w:pStyle w:val="Prrafodelista"/>
        <w:widowControl/>
        <w:numPr>
          <w:ilvl w:val="0"/>
          <w:numId w:val="110"/>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Fortalecer, ampliar y controlar el servicio público de agua potable y alcantarillado, garantizando el acceso sostenible al agua para consumo humano con estándares de calidad</w:t>
      </w:r>
      <w:r w:rsidR="004A51F8" w:rsidRPr="00B24A80">
        <w:rPr>
          <w:rFonts w:asciiTheme="majorHAnsi" w:eastAsia="Calibri" w:hAnsiTheme="majorHAnsi" w:cstheme="majorHAnsi"/>
          <w:szCs w:val="22"/>
        </w:rPr>
        <w:t>.</w:t>
      </w:r>
    </w:p>
    <w:p w14:paraId="56172AC4" w14:textId="6F3E19D6" w:rsidR="004A51F8" w:rsidRPr="00B24A80" w:rsidRDefault="009D7444" w:rsidP="00CA24CF">
      <w:pPr>
        <w:pStyle w:val="Prrafodelista"/>
        <w:widowControl/>
        <w:numPr>
          <w:ilvl w:val="0"/>
          <w:numId w:val="110"/>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Generar modelos urbanísticos que promuevan asentamientos humanos incluyentes, ecológicos, respetando zonas de riesgo y zonas protegidas.</w:t>
      </w:r>
    </w:p>
    <w:p w14:paraId="3C722213" w14:textId="26D14681" w:rsidR="009D7444" w:rsidRPr="00B24A80" w:rsidRDefault="009D7444" w:rsidP="00CA24CF">
      <w:pPr>
        <w:pStyle w:val="Prrafodelista"/>
        <w:widowControl/>
        <w:numPr>
          <w:ilvl w:val="0"/>
          <w:numId w:val="110"/>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Controlar el uso y ocupación del suelo garantizando el acceso equitativo y transversalizando la gestión de riesgos.</w:t>
      </w:r>
    </w:p>
    <w:p w14:paraId="458A7CEF" w14:textId="67166A9F" w:rsidR="009D7444" w:rsidRPr="00B24A80" w:rsidRDefault="009D7444" w:rsidP="00CA24CF">
      <w:pPr>
        <w:pStyle w:val="Prrafodelista"/>
        <w:widowControl/>
        <w:numPr>
          <w:ilvl w:val="0"/>
          <w:numId w:val="110"/>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Planificación de Emergencia y Gestión de Crisis.</w:t>
      </w:r>
    </w:p>
    <w:p w14:paraId="64F348CC" w14:textId="3E2AE32F" w:rsidR="005F4757" w:rsidRPr="00B24A80" w:rsidRDefault="009D7444" w:rsidP="00CA24CF">
      <w:pPr>
        <w:pStyle w:val="Prrafodelista"/>
        <w:widowControl/>
        <w:numPr>
          <w:ilvl w:val="0"/>
          <w:numId w:val="110"/>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Conservar y proteger el patrimonio natural, biodiversidad y recursos hídricos mediante la declarat</w:t>
      </w:r>
      <w:r w:rsidR="00491CDB" w:rsidRPr="00B24A80">
        <w:rPr>
          <w:rFonts w:asciiTheme="majorHAnsi" w:eastAsia="Calibri" w:hAnsiTheme="majorHAnsi" w:cstheme="majorHAnsi"/>
          <w:szCs w:val="22"/>
        </w:rPr>
        <w:t>oria de figuras de conservación.</w:t>
      </w:r>
    </w:p>
    <w:p w14:paraId="5814294D" w14:textId="77777777" w:rsidR="005F4757" w:rsidRPr="00B24A80" w:rsidRDefault="005F4757" w:rsidP="009C65E0">
      <w:pPr>
        <w:pStyle w:val="Prrafodelista"/>
        <w:widowControl/>
        <w:spacing w:after="240" w:line="276" w:lineRule="auto"/>
        <w:ind w:right="-100"/>
        <w:rPr>
          <w:rFonts w:asciiTheme="majorHAnsi" w:eastAsia="Calibri" w:hAnsiTheme="majorHAnsi" w:cstheme="majorHAnsi"/>
          <w:szCs w:val="22"/>
        </w:rPr>
      </w:pPr>
    </w:p>
    <w:p w14:paraId="1A13F494" w14:textId="0A5C505D" w:rsidR="009C65E0" w:rsidRPr="00B24A80" w:rsidRDefault="00491CDB"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 Políticas del S</w:t>
      </w:r>
      <w:r w:rsidR="00C536EB" w:rsidRPr="00B24A80">
        <w:rPr>
          <w:rFonts w:asciiTheme="majorHAnsi" w:eastAsia="Calibri" w:hAnsiTheme="majorHAnsi" w:cstheme="majorHAnsi"/>
          <w:b/>
          <w:szCs w:val="22"/>
        </w:rPr>
        <w:t>istema</w:t>
      </w:r>
      <w:r w:rsidR="009C65E0" w:rsidRPr="00B24A80">
        <w:rPr>
          <w:rFonts w:asciiTheme="majorHAnsi" w:eastAsia="Calibri" w:hAnsiTheme="majorHAnsi" w:cstheme="majorHAnsi"/>
          <w:b/>
          <w:szCs w:val="22"/>
        </w:rPr>
        <w:t xml:space="preserve"> Económico Productivo. – </w:t>
      </w:r>
    </w:p>
    <w:p w14:paraId="6893B0BA" w14:textId="551F9B6E" w:rsidR="00E35A90" w:rsidRPr="00B24A80" w:rsidRDefault="009C65E0" w:rsidP="00CA24CF">
      <w:pPr>
        <w:pStyle w:val="Prrafodelista"/>
        <w:widowControl/>
        <w:numPr>
          <w:ilvl w:val="0"/>
          <w:numId w:val="111"/>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 xml:space="preserve">Fomentar el turismo sostenible que potencialice el patrimonio natural y cultural del </w:t>
      </w:r>
      <w:r w:rsidR="007F610C" w:rsidRPr="00B24A80">
        <w:rPr>
          <w:rFonts w:asciiTheme="majorHAnsi" w:eastAsia="Calibri" w:hAnsiTheme="majorHAnsi" w:cstheme="majorHAnsi"/>
          <w:szCs w:val="22"/>
        </w:rPr>
        <w:t>C</w:t>
      </w:r>
      <w:r w:rsidRPr="00B24A80">
        <w:rPr>
          <w:rFonts w:asciiTheme="majorHAnsi" w:eastAsia="Calibri" w:hAnsiTheme="majorHAnsi" w:cstheme="majorHAnsi"/>
          <w:szCs w:val="22"/>
        </w:rPr>
        <w:t>antón.</w:t>
      </w:r>
    </w:p>
    <w:p w14:paraId="29A9292F" w14:textId="0DC7A0C2" w:rsidR="009C65E0" w:rsidRPr="00B24A80" w:rsidRDefault="009C65E0" w:rsidP="00CA24CF">
      <w:pPr>
        <w:pStyle w:val="Prrafodelista"/>
        <w:widowControl/>
        <w:numPr>
          <w:ilvl w:val="0"/>
          <w:numId w:val="111"/>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Mejorar la productividad ganadera a través del desarrollo de nuevas tecnologías y capacidades de innovación certificadas.</w:t>
      </w:r>
    </w:p>
    <w:p w14:paraId="3E6EE5F4" w14:textId="3D3F6A27" w:rsidR="009C65E0" w:rsidRPr="00B24A80" w:rsidRDefault="009C65E0" w:rsidP="00CA24CF">
      <w:pPr>
        <w:pStyle w:val="Prrafodelista"/>
        <w:widowControl/>
        <w:numPr>
          <w:ilvl w:val="0"/>
          <w:numId w:val="111"/>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Mejorar las condiciones de comercialización de los productos locales con corresponsabilidad de sus beneficiarios.</w:t>
      </w:r>
    </w:p>
    <w:p w14:paraId="44D83B20" w14:textId="26F77F64" w:rsidR="009C65E0" w:rsidRPr="00B24A80" w:rsidRDefault="009C65E0" w:rsidP="00CA24CF">
      <w:pPr>
        <w:pStyle w:val="Prrafodelista"/>
        <w:widowControl/>
        <w:numPr>
          <w:ilvl w:val="0"/>
          <w:numId w:val="111"/>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Impulsar la productividad y competitividad para el crecimiento económico sustentable de manera redistributiva y solidaria.</w:t>
      </w:r>
    </w:p>
    <w:p w14:paraId="7FDEE3F5" w14:textId="50FB97BD" w:rsidR="009C65E0" w:rsidRPr="00B24A80" w:rsidRDefault="009C65E0" w:rsidP="00CA24CF">
      <w:pPr>
        <w:pStyle w:val="Prrafodelista"/>
        <w:widowControl/>
        <w:numPr>
          <w:ilvl w:val="0"/>
          <w:numId w:val="111"/>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Desarrollar capacidades productivas y del entorno que garantice la seguridad y soberanía alimentaria.</w:t>
      </w:r>
    </w:p>
    <w:p w14:paraId="18DAE05E" w14:textId="77777777" w:rsidR="009C65E0" w:rsidRPr="00B24A80" w:rsidRDefault="009C65E0" w:rsidP="009C65E0">
      <w:pPr>
        <w:pStyle w:val="Prrafodelista"/>
        <w:widowControl/>
        <w:spacing w:after="240" w:line="276" w:lineRule="auto"/>
        <w:ind w:right="-100"/>
        <w:rPr>
          <w:rFonts w:asciiTheme="majorHAnsi" w:eastAsia="Calibri" w:hAnsiTheme="majorHAnsi" w:cstheme="majorHAnsi"/>
          <w:b/>
          <w:color w:val="000000"/>
          <w:szCs w:val="22"/>
        </w:rPr>
      </w:pPr>
    </w:p>
    <w:p w14:paraId="346CDC0E" w14:textId="32AF06B0" w:rsidR="009C65E0" w:rsidRPr="00B24A80" w:rsidRDefault="00491CDB"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Políticas del S</w:t>
      </w:r>
      <w:r w:rsidR="00C536EB" w:rsidRPr="00B24A80">
        <w:rPr>
          <w:rFonts w:asciiTheme="majorHAnsi" w:eastAsia="Calibri" w:hAnsiTheme="majorHAnsi" w:cstheme="majorHAnsi"/>
          <w:b/>
          <w:szCs w:val="22"/>
        </w:rPr>
        <w:t>istema</w:t>
      </w:r>
      <w:r w:rsidR="009C65E0" w:rsidRPr="00B24A80">
        <w:rPr>
          <w:rFonts w:asciiTheme="majorHAnsi" w:eastAsia="Calibri" w:hAnsiTheme="majorHAnsi" w:cstheme="majorHAnsi"/>
          <w:b/>
          <w:szCs w:val="22"/>
        </w:rPr>
        <w:t xml:space="preserve"> Socio Cultural.– </w:t>
      </w:r>
    </w:p>
    <w:p w14:paraId="4A414807" w14:textId="531AB891" w:rsidR="006A79F6" w:rsidRPr="00B24A80" w:rsidRDefault="006A79F6" w:rsidP="00CA24CF">
      <w:pPr>
        <w:pStyle w:val="Prrafodelista"/>
        <w:widowControl/>
        <w:numPr>
          <w:ilvl w:val="0"/>
          <w:numId w:val="112"/>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Fomentar la práctica deportiva y la recreación ciudadana.</w:t>
      </w:r>
    </w:p>
    <w:p w14:paraId="43277AFA" w14:textId="1B6D1410" w:rsidR="006A79F6" w:rsidRPr="00B24A80" w:rsidRDefault="006A79F6" w:rsidP="00CA24CF">
      <w:pPr>
        <w:pStyle w:val="Prrafodelista"/>
        <w:widowControl/>
        <w:numPr>
          <w:ilvl w:val="0"/>
          <w:numId w:val="112"/>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Disminuir el consumo de sustancias que generen adicciones en la población.</w:t>
      </w:r>
    </w:p>
    <w:p w14:paraId="42A76D53" w14:textId="33A96018" w:rsidR="006A79F6" w:rsidRPr="00B24A80" w:rsidRDefault="006A79F6" w:rsidP="00CA24CF">
      <w:pPr>
        <w:pStyle w:val="Prrafodelista"/>
        <w:widowControl/>
        <w:numPr>
          <w:ilvl w:val="0"/>
          <w:numId w:val="112"/>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Disminuir el embarazo adolescente mediante sensibilización y prevención inclusiva.</w:t>
      </w:r>
    </w:p>
    <w:p w14:paraId="03D838DD" w14:textId="71533F95" w:rsidR="006A79F6" w:rsidRPr="00B24A80" w:rsidRDefault="006A79F6" w:rsidP="00CA24CF">
      <w:pPr>
        <w:pStyle w:val="Prrafodelista"/>
        <w:widowControl/>
        <w:numPr>
          <w:ilvl w:val="0"/>
          <w:numId w:val="112"/>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Promover la erradicación del trabajo infantil remunerado y no remunerado.</w:t>
      </w:r>
    </w:p>
    <w:p w14:paraId="21BB3862" w14:textId="091CFE48" w:rsidR="006A79F6" w:rsidRPr="00B24A80" w:rsidRDefault="006A79F6" w:rsidP="00CA24CF">
      <w:pPr>
        <w:pStyle w:val="Prrafodelista"/>
        <w:widowControl/>
        <w:numPr>
          <w:ilvl w:val="0"/>
          <w:numId w:val="112"/>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Promover el desarrollo integral infantil mediante una atención oportuna.</w:t>
      </w:r>
    </w:p>
    <w:p w14:paraId="3853D4DE" w14:textId="69D94F16" w:rsidR="006A79F6" w:rsidRPr="00B24A80" w:rsidRDefault="006A79F6" w:rsidP="00CA24CF">
      <w:pPr>
        <w:pStyle w:val="Prrafodelista"/>
        <w:widowControl/>
        <w:numPr>
          <w:ilvl w:val="0"/>
          <w:numId w:val="112"/>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Fortalecer a los grupos de atención prioritaria en derechos, desarrollo personal y organizacional.</w:t>
      </w:r>
    </w:p>
    <w:p w14:paraId="50BC0065" w14:textId="0435DAF8" w:rsidR="006A79F6" w:rsidRPr="00B24A80" w:rsidRDefault="006A79F6" w:rsidP="006A79F6">
      <w:pPr>
        <w:pStyle w:val="Prrafodelista"/>
        <w:widowControl/>
        <w:spacing w:after="240" w:line="276" w:lineRule="auto"/>
        <w:ind w:right="-100"/>
        <w:rPr>
          <w:rFonts w:asciiTheme="majorHAnsi" w:eastAsia="Calibri" w:hAnsiTheme="majorHAnsi" w:cstheme="majorHAnsi"/>
          <w:szCs w:val="22"/>
        </w:rPr>
      </w:pPr>
    </w:p>
    <w:p w14:paraId="1161D115" w14:textId="714005DD" w:rsidR="006A79F6" w:rsidRPr="00B24A80" w:rsidRDefault="00C536EB"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 Políticas del sistema</w:t>
      </w:r>
      <w:r w:rsidR="006A79F6" w:rsidRPr="00B24A80">
        <w:rPr>
          <w:rFonts w:asciiTheme="majorHAnsi" w:eastAsia="Calibri" w:hAnsiTheme="majorHAnsi" w:cstheme="majorHAnsi"/>
          <w:b/>
          <w:szCs w:val="22"/>
        </w:rPr>
        <w:t xml:space="preserve"> Político Institucional. – </w:t>
      </w:r>
    </w:p>
    <w:p w14:paraId="1717BACF" w14:textId="0A7864F7" w:rsidR="006A79F6" w:rsidRPr="00B24A80" w:rsidRDefault="006A79F6" w:rsidP="00CA24CF">
      <w:pPr>
        <w:pStyle w:val="Prrafodelista"/>
        <w:widowControl/>
        <w:numPr>
          <w:ilvl w:val="0"/>
          <w:numId w:val="113"/>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Planificación de Emergencia y Gestión de Crisis.</w:t>
      </w:r>
    </w:p>
    <w:p w14:paraId="47C60762" w14:textId="74E7532E" w:rsidR="006A79F6" w:rsidRPr="00B24A80" w:rsidRDefault="006A79F6" w:rsidP="00CA24CF">
      <w:pPr>
        <w:pStyle w:val="Prrafodelista"/>
        <w:widowControl/>
        <w:numPr>
          <w:ilvl w:val="0"/>
          <w:numId w:val="113"/>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Modernización y Gestión Integral del GAD Municipal al Servicio de la Ciudadanía.</w:t>
      </w:r>
    </w:p>
    <w:p w14:paraId="696F0F5C" w14:textId="20521FA0" w:rsidR="006A79F6" w:rsidRPr="00B24A80" w:rsidRDefault="006A79F6" w:rsidP="00CA24CF">
      <w:pPr>
        <w:pStyle w:val="Prrafodelista"/>
        <w:widowControl/>
        <w:numPr>
          <w:ilvl w:val="0"/>
          <w:numId w:val="113"/>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Generar alianzas Interinstitucionales y colaboración Estratégica Nacional e Internacional para el desarrollo sostenible del Cantón.</w:t>
      </w:r>
    </w:p>
    <w:p w14:paraId="09941073" w14:textId="26117D4C" w:rsidR="006A79F6" w:rsidRPr="00B24A80" w:rsidRDefault="006A79F6" w:rsidP="00CA24CF">
      <w:pPr>
        <w:pStyle w:val="Prrafodelista"/>
        <w:widowControl/>
        <w:numPr>
          <w:ilvl w:val="0"/>
          <w:numId w:val="113"/>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Fortalecer un sistema de participación ciudadana sostenible que promueva los enfoques de igualdad, los principios democráticos y la transparencia.</w:t>
      </w:r>
    </w:p>
    <w:p w14:paraId="08009E0F" w14:textId="49B7C467" w:rsidR="006A79F6" w:rsidRPr="00B24A80" w:rsidRDefault="006A79F6" w:rsidP="00CA24CF">
      <w:pPr>
        <w:pStyle w:val="Prrafodelista"/>
        <w:widowControl/>
        <w:numPr>
          <w:ilvl w:val="0"/>
          <w:numId w:val="113"/>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lastRenderedPageBreak/>
        <w:t>Fortalecer la respuesta interinstitucional y gestionar la prevención del delito para garantizar el derecho de las personas a una vida libre de violencia en el Cantón</w:t>
      </w:r>
      <w:r w:rsidR="00C62491" w:rsidRPr="00B24A80">
        <w:rPr>
          <w:rFonts w:asciiTheme="majorHAnsi" w:eastAsia="Calibri" w:hAnsiTheme="majorHAnsi" w:cstheme="majorHAnsi"/>
          <w:szCs w:val="22"/>
        </w:rPr>
        <w:t>.</w:t>
      </w:r>
    </w:p>
    <w:p w14:paraId="29F689D9" w14:textId="1A274B48" w:rsidR="00C62491" w:rsidRPr="00B24A80" w:rsidRDefault="00C62491" w:rsidP="00CA24CF">
      <w:pPr>
        <w:pStyle w:val="Prrafodelista"/>
        <w:widowControl/>
        <w:numPr>
          <w:ilvl w:val="0"/>
          <w:numId w:val="113"/>
        </w:numPr>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Gobierno Abierto y Control Social.</w:t>
      </w:r>
    </w:p>
    <w:p w14:paraId="3F914ABE" w14:textId="77777777" w:rsidR="00C62491" w:rsidRPr="00B24A80" w:rsidRDefault="00C62491" w:rsidP="00C62491">
      <w:pPr>
        <w:widowControl/>
        <w:spacing w:after="240" w:line="276" w:lineRule="auto"/>
        <w:ind w:right="-100"/>
        <w:jc w:val="center"/>
        <w:rPr>
          <w:rFonts w:asciiTheme="majorHAnsi" w:eastAsia="Calibri" w:hAnsiTheme="majorHAnsi" w:cstheme="majorHAnsi"/>
          <w:b/>
          <w:sz w:val="22"/>
          <w:szCs w:val="22"/>
        </w:rPr>
      </w:pPr>
      <w:r w:rsidRPr="00B24A80">
        <w:rPr>
          <w:rFonts w:asciiTheme="majorHAnsi" w:eastAsia="Calibri" w:hAnsiTheme="majorHAnsi" w:cstheme="majorHAnsi"/>
          <w:b/>
          <w:sz w:val="22"/>
          <w:szCs w:val="22"/>
        </w:rPr>
        <w:t>CAPÍTULO II</w:t>
      </w:r>
    </w:p>
    <w:p w14:paraId="707FC792" w14:textId="756BE114" w:rsidR="00C62491" w:rsidRPr="00B24A80" w:rsidRDefault="00C62491" w:rsidP="00C62491">
      <w:pPr>
        <w:widowControl/>
        <w:spacing w:after="240" w:line="276" w:lineRule="auto"/>
        <w:ind w:right="-100"/>
        <w:jc w:val="center"/>
        <w:rPr>
          <w:rFonts w:asciiTheme="majorHAnsi" w:eastAsia="Calibri" w:hAnsiTheme="majorHAnsi" w:cstheme="majorHAnsi"/>
          <w:b/>
          <w:sz w:val="22"/>
          <w:szCs w:val="22"/>
        </w:rPr>
      </w:pPr>
      <w:r w:rsidRPr="00B24A80">
        <w:rPr>
          <w:rFonts w:asciiTheme="majorHAnsi" w:eastAsia="Calibri" w:hAnsiTheme="majorHAnsi" w:cstheme="majorHAnsi"/>
          <w:b/>
          <w:sz w:val="22"/>
          <w:szCs w:val="22"/>
        </w:rPr>
        <w:t>MODELO DE ORDENAMIENTO TERRITORIAL</w:t>
      </w:r>
    </w:p>
    <w:p w14:paraId="4C0F0BD4" w14:textId="5264208E" w:rsidR="001B6592" w:rsidRPr="00B24A80" w:rsidRDefault="001B6592"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Modelo Territorial. -</w:t>
      </w:r>
      <w:r w:rsidRPr="00B24A80">
        <w:rPr>
          <w:rFonts w:asciiTheme="majorHAnsi" w:eastAsia="Calibri" w:hAnsiTheme="majorHAnsi" w:cstheme="majorHAnsi"/>
          <w:szCs w:val="22"/>
        </w:rPr>
        <w:t xml:space="preserve"> El modelo territorial definido en el</w:t>
      </w:r>
      <w:r w:rsidR="00491CDB" w:rsidRPr="00B24A80">
        <w:rPr>
          <w:rFonts w:asciiTheme="majorHAnsi" w:eastAsia="Calibri" w:hAnsiTheme="majorHAnsi" w:cstheme="majorHAnsi"/>
          <w:szCs w:val="22"/>
        </w:rPr>
        <w:t xml:space="preserve"> PD</w:t>
      </w:r>
      <w:r w:rsidR="007F610C" w:rsidRPr="00B24A80">
        <w:rPr>
          <w:rFonts w:asciiTheme="majorHAnsi" w:eastAsia="Calibri" w:hAnsiTheme="majorHAnsi" w:cstheme="majorHAnsi"/>
          <w:szCs w:val="22"/>
        </w:rPr>
        <w:t>y</w:t>
      </w:r>
      <w:r w:rsidR="00491CDB" w:rsidRPr="00B24A80">
        <w:rPr>
          <w:rFonts w:asciiTheme="majorHAnsi" w:eastAsia="Calibri" w:hAnsiTheme="majorHAnsi" w:cstheme="majorHAnsi"/>
          <w:szCs w:val="22"/>
        </w:rPr>
        <w:t>OT-SACHA</w:t>
      </w:r>
      <w:r w:rsidRPr="00B24A80">
        <w:rPr>
          <w:rFonts w:asciiTheme="majorHAnsi" w:eastAsia="Calibri" w:hAnsiTheme="majorHAnsi" w:cstheme="majorHAnsi"/>
          <w:szCs w:val="22"/>
        </w:rPr>
        <w:t>, se fundamenta e inspira en una visión concertada de mediano plazo, que recoge las expectativas sociales y ciudadanas e incorpora los principales objetivos planteados para el ordenamiento futuro, los cuales han de procurarse mediante la aplicación de las políticas, estrategias, programas y proyectos, propuestos por el plan.</w:t>
      </w:r>
    </w:p>
    <w:p w14:paraId="51FB527A" w14:textId="77777777" w:rsidR="00491CDB" w:rsidRPr="00B24A80" w:rsidRDefault="00491CDB" w:rsidP="00491CDB">
      <w:pPr>
        <w:pStyle w:val="Prrafodelista"/>
        <w:widowControl/>
        <w:tabs>
          <w:tab w:val="left" w:pos="851"/>
        </w:tabs>
        <w:spacing w:after="240" w:line="276" w:lineRule="auto"/>
        <w:ind w:left="0" w:right="-100"/>
        <w:rPr>
          <w:rFonts w:asciiTheme="majorHAnsi" w:eastAsia="Calibri" w:hAnsiTheme="majorHAnsi" w:cstheme="majorHAnsi"/>
          <w:szCs w:val="22"/>
        </w:rPr>
      </w:pPr>
    </w:p>
    <w:p w14:paraId="1CB45351" w14:textId="7AE32B15" w:rsidR="001B6592" w:rsidRPr="00B24A80" w:rsidRDefault="001B6592"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Vinculación del Modelo. -</w:t>
      </w:r>
      <w:r w:rsidRPr="00B24A80">
        <w:rPr>
          <w:rFonts w:asciiTheme="majorHAnsi" w:eastAsia="Calibri" w:hAnsiTheme="majorHAnsi" w:cstheme="majorHAnsi"/>
          <w:szCs w:val="22"/>
        </w:rPr>
        <w:t xml:space="preserve"> El modelo se articula con el Plan Nacional de Desarrollo, la Estrategia Te</w:t>
      </w:r>
      <w:r w:rsidR="00491CDB" w:rsidRPr="00B24A80">
        <w:rPr>
          <w:rFonts w:asciiTheme="majorHAnsi" w:eastAsia="Calibri" w:hAnsiTheme="majorHAnsi" w:cstheme="majorHAnsi"/>
          <w:szCs w:val="22"/>
        </w:rPr>
        <w:t xml:space="preserve">rritorial </w:t>
      </w:r>
      <w:r w:rsidR="004C1205">
        <w:rPr>
          <w:rFonts w:asciiTheme="majorHAnsi" w:eastAsia="Calibri" w:hAnsiTheme="majorHAnsi" w:cstheme="majorHAnsi"/>
          <w:szCs w:val="22"/>
        </w:rPr>
        <w:t>Nacional,</w:t>
      </w:r>
      <w:r w:rsidR="00C50E47" w:rsidRPr="00B24A80">
        <w:rPr>
          <w:rFonts w:asciiTheme="majorHAnsi" w:eastAsia="Calibri" w:hAnsiTheme="majorHAnsi" w:cstheme="majorHAnsi"/>
          <w:szCs w:val="22"/>
        </w:rPr>
        <w:t xml:space="preserve"> </w:t>
      </w:r>
      <w:r w:rsidRPr="00B24A80">
        <w:rPr>
          <w:rFonts w:asciiTheme="majorHAnsi" w:eastAsia="Calibri" w:hAnsiTheme="majorHAnsi" w:cstheme="majorHAnsi"/>
          <w:szCs w:val="22"/>
        </w:rPr>
        <w:t xml:space="preserve">así como las leyes referidas a los aspectos de planificación territorial, </w:t>
      </w:r>
      <w:r w:rsidR="00491CDB" w:rsidRPr="00B24A80">
        <w:rPr>
          <w:rFonts w:asciiTheme="majorHAnsi" w:eastAsia="Calibri" w:hAnsiTheme="majorHAnsi" w:cstheme="majorHAnsi"/>
          <w:szCs w:val="22"/>
        </w:rPr>
        <w:t>especialmente el COPYFP</w:t>
      </w:r>
      <w:r w:rsidRPr="00B24A80">
        <w:rPr>
          <w:rFonts w:asciiTheme="majorHAnsi" w:eastAsia="Calibri" w:hAnsiTheme="majorHAnsi" w:cstheme="majorHAnsi"/>
          <w:szCs w:val="22"/>
        </w:rPr>
        <w:t>, el COOTAD y la Ley Orgánica de Ordenamiento Territorial de Uso y Gestión del Suelo – LOOTUGS. El modelo de ordenamiento territorial se vincula con las diferentes escalas territoriales: Zo</w:t>
      </w:r>
      <w:r w:rsidR="00491CDB" w:rsidRPr="00B24A80">
        <w:rPr>
          <w:rFonts w:asciiTheme="majorHAnsi" w:eastAsia="Calibri" w:hAnsiTheme="majorHAnsi" w:cstheme="majorHAnsi"/>
          <w:szCs w:val="22"/>
        </w:rPr>
        <w:t>nal, Provincial, Cantonal y de c</w:t>
      </w:r>
      <w:r w:rsidRPr="00B24A80">
        <w:rPr>
          <w:rFonts w:asciiTheme="majorHAnsi" w:eastAsia="Calibri" w:hAnsiTheme="majorHAnsi" w:cstheme="majorHAnsi"/>
          <w:szCs w:val="22"/>
        </w:rPr>
        <w:t>iudad</w:t>
      </w:r>
      <w:r w:rsidR="00491CDB" w:rsidRPr="00B24A80">
        <w:rPr>
          <w:rFonts w:asciiTheme="majorHAnsi" w:eastAsia="Calibri" w:hAnsiTheme="majorHAnsi" w:cstheme="majorHAnsi"/>
          <w:szCs w:val="22"/>
        </w:rPr>
        <w:t>.</w:t>
      </w:r>
    </w:p>
    <w:p w14:paraId="5F942F0B" w14:textId="3935A6A9" w:rsidR="006D63B3" w:rsidRPr="00B24A80" w:rsidRDefault="006D63B3" w:rsidP="001B6592">
      <w:pPr>
        <w:spacing w:line="276" w:lineRule="auto"/>
        <w:rPr>
          <w:rFonts w:asciiTheme="majorHAnsi" w:eastAsia="Calibri" w:hAnsiTheme="majorHAnsi" w:cstheme="majorHAnsi"/>
          <w:sz w:val="22"/>
          <w:szCs w:val="22"/>
        </w:rPr>
      </w:pPr>
    </w:p>
    <w:p w14:paraId="6150C696" w14:textId="054495D3" w:rsidR="00793924" w:rsidRPr="00B24A80" w:rsidRDefault="006D63B3" w:rsidP="006D63B3">
      <w:pPr>
        <w:spacing w:line="276" w:lineRule="auto"/>
        <w:jc w:val="center"/>
        <w:rPr>
          <w:rFonts w:asciiTheme="majorHAnsi" w:eastAsia="Calibri" w:hAnsiTheme="majorHAnsi" w:cstheme="majorHAnsi"/>
          <w:b/>
          <w:sz w:val="22"/>
          <w:szCs w:val="22"/>
        </w:rPr>
      </w:pPr>
      <w:r w:rsidRPr="00B24A80">
        <w:rPr>
          <w:rFonts w:asciiTheme="majorHAnsi" w:eastAsia="Calibri" w:hAnsiTheme="majorHAnsi" w:cstheme="majorHAnsi"/>
          <w:b/>
          <w:sz w:val="22"/>
          <w:szCs w:val="22"/>
        </w:rPr>
        <w:t>LIBRO II</w:t>
      </w:r>
      <w:r w:rsidR="00D03172">
        <w:rPr>
          <w:rFonts w:asciiTheme="majorHAnsi" w:eastAsia="Calibri" w:hAnsiTheme="majorHAnsi" w:cstheme="majorHAnsi"/>
          <w:b/>
          <w:sz w:val="22"/>
          <w:szCs w:val="22"/>
        </w:rPr>
        <w:t>I</w:t>
      </w:r>
    </w:p>
    <w:p w14:paraId="5A478067" w14:textId="51846C92" w:rsidR="006D63B3" w:rsidRPr="00B24A80" w:rsidRDefault="00693D4E" w:rsidP="006D63B3">
      <w:pPr>
        <w:spacing w:line="276" w:lineRule="auto"/>
        <w:jc w:val="center"/>
        <w:rPr>
          <w:rFonts w:asciiTheme="majorHAnsi" w:eastAsia="Calibri" w:hAnsiTheme="majorHAnsi" w:cstheme="majorHAnsi"/>
          <w:b/>
          <w:sz w:val="22"/>
          <w:szCs w:val="22"/>
        </w:rPr>
      </w:pPr>
      <w:r w:rsidRPr="00B24A80">
        <w:rPr>
          <w:rFonts w:asciiTheme="majorHAnsi" w:eastAsia="Calibri" w:hAnsiTheme="majorHAnsi" w:cstheme="majorHAnsi"/>
          <w:b/>
          <w:sz w:val="22"/>
          <w:szCs w:val="22"/>
        </w:rPr>
        <w:t>ACTUALIZACIÓ</w:t>
      </w:r>
      <w:r w:rsidR="006D63B3" w:rsidRPr="00B24A80">
        <w:rPr>
          <w:rFonts w:asciiTheme="majorHAnsi" w:eastAsia="Calibri" w:hAnsiTheme="majorHAnsi" w:cstheme="majorHAnsi"/>
          <w:b/>
          <w:sz w:val="22"/>
          <w:szCs w:val="22"/>
        </w:rPr>
        <w:t xml:space="preserve">N </w:t>
      </w:r>
      <w:r w:rsidR="007F610C" w:rsidRPr="00B24A80">
        <w:rPr>
          <w:rFonts w:asciiTheme="majorHAnsi" w:eastAsia="Calibri" w:hAnsiTheme="majorHAnsi" w:cstheme="majorHAnsi"/>
          <w:b/>
          <w:sz w:val="22"/>
          <w:szCs w:val="22"/>
        </w:rPr>
        <w:t xml:space="preserve">DEL </w:t>
      </w:r>
      <w:r w:rsidR="006D63B3" w:rsidRPr="00B24A80">
        <w:rPr>
          <w:rFonts w:asciiTheme="majorHAnsi" w:eastAsia="Calibri" w:hAnsiTheme="majorHAnsi" w:cstheme="majorHAnsi"/>
          <w:b/>
          <w:sz w:val="22"/>
          <w:szCs w:val="22"/>
        </w:rPr>
        <w:t>PLAN DE USO Y GESTIÓN DEL SUELO</w:t>
      </w:r>
    </w:p>
    <w:p w14:paraId="451B725F" w14:textId="371312EA" w:rsidR="00793924" w:rsidRPr="00B24A80" w:rsidRDefault="00793924" w:rsidP="006D63B3">
      <w:pPr>
        <w:spacing w:line="276" w:lineRule="auto"/>
        <w:jc w:val="center"/>
        <w:rPr>
          <w:rFonts w:asciiTheme="majorHAnsi" w:eastAsia="Calibri" w:hAnsiTheme="majorHAnsi" w:cstheme="majorHAnsi"/>
          <w:b/>
          <w:sz w:val="22"/>
          <w:szCs w:val="22"/>
        </w:rPr>
      </w:pPr>
      <w:r w:rsidRPr="00B24A80">
        <w:rPr>
          <w:rFonts w:asciiTheme="majorHAnsi" w:eastAsia="Calibri" w:hAnsiTheme="majorHAnsi" w:cstheme="majorHAnsi"/>
          <w:b/>
          <w:sz w:val="22"/>
          <w:szCs w:val="22"/>
        </w:rPr>
        <w:t>CAPITULO I</w:t>
      </w:r>
    </w:p>
    <w:p w14:paraId="4607266C" w14:textId="77777777" w:rsidR="006D63B3" w:rsidRPr="00B24A80" w:rsidRDefault="006D63B3" w:rsidP="006D63B3">
      <w:pPr>
        <w:spacing w:line="276" w:lineRule="auto"/>
        <w:jc w:val="center"/>
        <w:rPr>
          <w:rFonts w:asciiTheme="majorHAnsi" w:eastAsia="Calibri" w:hAnsiTheme="majorHAnsi" w:cstheme="majorHAnsi"/>
          <w:b/>
          <w:sz w:val="22"/>
          <w:szCs w:val="22"/>
        </w:rPr>
      </w:pPr>
    </w:p>
    <w:p w14:paraId="17B30E98" w14:textId="1FCC03E8" w:rsidR="00793924" w:rsidRPr="00B24A80" w:rsidRDefault="006D63B3"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Definición</w:t>
      </w:r>
      <w:r w:rsidRPr="00B24A80">
        <w:rPr>
          <w:rFonts w:asciiTheme="majorHAnsi" w:eastAsia="Calibri" w:hAnsiTheme="majorHAnsi" w:cstheme="majorHAnsi"/>
          <w:szCs w:val="22"/>
        </w:rPr>
        <w:t xml:space="preserve">. La Actualización PLAN DE USO Y GESTIÓN DEL SUELO del </w:t>
      </w:r>
      <w:r w:rsidR="00434323">
        <w:rPr>
          <w:rFonts w:asciiTheme="majorHAnsi" w:eastAsia="Calibri" w:hAnsiTheme="majorHAnsi" w:cstheme="majorHAnsi"/>
          <w:szCs w:val="22"/>
        </w:rPr>
        <w:t>C</w:t>
      </w:r>
      <w:r w:rsidR="00CD4F27" w:rsidRPr="00B24A80">
        <w:rPr>
          <w:rFonts w:asciiTheme="majorHAnsi" w:eastAsia="Calibri" w:hAnsiTheme="majorHAnsi" w:cstheme="majorHAnsi"/>
          <w:szCs w:val="22"/>
        </w:rPr>
        <w:t>antón La Joya de los Sachas</w:t>
      </w:r>
      <w:r w:rsidR="00693D4E" w:rsidRPr="00B24A80">
        <w:rPr>
          <w:rFonts w:asciiTheme="majorHAnsi" w:eastAsia="Calibri" w:hAnsiTheme="majorHAnsi" w:cstheme="majorHAnsi"/>
          <w:szCs w:val="22"/>
        </w:rPr>
        <w:t xml:space="preserve"> </w:t>
      </w:r>
      <w:r w:rsidRPr="00B24A80">
        <w:rPr>
          <w:rFonts w:asciiTheme="majorHAnsi" w:eastAsia="Calibri" w:hAnsiTheme="majorHAnsi" w:cstheme="majorHAnsi"/>
          <w:szCs w:val="22"/>
        </w:rPr>
        <w:t>(PUGS</w:t>
      </w:r>
      <w:r w:rsidR="00693D4E" w:rsidRPr="00B24A80">
        <w:rPr>
          <w:rFonts w:asciiTheme="majorHAnsi" w:eastAsia="Calibri" w:hAnsiTheme="majorHAnsi" w:cstheme="majorHAnsi"/>
          <w:szCs w:val="22"/>
        </w:rPr>
        <w:t>-SACHA)</w:t>
      </w:r>
      <w:r w:rsidRPr="00B24A80">
        <w:rPr>
          <w:rFonts w:asciiTheme="majorHAnsi" w:eastAsia="Calibri" w:hAnsiTheme="majorHAnsi" w:cstheme="majorHAnsi"/>
          <w:szCs w:val="22"/>
        </w:rPr>
        <w:t xml:space="preserve">, es un </w:t>
      </w:r>
      <w:r w:rsidR="00693D4E" w:rsidRPr="00B24A80">
        <w:rPr>
          <w:rFonts w:asciiTheme="majorHAnsi" w:eastAsia="Calibri" w:hAnsiTheme="majorHAnsi" w:cstheme="majorHAnsi"/>
          <w:szCs w:val="22"/>
        </w:rPr>
        <w:t xml:space="preserve">instrumento técnico y normativo del </w:t>
      </w:r>
      <w:r w:rsidR="007F610C" w:rsidRPr="00B24A80">
        <w:rPr>
          <w:rFonts w:asciiTheme="majorHAnsi" w:eastAsia="Calibri" w:hAnsiTheme="majorHAnsi" w:cstheme="majorHAnsi"/>
          <w:szCs w:val="22"/>
        </w:rPr>
        <w:t>C</w:t>
      </w:r>
      <w:r w:rsidR="00693D4E" w:rsidRPr="00B24A80">
        <w:rPr>
          <w:rFonts w:asciiTheme="majorHAnsi" w:eastAsia="Calibri" w:hAnsiTheme="majorHAnsi" w:cstheme="majorHAnsi"/>
          <w:szCs w:val="22"/>
        </w:rPr>
        <w:t>antón que,</w:t>
      </w:r>
      <w:r w:rsidRPr="00B24A80">
        <w:rPr>
          <w:rFonts w:asciiTheme="majorHAnsi" w:eastAsia="Calibri" w:hAnsiTheme="majorHAnsi" w:cstheme="majorHAnsi"/>
          <w:szCs w:val="22"/>
        </w:rPr>
        <w:t xml:space="preserve"> de manera específica, norma los usos y la ocupación del suelo urbano y rural del territorio cantonal.</w:t>
      </w:r>
    </w:p>
    <w:p w14:paraId="4D0158C4" w14:textId="77777777" w:rsidR="00693D4E" w:rsidRPr="00B24A80" w:rsidRDefault="00693D4E" w:rsidP="00693D4E">
      <w:pPr>
        <w:pStyle w:val="Prrafodelista"/>
        <w:widowControl/>
        <w:tabs>
          <w:tab w:val="left" w:pos="851"/>
        </w:tabs>
        <w:spacing w:after="240" w:line="276" w:lineRule="auto"/>
        <w:ind w:left="0" w:right="-100"/>
        <w:rPr>
          <w:rFonts w:asciiTheme="majorHAnsi" w:eastAsia="Calibri" w:hAnsiTheme="majorHAnsi" w:cstheme="majorHAnsi"/>
          <w:szCs w:val="22"/>
        </w:rPr>
      </w:pPr>
    </w:p>
    <w:p w14:paraId="2B1B5ECC" w14:textId="304D31AF" w:rsidR="00793924" w:rsidRPr="00B24A80" w:rsidRDefault="0079392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Objeto. </w:t>
      </w:r>
      <w:r w:rsidRPr="00B24A80">
        <w:rPr>
          <w:rFonts w:asciiTheme="majorHAnsi" w:eastAsia="Calibri" w:hAnsiTheme="majorHAnsi" w:cstheme="majorHAnsi"/>
          <w:szCs w:val="22"/>
        </w:rPr>
        <w:t>El PUGS</w:t>
      </w:r>
      <w:r w:rsidR="00693D4E" w:rsidRPr="00B24A80">
        <w:rPr>
          <w:rFonts w:asciiTheme="majorHAnsi" w:eastAsia="Calibri" w:hAnsiTheme="majorHAnsi" w:cstheme="majorHAnsi"/>
          <w:szCs w:val="22"/>
        </w:rPr>
        <w:t>-</w:t>
      </w:r>
      <w:r w:rsidRPr="00B24A80">
        <w:rPr>
          <w:rFonts w:asciiTheme="majorHAnsi" w:eastAsia="Calibri" w:hAnsiTheme="majorHAnsi" w:cstheme="majorHAnsi"/>
          <w:szCs w:val="22"/>
        </w:rPr>
        <w:t>SACHA tiene como objeto regular y ordenar el territorio urbano y rural existente en la jurisdicción del Cantón, mediante un conjunto de disposiciones normativas y técnicas de obligatorio cumplimiento para la ciudadanía, las cuales, de conformidad con la Constitución y el Código Orgánico de Organización Territorial, Autonomía y Descentralización, son responsabilidad y competencia exclusiva y privativa del GAD Municipal.</w:t>
      </w:r>
    </w:p>
    <w:p w14:paraId="1C77DF11" w14:textId="77777777" w:rsidR="00693D4E" w:rsidRPr="00B24A80" w:rsidRDefault="00693D4E" w:rsidP="00693D4E">
      <w:pPr>
        <w:pStyle w:val="Prrafodelista"/>
        <w:widowControl/>
        <w:tabs>
          <w:tab w:val="left" w:pos="851"/>
        </w:tabs>
        <w:spacing w:after="240" w:line="276" w:lineRule="auto"/>
        <w:ind w:left="0" w:right="-100"/>
        <w:rPr>
          <w:rFonts w:asciiTheme="majorHAnsi" w:eastAsia="Calibri" w:hAnsiTheme="majorHAnsi" w:cstheme="majorHAnsi"/>
          <w:szCs w:val="22"/>
        </w:rPr>
      </w:pPr>
    </w:p>
    <w:p w14:paraId="0AE95072" w14:textId="41B2AD19" w:rsidR="00FD3B20" w:rsidRPr="00B24A80" w:rsidRDefault="0079392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Componentes</w:t>
      </w:r>
      <w:r w:rsidRPr="00B24A80">
        <w:rPr>
          <w:rFonts w:asciiTheme="majorHAnsi" w:eastAsia="Calibri" w:hAnsiTheme="majorHAnsi" w:cstheme="majorHAnsi"/>
          <w:color w:val="000000"/>
          <w:szCs w:val="22"/>
        </w:rPr>
        <w:t>.</w:t>
      </w:r>
      <w:r w:rsidR="00FD3B20" w:rsidRPr="00B24A80">
        <w:rPr>
          <w:rFonts w:asciiTheme="majorHAnsi" w:eastAsia="Calibri" w:hAnsiTheme="majorHAnsi" w:cstheme="majorHAnsi"/>
          <w:color w:val="000000"/>
          <w:szCs w:val="22"/>
        </w:rPr>
        <w:t xml:space="preserve"> El Plan de Uso y Gestión de Suelo (PUGS-SACHA) se compone de los siguientes elementos: </w:t>
      </w:r>
      <w:r w:rsidR="007F610C" w:rsidRPr="00B24A80">
        <w:rPr>
          <w:rFonts w:asciiTheme="majorHAnsi" w:eastAsia="Calibri" w:hAnsiTheme="majorHAnsi" w:cstheme="majorHAnsi"/>
          <w:color w:val="000000"/>
          <w:szCs w:val="22"/>
        </w:rPr>
        <w:t>E</w:t>
      </w:r>
      <w:r w:rsidR="00FD3B20" w:rsidRPr="00B24A80">
        <w:rPr>
          <w:rFonts w:asciiTheme="majorHAnsi" w:eastAsia="Calibri" w:hAnsiTheme="majorHAnsi" w:cstheme="majorHAnsi"/>
          <w:color w:val="000000"/>
          <w:szCs w:val="22"/>
        </w:rPr>
        <w:t xml:space="preserve">l informe consolidado del PUGS, los mapas de zonificación normativa del suelo del </w:t>
      </w:r>
      <w:r w:rsidR="007F610C" w:rsidRPr="00B24A80">
        <w:rPr>
          <w:rFonts w:asciiTheme="majorHAnsi" w:eastAsia="Calibri" w:hAnsiTheme="majorHAnsi" w:cstheme="majorHAnsi"/>
          <w:color w:val="000000"/>
          <w:szCs w:val="22"/>
        </w:rPr>
        <w:t>C</w:t>
      </w:r>
      <w:r w:rsidR="00FD3B20" w:rsidRPr="00B24A80">
        <w:rPr>
          <w:rFonts w:asciiTheme="majorHAnsi" w:eastAsia="Calibri" w:hAnsiTheme="majorHAnsi" w:cstheme="majorHAnsi"/>
          <w:color w:val="000000"/>
          <w:szCs w:val="22"/>
        </w:rPr>
        <w:t xml:space="preserve">antón, la reglamentación urbana en mapas de la ciudad, las cabeceras parroquiales del </w:t>
      </w:r>
      <w:r w:rsidR="007F610C" w:rsidRPr="00B24A80">
        <w:rPr>
          <w:rFonts w:asciiTheme="majorHAnsi" w:eastAsia="Calibri" w:hAnsiTheme="majorHAnsi" w:cstheme="majorHAnsi"/>
          <w:color w:val="000000"/>
          <w:szCs w:val="22"/>
        </w:rPr>
        <w:t>C</w:t>
      </w:r>
      <w:r w:rsidR="00FD3B20" w:rsidRPr="00B24A80">
        <w:rPr>
          <w:rFonts w:asciiTheme="majorHAnsi" w:eastAsia="Calibri" w:hAnsiTheme="majorHAnsi" w:cstheme="majorHAnsi"/>
          <w:color w:val="000000"/>
          <w:szCs w:val="22"/>
        </w:rPr>
        <w:t xml:space="preserve">antón, los poblados relevantes, así como las tablas y textos anexos, que forman parte integral de la presente </w:t>
      </w:r>
      <w:r w:rsidR="007F610C" w:rsidRPr="00B24A80">
        <w:rPr>
          <w:rFonts w:asciiTheme="majorHAnsi" w:eastAsia="Calibri" w:hAnsiTheme="majorHAnsi" w:cstheme="majorHAnsi"/>
          <w:color w:val="000000"/>
          <w:szCs w:val="22"/>
        </w:rPr>
        <w:t>O</w:t>
      </w:r>
      <w:r w:rsidR="00FD3B20" w:rsidRPr="00B24A80">
        <w:rPr>
          <w:rFonts w:asciiTheme="majorHAnsi" w:eastAsia="Calibri" w:hAnsiTheme="majorHAnsi" w:cstheme="majorHAnsi"/>
          <w:color w:val="000000"/>
          <w:szCs w:val="22"/>
        </w:rPr>
        <w:t>rdenanza</w:t>
      </w:r>
      <w:r w:rsidR="00693D4E" w:rsidRPr="00B24A80">
        <w:rPr>
          <w:rFonts w:asciiTheme="majorHAnsi" w:eastAsia="Calibri" w:hAnsiTheme="majorHAnsi" w:cstheme="majorHAnsi"/>
          <w:color w:val="000000"/>
          <w:szCs w:val="22"/>
        </w:rPr>
        <w:t xml:space="preserve">. </w:t>
      </w:r>
    </w:p>
    <w:p w14:paraId="4B959D41" w14:textId="77777777" w:rsidR="00FD3B20" w:rsidRPr="00B24A80" w:rsidRDefault="00FD3B20" w:rsidP="00FD3B2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CE43E40" w14:textId="02B74B0F" w:rsidR="00DC27E8" w:rsidRPr="00B24A80" w:rsidRDefault="00FD3B20"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Vigencia</w:t>
      </w:r>
      <w:r w:rsidRPr="00B24A80">
        <w:rPr>
          <w:rFonts w:asciiTheme="majorHAnsi" w:eastAsia="Calibri" w:hAnsiTheme="majorHAnsi" w:cstheme="majorHAnsi"/>
          <w:color w:val="000000"/>
          <w:szCs w:val="22"/>
        </w:rPr>
        <w:t xml:space="preserve">. </w:t>
      </w:r>
      <w:r w:rsidR="00693D4E" w:rsidRPr="00B24A80">
        <w:rPr>
          <w:rFonts w:asciiTheme="majorHAnsi" w:eastAsia="Calibri" w:hAnsiTheme="majorHAnsi" w:cstheme="majorHAnsi"/>
          <w:color w:val="000000"/>
          <w:szCs w:val="22"/>
        </w:rPr>
        <w:t>El componente estructurante tendrá vigencia de 12 años</w:t>
      </w:r>
      <w:r w:rsidR="00693D4E" w:rsidRPr="00C965C1">
        <w:rPr>
          <w:rFonts w:asciiTheme="majorHAnsi" w:eastAsia="Calibri" w:hAnsiTheme="majorHAnsi" w:cstheme="majorHAnsi"/>
          <w:szCs w:val="22"/>
        </w:rPr>
        <w:t>,</w:t>
      </w:r>
      <w:r w:rsidR="00630555">
        <w:rPr>
          <w:rFonts w:asciiTheme="majorHAnsi" w:eastAsia="Calibri" w:hAnsiTheme="majorHAnsi" w:cstheme="majorHAnsi"/>
          <w:color w:val="FF0000"/>
          <w:szCs w:val="22"/>
        </w:rPr>
        <w:t xml:space="preserve"> </w:t>
      </w:r>
      <w:r w:rsidR="00630555">
        <w:rPr>
          <w:rFonts w:asciiTheme="majorHAnsi" w:eastAsia="Calibri" w:hAnsiTheme="majorHAnsi" w:cstheme="majorHAnsi"/>
          <w:szCs w:val="22"/>
        </w:rPr>
        <w:t xml:space="preserve">el mismo que </w:t>
      </w:r>
      <w:r w:rsidR="00C965C1">
        <w:rPr>
          <w:rFonts w:asciiTheme="majorHAnsi" w:eastAsia="Calibri" w:hAnsiTheme="majorHAnsi" w:cstheme="majorHAnsi"/>
          <w:szCs w:val="22"/>
        </w:rPr>
        <w:t>se contará a partir del</w:t>
      </w:r>
      <w:r w:rsidR="00630555">
        <w:rPr>
          <w:rFonts w:asciiTheme="majorHAnsi" w:eastAsia="Calibri" w:hAnsiTheme="majorHAnsi" w:cstheme="majorHAnsi"/>
          <w:szCs w:val="22"/>
        </w:rPr>
        <w:t xml:space="preserve"> jueves 05 de enero de 2023</w:t>
      </w:r>
      <w:r w:rsidR="0060764C">
        <w:rPr>
          <w:rFonts w:asciiTheme="majorHAnsi" w:eastAsia="Calibri" w:hAnsiTheme="majorHAnsi" w:cstheme="majorHAnsi"/>
          <w:szCs w:val="22"/>
        </w:rPr>
        <w:t>, Edición Especial N° 703</w:t>
      </w:r>
      <w:r w:rsidR="00C965C1" w:rsidRPr="00C965C1">
        <w:rPr>
          <w:rFonts w:asciiTheme="majorHAnsi" w:eastAsia="Calibri" w:hAnsiTheme="majorHAnsi" w:cstheme="majorHAnsi"/>
          <w:szCs w:val="22"/>
        </w:rPr>
        <w:t xml:space="preserve">, </w:t>
      </w:r>
      <w:r w:rsidR="00693D4E" w:rsidRPr="00B24A80">
        <w:rPr>
          <w:rFonts w:asciiTheme="majorHAnsi" w:eastAsia="Calibri" w:hAnsiTheme="majorHAnsi" w:cstheme="majorHAnsi"/>
          <w:color w:val="000000"/>
          <w:szCs w:val="22"/>
        </w:rPr>
        <w:t xml:space="preserve">mientras que el </w:t>
      </w:r>
      <w:r w:rsidR="00693D4E" w:rsidRPr="00B24A80">
        <w:rPr>
          <w:rFonts w:asciiTheme="majorHAnsi" w:eastAsia="Calibri" w:hAnsiTheme="majorHAnsi" w:cstheme="majorHAnsi"/>
          <w:color w:val="000000"/>
          <w:szCs w:val="22"/>
        </w:rPr>
        <w:lastRenderedPageBreak/>
        <w:t xml:space="preserve">componente urbanístico podrá actualizarse al inicio de cada gestión municipal, con la debida justificación técnica (Art. </w:t>
      </w:r>
      <w:r w:rsidR="008B5E35" w:rsidRPr="00B24A80">
        <w:rPr>
          <w:rFonts w:asciiTheme="majorHAnsi" w:eastAsia="Calibri" w:hAnsiTheme="majorHAnsi" w:cstheme="majorHAnsi"/>
          <w:color w:val="000000"/>
          <w:szCs w:val="22"/>
        </w:rPr>
        <w:t>30</w:t>
      </w:r>
      <w:r w:rsidR="00693D4E" w:rsidRPr="00B24A80">
        <w:rPr>
          <w:rFonts w:asciiTheme="majorHAnsi" w:eastAsia="Calibri" w:hAnsiTheme="majorHAnsi" w:cstheme="majorHAnsi"/>
          <w:color w:val="000000"/>
          <w:szCs w:val="22"/>
        </w:rPr>
        <w:t xml:space="preserve">, </w:t>
      </w:r>
      <w:r w:rsidR="008B5E35" w:rsidRPr="00B24A80">
        <w:rPr>
          <w:rFonts w:asciiTheme="majorHAnsi" w:eastAsia="Calibri" w:hAnsiTheme="majorHAnsi" w:cstheme="majorHAnsi"/>
          <w:color w:val="000000"/>
          <w:szCs w:val="22"/>
        </w:rPr>
        <w:t>LOOTUGS</w:t>
      </w:r>
      <w:r w:rsidR="00693D4E" w:rsidRPr="00B24A80">
        <w:rPr>
          <w:rFonts w:asciiTheme="majorHAnsi" w:eastAsia="Calibri" w:hAnsiTheme="majorHAnsi" w:cstheme="majorHAnsi"/>
          <w:color w:val="000000"/>
          <w:szCs w:val="22"/>
        </w:rPr>
        <w:t xml:space="preserve">). </w:t>
      </w:r>
    </w:p>
    <w:p w14:paraId="44E0B21D" w14:textId="77777777" w:rsidR="00FD3B20" w:rsidRPr="00B24A80" w:rsidRDefault="00FD3B20" w:rsidP="00FD3B2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5A1A284" w14:textId="79F00A98" w:rsidR="00333F80" w:rsidRPr="0006555F" w:rsidRDefault="007F5505" w:rsidP="0006555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 xml:space="preserve"> Revisión y modificación</w:t>
      </w:r>
      <w:r w:rsidR="00D30DEA" w:rsidRPr="00B24A80">
        <w:rPr>
          <w:rFonts w:asciiTheme="majorHAnsi" w:eastAsia="Calibri" w:hAnsiTheme="majorHAnsi" w:cstheme="majorHAnsi"/>
          <w:b/>
          <w:color w:val="000000"/>
          <w:szCs w:val="22"/>
        </w:rPr>
        <w:t xml:space="preserve"> del PUGS</w:t>
      </w:r>
      <w:r w:rsidRPr="00B24A80">
        <w:rPr>
          <w:rFonts w:asciiTheme="majorHAnsi" w:eastAsia="Calibri" w:hAnsiTheme="majorHAnsi" w:cstheme="majorHAnsi"/>
          <w:b/>
          <w:color w:val="000000"/>
          <w:szCs w:val="22"/>
        </w:rPr>
        <w:t xml:space="preserve">. – </w:t>
      </w:r>
      <w:r w:rsidR="00FD3B20" w:rsidRPr="00B24A80">
        <w:rPr>
          <w:rFonts w:asciiTheme="majorHAnsi" w:eastAsia="Calibri" w:hAnsiTheme="majorHAnsi" w:cstheme="majorHAnsi"/>
          <w:color w:val="000000"/>
          <w:szCs w:val="22"/>
        </w:rPr>
        <w:t>Las modificaciones deben alinearse con el Plan de Desarrollo y Ordenamiento Territorial (PD</w:t>
      </w:r>
      <w:r w:rsidR="007F49A5" w:rsidRPr="00B24A80">
        <w:rPr>
          <w:rFonts w:asciiTheme="majorHAnsi" w:eastAsia="Calibri" w:hAnsiTheme="majorHAnsi" w:cstheme="majorHAnsi"/>
          <w:color w:val="000000"/>
          <w:szCs w:val="22"/>
        </w:rPr>
        <w:t>y</w:t>
      </w:r>
      <w:r w:rsidR="00FD3B20" w:rsidRPr="00B24A80">
        <w:rPr>
          <w:rFonts w:asciiTheme="majorHAnsi" w:eastAsia="Calibri" w:hAnsiTheme="majorHAnsi" w:cstheme="majorHAnsi"/>
          <w:color w:val="000000"/>
          <w:szCs w:val="22"/>
        </w:rPr>
        <w:t xml:space="preserve">OT) y </w:t>
      </w:r>
      <w:r w:rsidR="00EF7985" w:rsidRPr="00B24A80">
        <w:rPr>
          <w:rFonts w:asciiTheme="majorHAnsi" w:eastAsia="Calibri" w:hAnsiTheme="majorHAnsi" w:cstheme="majorHAnsi"/>
          <w:color w:val="000000"/>
          <w:szCs w:val="22"/>
        </w:rPr>
        <w:t xml:space="preserve">preservar su completa </w:t>
      </w:r>
      <w:r w:rsidR="004D4F33" w:rsidRPr="00B24A80">
        <w:rPr>
          <w:rFonts w:asciiTheme="majorHAnsi" w:eastAsia="Calibri" w:hAnsiTheme="majorHAnsi" w:cstheme="majorHAnsi"/>
          <w:color w:val="000000"/>
          <w:szCs w:val="22"/>
        </w:rPr>
        <w:t>coherencia</w:t>
      </w:r>
      <w:r w:rsidR="00FD3B20" w:rsidRPr="00B24A80">
        <w:rPr>
          <w:rFonts w:asciiTheme="majorHAnsi" w:eastAsia="Calibri" w:hAnsiTheme="majorHAnsi" w:cstheme="majorHAnsi"/>
          <w:color w:val="000000"/>
          <w:szCs w:val="22"/>
        </w:rPr>
        <w:t xml:space="preserve"> </w:t>
      </w:r>
      <w:r w:rsidR="00EF7985" w:rsidRPr="00B24A80">
        <w:rPr>
          <w:rFonts w:asciiTheme="majorHAnsi" w:eastAsia="Calibri" w:hAnsiTheme="majorHAnsi" w:cstheme="majorHAnsi"/>
          <w:color w:val="000000"/>
          <w:szCs w:val="22"/>
        </w:rPr>
        <w:t xml:space="preserve">con </w:t>
      </w:r>
      <w:r w:rsidR="00FD3B20" w:rsidRPr="00B24A80">
        <w:rPr>
          <w:rFonts w:asciiTheme="majorHAnsi" w:eastAsia="Calibri" w:hAnsiTheme="majorHAnsi" w:cstheme="majorHAnsi"/>
          <w:color w:val="000000"/>
          <w:szCs w:val="22"/>
        </w:rPr>
        <w:t>los planes de los demás niveles de gobierno (Art. 8,</w:t>
      </w:r>
      <w:r w:rsidR="008B5E35" w:rsidRPr="00B24A80">
        <w:rPr>
          <w:rFonts w:asciiTheme="majorHAnsi" w:eastAsia="Calibri" w:hAnsiTheme="majorHAnsi" w:cstheme="majorHAnsi"/>
          <w:color w:val="000000"/>
          <w:szCs w:val="22"/>
        </w:rPr>
        <w:t xml:space="preserve"> </w:t>
      </w:r>
      <w:r w:rsidR="00EF7985" w:rsidRPr="00B24A80">
        <w:rPr>
          <w:rFonts w:asciiTheme="majorHAnsi" w:eastAsia="Calibri" w:hAnsiTheme="majorHAnsi" w:cstheme="majorHAnsi"/>
          <w:color w:val="000000"/>
          <w:szCs w:val="22"/>
        </w:rPr>
        <w:t>Resolución 005 – CTUGS</w:t>
      </w:r>
      <w:r w:rsidR="00EF7985" w:rsidRPr="00B24A80">
        <w:rPr>
          <w:szCs w:val="22"/>
        </w:rPr>
        <w:t xml:space="preserve"> - </w:t>
      </w:r>
      <w:r w:rsidR="00EF7985" w:rsidRPr="00B24A80">
        <w:rPr>
          <w:rFonts w:asciiTheme="majorHAnsi" w:eastAsia="Calibri" w:hAnsiTheme="majorHAnsi" w:cstheme="majorHAnsi"/>
          <w:color w:val="000000"/>
          <w:szCs w:val="22"/>
        </w:rPr>
        <w:t>Norma Técnica de contenidos mínimos, procedimiento básico de aprobación y proceso de registro formal de los Planes de Uso y Gestión de Suelo y, los Planes Urbanísticos Complementarios de los Gobiernos Autónomos Descentralizados Municipales</w:t>
      </w:r>
      <w:r w:rsidR="00FD3B20" w:rsidRPr="00B24A80">
        <w:rPr>
          <w:rFonts w:asciiTheme="majorHAnsi" w:eastAsia="Calibri" w:hAnsiTheme="majorHAnsi" w:cstheme="majorHAnsi"/>
          <w:color w:val="000000"/>
          <w:szCs w:val="22"/>
        </w:rPr>
        <w:t>)</w:t>
      </w:r>
      <w:r w:rsidR="00333F80" w:rsidRPr="00B24A80">
        <w:rPr>
          <w:rFonts w:asciiTheme="majorHAnsi" w:eastAsia="Calibri" w:hAnsiTheme="majorHAnsi" w:cstheme="majorHAnsi"/>
          <w:color w:val="000000"/>
          <w:szCs w:val="22"/>
        </w:rPr>
        <w:t>.</w:t>
      </w:r>
    </w:p>
    <w:p w14:paraId="23CDB4E6" w14:textId="50F16E51" w:rsidR="00333F80" w:rsidRPr="00B24A80" w:rsidRDefault="00333F80" w:rsidP="00333F80">
      <w:pPr>
        <w:widowControl/>
        <w:tabs>
          <w:tab w:val="left" w:pos="851"/>
        </w:tabs>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En caso de ser necesaria la modificación al componente estructurante, se deberá justificar técnicamente en coherencia al Plan de Desarrollo y Ordenamiento Territorial - PDOT y su actualización, mediante procedimientos participativos y técnicos establecidos en la presente norma, en las siguientes circunstancias:</w:t>
      </w:r>
    </w:p>
    <w:p w14:paraId="3C500732" w14:textId="740C363D" w:rsidR="00FD3B20" w:rsidRPr="00B24A80" w:rsidRDefault="00FD3B20" w:rsidP="00CA24CF">
      <w:pPr>
        <w:pStyle w:val="Prrafodelista"/>
        <w:widowControl/>
        <w:numPr>
          <w:ilvl w:val="1"/>
          <w:numId w:val="115"/>
        </w:numPr>
        <w:tabs>
          <w:tab w:val="left" w:pos="851"/>
        </w:tabs>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Cuando un Proyecto Nacional de carácter estratégico se implante en la jurisdicción de</w:t>
      </w:r>
      <w:r w:rsidR="007F49A5" w:rsidRPr="00B24A80">
        <w:rPr>
          <w:rFonts w:asciiTheme="majorHAnsi" w:eastAsia="Calibri" w:hAnsiTheme="majorHAnsi" w:cstheme="majorHAnsi"/>
          <w:color w:val="000000"/>
          <w:szCs w:val="22"/>
        </w:rPr>
        <w:t>l</w:t>
      </w:r>
      <w:r w:rsidRPr="00B24A80">
        <w:rPr>
          <w:rFonts w:asciiTheme="majorHAnsi" w:eastAsia="Calibri" w:hAnsiTheme="majorHAnsi" w:cstheme="majorHAnsi"/>
          <w:color w:val="000000"/>
          <w:szCs w:val="22"/>
        </w:rPr>
        <w:t xml:space="preserve"> GAD</w:t>
      </w:r>
      <w:r w:rsidR="007F49A5" w:rsidRPr="00B24A80">
        <w:rPr>
          <w:rFonts w:asciiTheme="majorHAnsi" w:eastAsia="Calibri" w:hAnsiTheme="majorHAnsi" w:cstheme="majorHAnsi"/>
          <w:color w:val="000000"/>
          <w:szCs w:val="22"/>
        </w:rPr>
        <w:t>MCJS</w:t>
      </w:r>
      <w:r w:rsidRPr="00B24A80">
        <w:rPr>
          <w:rFonts w:asciiTheme="majorHAnsi" w:eastAsia="Calibri" w:hAnsiTheme="majorHAnsi" w:cstheme="majorHAnsi"/>
          <w:color w:val="000000"/>
          <w:szCs w:val="22"/>
        </w:rPr>
        <w:t xml:space="preserve"> y deba adecuarse su PD</w:t>
      </w:r>
      <w:r w:rsidR="007F49A5" w:rsidRPr="00B24A80">
        <w:rPr>
          <w:rFonts w:asciiTheme="majorHAnsi" w:eastAsia="Calibri" w:hAnsiTheme="majorHAnsi" w:cstheme="majorHAnsi"/>
          <w:color w:val="000000"/>
          <w:szCs w:val="22"/>
        </w:rPr>
        <w:t>y</w:t>
      </w:r>
      <w:r w:rsidRPr="00B24A80">
        <w:rPr>
          <w:rFonts w:asciiTheme="majorHAnsi" w:eastAsia="Calibri" w:hAnsiTheme="majorHAnsi" w:cstheme="majorHAnsi"/>
          <w:color w:val="000000"/>
          <w:szCs w:val="22"/>
        </w:rPr>
        <w:t xml:space="preserve">OT a los lineamientos derivados de la respectiva planificación especial. </w:t>
      </w:r>
    </w:p>
    <w:p w14:paraId="3FD6DB86" w14:textId="0EC89AA1" w:rsidR="00D30DEA" w:rsidRPr="00B24A80" w:rsidRDefault="00FD3B20" w:rsidP="00CA24CF">
      <w:pPr>
        <w:pStyle w:val="Prrafodelista"/>
        <w:widowControl/>
        <w:numPr>
          <w:ilvl w:val="1"/>
          <w:numId w:val="115"/>
        </w:numPr>
        <w:spacing w:after="240"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Por fuerza mayor, como la ocurrencia de un desastre.</w:t>
      </w:r>
    </w:p>
    <w:p w14:paraId="16AF110C" w14:textId="77777777" w:rsidR="00D30DEA" w:rsidRPr="00B24A80" w:rsidRDefault="00D30DEA" w:rsidP="00D30DEA">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Las revisiones serán conocidas y aprobadas por el Concejo Municipal de La Joya de los Sachas y su aplicación será evaluada periódicamente por el mismo cuerpo colegiado.</w:t>
      </w:r>
    </w:p>
    <w:p w14:paraId="6924CB98" w14:textId="448E0052" w:rsidR="00D30DEA" w:rsidRPr="00B24A80" w:rsidRDefault="00D30DEA" w:rsidP="00D30DEA">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Los requisitos para la actualización de los componentes estructurante y urbanístico deberán establecerlos el reglamento o normativa técnica emitida por la autoridad competente, especificando las excepciones bajo las cuales se faculte ciertas modificaciones, fundamentalmente en el componente estructurante. </w:t>
      </w:r>
    </w:p>
    <w:p w14:paraId="1A5AA76A" w14:textId="304A3117" w:rsidR="00D30DEA" w:rsidRPr="00B24A80" w:rsidRDefault="00D30DEA" w:rsidP="00D30DEA">
      <w:pPr>
        <w:widowControl/>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Una vez aprobado el plan, éste deberá ser publicado en el Registro Oficial y difundido mediante la página web institucional d</w:t>
      </w:r>
      <w:r w:rsidR="007F49A5" w:rsidRPr="00B24A80">
        <w:rPr>
          <w:rFonts w:asciiTheme="majorHAnsi" w:eastAsia="Calibri" w:hAnsiTheme="majorHAnsi" w:cstheme="majorHAnsi"/>
          <w:color w:val="000000"/>
          <w:sz w:val="22"/>
          <w:szCs w:val="22"/>
        </w:rPr>
        <w:t>e</w:t>
      </w:r>
      <w:r w:rsidR="00D01697" w:rsidRPr="00B24A80">
        <w:rPr>
          <w:rFonts w:asciiTheme="majorHAnsi" w:eastAsia="Calibri" w:hAnsiTheme="majorHAnsi" w:cstheme="majorHAnsi"/>
          <w:color w:val="000000"/>
          <w:sz w:val="22"/>
          <w:szCs w:val="22"/>
        </w:rPr>
        <w:t xml:space="preserve">l Gobierno Autónomo Descentralizado Municipal del </w:t>
      </w:r>
      <w:r w:rsidR="00CD4F27" w:rsidRPr="00B24A80">
        <w:rPr>
          <w:rFonts w:asciiTheme="majorHAnsi" w:eastAsia="Calibri" w:hAnsiTheme="majorHAnsi" w:cstheme="majorHAnsi"/>
          <w:color w:val="000000"/>
          <w:sz w:val="22"/>
          <w:szCs w:val="22"/>
        </w:rPr>
        <w:t>cantón La Joya de los Sachas</w:t>
      </w:r>
      <w:r w:rsidRPr="00B24A80">
        <w:rPr>
          <w:rFonts w:asciiTheme="majorHAnsi" w:eastAsia="Calibri" w:hAnsiTheme="majorHAnsi" w:cstheme="majorHAnsi"/>
          <w:color w:val="000000"/>
          <w:sz w:val="22"/>
          <w:szCs w:val="22"/>
        </w:rPr>
        <w:t>.</w:t>
      </w:r>
    </w:p>
    <w:p w14:paraId="5A373C2E" w14:textId="430AF8D7" w:rsidR="00DC27E8" w:rsidRPr="00B24A80" w:rsidRDefault="00D30DEA"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Vigencia de los Planes complementarios. - </w:t>
      </w:r>
      <w:r w:rsidR="00333F80" w:rsidRPr="00B24A80">
        <w:rPr>
          <w:rFonts w:asciiTheme="majorHAnsi" w:eastAsia="Calibri" w:hAnsiTheme="majorHAnsi" w:cstheme="majorHAnsi"/>
          <w:color w:val="000000"/>
          <w:szCs w:val="22"/>
        </w:rPr>
        <w:t>Te</w:t>
      </w:r>
      <w:r w:rsidR="007F5505" w:rsidRPr="00B24A80">
        <w:rPr>
          <w:rFonts w:asciiTheme="majorHAnsi" w:eastAsia="Calibri" w:hAnsiTheme="majorHAnsi" w:cstheme="majorHAnsi"/>
          <w:color w:val="000000"/>
          <w:szCs w:val="22"/>
        </w:rPr>
        <w:t xml:space="preserve">ndrán vigencia durante el plazo previsto por </w:t>
      </w:r>
      <w:r w:rsidR="00DE3533" w:rsidRPr="00B24A80">
        <w:rPr>
          <w:rFonts w:asciiTheme="majorHAnsi" w:eastAsia="Calibri" w:hAnsiTheme="majorHAnsi" w:cstheme="majorHAnsi"/>
          <w:color w:val="000000"/>
          <w:szCs w:val="22"/>
        </w:rPr>
        <w:t>el GADMC</w:t>
      </w:r>
      <w:r w:rsidR="00E30701" w:rsidRPr="00B24A80">
        <w:rPr>
          <w:rFonts w:asciiTheme="majorHAnsi" w:eastAsia="Calibri" w:hAnsiTheme="majorHAnsi" w:cstheme="majorHAnsi"/>
          <w:color w:val="000000"/>
          <w:szCs w:val="22"/>
        </w:rPr>
        <w:t>JS</w:t>
      </w:r>
      <w:r w:rsidR="007F5505" w:rsidRPr="00B24A80">
        <w:rPr>
          <w:rFonts w:asciiTheme="majorHAnsi" w:eastAsia="Calibri" w:hAnsiTheme="majorHAnsi" w:cstheme="majorHAnsi"/>
          <w:color w:val="000000"/>
          <w:szCs w:val="22"/>
        </w:rPr>
        <w:t xml:space="preserve"> en cada uno de ellos. Serán revisados al finalizar el plazo previsto para su vigencia y excepcionalmente en los siguientes casos:</w:t>
      </w:r>
    </w:p>
    <w:p w14:paraId="140CA288" w14:textId="77777777" w:rsidR="00DC27E8" w:rsidRPr="00B24A80" w:rsidRDefault="007F5505">
      <w:pPr>
        <w:widowControl/>
        <w:pBdr>
          <w:top w:val="nil"/>
          <w:left w:val="nil"/>
          <w:bottom w:val="nil"/>
          <w:right w:val="nil"/>
          <w:between w:val="nil"/>
        </w:pBdr>
        <w:spacing w:before="240" w:after="27" w:line="276" w:lineRule="auto"/>
        <w:ind w:left="72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a) Cuando ocurran cambios significativos en las previsiones respecto del crecimiento demográfico; del uso e intensidad de ocupación del suelo; o cuando el empleo de nuevos avances tecnológicos proporcione datos que exijan una revisión o actualización.</w:t>
      </w:r>
    </w:p>
    <w:p w14:paraId="43C3EB83" w14:textId="77777777" w:rsidR="00DC27E8" w:rsidRPr="00B24A80" w:rsidRDefault="007F5505">
      <w:pPr>
        <w:widowControl/>
        <w:pBdr>
          <w:top w:val="nil"/>
          <w:left w:val="nil"/>
          <w:bottom w:val="nil"/>
          <w:right w:val="nil"/>
          <w:between w:val="nil"/>
        </w:pBdr>
        <w:spacing w:before="240" w:after="27" w:line="276" w:lineRule="auto"/>
        <w:ind w:left="72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b) Cuando surja la necesidad o conveniencia de ejecutar proyectos de gran impacto o planes especiales en materia de transporte, infraestructura, equipamiento, servicios urbanos y en general servicios públicos.</w:t>
      </w:r>
    </w:p>
    <w:p w14:paraId="4E2ECB98" w14:textId="77777777" w:rsidR="00DC27E8" w:rsidRPr="00B24A80" w:rsidRDefault="007F5505">
      <w:pPr>
        <w:widowControl/>
        <w:pBdr>
          <w:top w:val="nil"/>
          <w:left w:val="nil"/>
          <w:bottom w:val="nil"/>
          <w:right w:val="nil"/>
          <w:between w:val="nil"/>
        </w:pBdr>
        <w:spacing w:before="240" w:after="27" w:line="276" w:lineRule="auto"/>
        <w:ind w:left="72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c) Cuando por caso fortuito o fuerza mayor se produzcan modificaciones que impliquen la necesidad o la conveniencia de implementar los respectivos ajustes. </w:t>
      </w:r>
    </w:p>
    <w:p w14:paraId="7445593D" w14:textId="49FE1456" w:rsidR="00DC27E8" w:rsidRPr="00B24A80" w:rsidRDefault="007F5505">
      <w:pPr>
        <w:widowControl/>
        <w:pBdr>
          <w:top w:val="nil"/>
          <w:left w:val="nil"/>
          <w:bottom w:val="nil"/>
          <w:right w:val="nil"/>
          <w:between w:val="nil"/>
        </w:pBdr>
        <w:spacing w:before="240" w:line="276" w:lineRule="auto"/>
        <w:ind w:left="72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 xml:space="preserve">d) Por solicitud del </w:t>
      </w:r>
      <w:r w:rsidR="00181BB8" w:rsidRPr="00B24A80">
        <w:rPr>
          <w:rFonts w:asciiTheme="majorHAnsi" w:eastAsia="Calibri" w:hAnsiTheme="majorHAnsi" w:cstheme="majorHAnsi"/>
          <w:color w:val="000000"/>
          <w:sz w:val="22"/>
          <w:szCs w:val="22"/>
        </w:rPr>
        <w:t>Ó</w:t>
      </w:r>
      <w:r w:rsidRPr="00B24A80">
        <w:rPr>
          <w:rFonts w:asciiTheme="majorHAnsi" w:eastAsia="Calibri" w:hAnsiTheme="majorHAnsi" w:cstheme="majorHAnsi"/>
          <w:color w:val="000000"/>
          <w:sz w:val="22"/>
          <w:szCs w:val="22"/>
        </w:rPr>
        <w:t xml:space="preserve">rgano </w:t>
      </w:r>
      <w:r w:rsidR="00181BB8" w:rsidRPr="00B24A80">
        <w:rPr>
          <w:rFonts w:asciiTheme="majorHAnsi" w:eastAsia="Calibri" w:hAnsiTheme="majorHAnsi" w:cstheme="majorHAnsi"/>
          <w:color w:val="000000"/>
          <w:sz w:val="22"/>
          <w:szCs w:val="22"/>
        </w:rPr>
        <w:t>L</w:t>
      </w:r>
      <w:r w:rsidRPr="00B24A80">
        <w:rPr>
          <w:rFonts w:asciiTheme="majorHAnsi" w:eastAsia="Calibri" w:hAnsiTheme="majorHAnsi" w:cstheme="majorHAnsi"/>
          <w:color w:val="000000"/>
          <w:sz w:val="22"/>
          <w:szCs w:val="22"/>
        </w:rPr>
        <w:t>egislativo Municipal.</w:t>
      </w:r>
    </w:p>
    <w:p w14:paraId="1B6167AE" w14:textId="77777777" w:rsidR="00DC27E8" w:rsidRPr="00B24A80" w:rsidRDefault="00DC27E8">
      <w:pPr>
        <w:pBdr>
          <w:top w:val="nil"/>
          <w:left w:val="nil"/>
          <w:bottom w:val="nil"/>
          <w:right w:val="nil"/>
          <w:between w:val="nil"/>
        </w:pBdr>
        <w:spacing w:after="206" w:line="276" w:lineRule="auto"/>
        <w:ind w:right="-100"/>
        <w:rPr>
          <w:rFonts w:asciiTheme="majorHAnsi" w:eastAsia="Calibri" w:hAnsiTheme="majorHAnsi" w:cstheme="majorHAnsi"/>
          <w:color w:val="000000"/>
          <w:sz w:val="22"/>
          <w:szCs w:val="22"/>
        </w:rPr>
      </w:pPr>
    </w:p>
    <w:p w14:paraId="7B179F41" w14:textId="5723FBE1" w:rsidR="00DC27E8" w:rsidRPr="00B24A80" w:rsidRDefault="007F5505" w:rsidP="001B1D36">
      <w:pPr>
        <w:pStyle w:val="Ttulo3"/>
        <w:rPr>
          <w:rFonts w:cstheme="majorHAnsi"/>
          <w:sz w:val="22"/>
          <w:szCs w:val="22"/>
        </w:rPr>
      </w:pPr>
      <w:bookmarkStart w:id="17" w:name="_heading=h.3dy6vkm" w:colFirst="0" w:colLast="0"/>
      <w:bookmarkStart w:id="18" w:name="_Toc65711688"/>
      <w:bookmarkStart w:id="19" w:name="_Toc81085626"/>
      <w:bookmarkStart w:id="20" w:name="_Toc181374065"/>
      <w:bookmarkEnd w:id="17"/>
      <w:r w:rsidRPr="00B24A80">
        <w:rPr>
          <w:rFonts w:cstheme="majorHAnsi"/>
          <w:sz w:val="22"/>
          <w:szCs w:val="22"/>
        </w:rPr>
        <w:t>CAPÍTULO II</w:t>
      </w:r>
      <w:bookmarkEnd w:id="18"/>
      <w:bookmarkEnd w:id="19"/>
      <w:bookmarkEnd w:id="20"/>
    </w:p>
    <w:p w14:paraId="06B13A1B" w14:textId="3BBC710F" w:rsidR="00DC27E8" w:rsidRPr="00B24A80" w:rsidRDefault="007F5505" w:rsidP="001B1D36">
      <w:pPr>
        <w:pStyle w:val="Ttulo4"/>
        <w:rPr>
          <w:rFonts w:cstheme="majorHAnsi"/>
          <w:sz w:val="22"/>
          <w:szCs w:val="22"/>
        </w:rPr>
      </w:pPr>
      <w:bookmarkStart w:id="21" w:name="_heading=h.1t3h5sf" w:colFirst="0" w:colLast="0"/>
      <w:bookmarkStart w:id="22" w:name="_Toc81085627"/>
      <w:bookmarkStart w:id="23" w:name="_Toc181374066"/>
      <w:bookmarkEnd w:id="21"/>
      <w:r w:rsidRPr="00B24A80">
        <w:rPr>
          <w:rFonts w:cstheme="majorHAnsi"/>
          <w:sz w:val="22"/>
          <w:szCs w:val="22"/>
        </w:rPr>
        <w:t>SECCIÓN I</w:t>
      </w:r>
      <w:bookmarkStart w:id="24" w:name="_heading=h.1gzx3wkjikxp" w:colFirst="0" w:colLast="0"/>
      <w:bookmarkEnd w:id="24"/>
      <w:r w:rsidR="00020488" w:rsidRPr="00B24A80">
        <w:rPr>
          <w:rFonts w:cstheme="majorHAnsi"/>
          <w:sz w:val="22"/>
          <w:szCs w:val="22"/>
        </w:rPr>
        <w:br/>
      </w:r>
      <w:r w:rsidRPr="00B24A80">
        <w:rPr>
          <w:rFonts w:cstheme="majorHAnsi"/>
          <w:sz w:val="22"/>
          <w:szCs w:val="22"/>
        </w:rPr>
        <w:t>Efectos y Contenido</w:t>
      </w:r>
      <w:bookmarkEnd w:id="22"/>
      <w:bookmarkEnd w:id="23"/>
    </w:p>
    <w:p w14:paraId="4BB64CBC" w14:textId="42095B5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 Naturaleza y obligatoriedad</w:t>
      </w:r>
      <w:r w:rsidRPr="00B24A80">
        <w:rPr>
          <w:rFonts w:asciiTheme="majorHAnsi" w:eastAsia="Calibri" w:hAnsiTheme="majorHAnsi" w:cstheme="majorHAnsi"/>
          <w:color w:val="000000"/>
          <w:szCs w:val="22"/>
        </w:rPr>
        <w:t xml:space="preserve">. – </w:t>
      </w:r>
      <w:r w:rsidR="00D01697" w:rsidRPr="00B24A80">
        <w:rPr>
          <w:rFonts w:asciiTheme="majorHAnsi" w:eastAsia="Calibri" w:hAnsiTheme="majorHAnsi" w:cstheme="majorHAnsi"/>
          <w:color w:val="000000"/>
          <w:szCs w:val="22"/>
        </w:rPr>
        <w:t xml:space="preserve">El Gobierno Autónomo Descentralizado Municipal del </w:t>
      </w:r>
      <w:r w:rsidR="00CD4F27" w:rsidRPr="00B24A80">
        <w:rPr>
          <w:rFonts w:asciiTheme="majorHAnsi" w:eastAsia="Calibri" w:hAnsiTheme="majorHAnsi" w:cstheme="majorHAnsi"/>
          <w:color w:val="000000"/>
          <w:szCs w:val="22"/>
        </w:rPr>
        <w:t>cantón La Joya de los Sachas</w:t>
      </w:r>
      <w:r w:rsidRPr="00B24A80">
        <w:rPr>
          <w:rFonts w:asciiTheme="majorHAnsi" w:eastAsia="Calibri" w:hAnsiTheme="majorHAnsi" w:cstheme="majorHAnsi"/>
          <w:color w:val="000000"/>
          <w:szCs w:val="22"/>
        </w:rPr>
        <w:t>, al igual que los particulares (</w:t>
      </w:r>
      <w:r w:rsidRPr="00B24A80">
        <w:rPr>
          <w:rFonts w:asciiTheme="majorHAnsi" w:eastAsia="Calibri" w:hAnsiTheme="majorHAnsi" w:cstheme="majorHAnsi"/>
          <w:szCs w:val="22"/>
        </w:rPr>
        <w:t>personas</w:t>
      </w:r>
      <w:r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szCs w:val="22"/>
        </w:rPr>
        <w:t xml:space="preserve">naturales y </w:t>
      </w:r>
      <w:r w:rsidR="00525F1C" w:rsidRPr="00B24A80">
        <w:rPr>
          <w:rFonts w:asciiTheme="majorHAnsi" w:eastAsia="Calibri" w:hAnsiTheme="majorHAnsi" w:cstheme="majorHAnsi"/>
          <w:szCs w:val="22"/>
        </w:rPr>
        <w:t xml:space="preserve">jurídicas) </w:t>
      </w:r>
      <w:r w:rsidR="00525F1C" w:rsidRPr="00B24A80">
        <w:rPr>
          <w:rFonts w:asciiTheme="majorHAnsi" w:eastAsia="Calibri" w:hAnsiTheme="majorHAnsi" w:cstheme="majorHAnsi"/>
          <w:color w:val="000000"/>
          <w:szCs w:val="22"/>
        </w:rPr>
        <w:t>están</w:t>
      </w:r>
      <w:r w:rsidRPr="00B24A80">
        <w:rPr>
          <w:rFonts w:asciiTheme="majorHAnsi" w:eastAsia="Calibri" w:hAnsiTheme="majorHAnsi" w:cstheme="majorHAnsi"/>
          <w:color w:val="000000"/>
          <w:szCs w:val="22"/>
        </w:rPr>
        <w:t xml:space="preserve"> obligadas al cumplimiento de las disposiciones contenidas en esta Ordenanza. Cualquier actuación o intervención urbana o arquitectónica de carácter provisional o definitiva dentro del perímetro urbano de las cabeceras parroquiales y asentamientos humanos en suelo rural sea de iniciativa pública o privada, deberá ajustarse a esta normativa.</w:t>
      </w:r>
    </w:p>
    <w:p w14:paraId="2BAAA01D" w14:textId="48093F0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Criterios de interpretación. -</w:t>
      </w:r>
      <w:r w:rsidRPr="00B24A80">
        <w:rPr>
          <w:rFonts w:asciiTheme="majorHAnsi" w:eastAsia="Calibri" w:hAnsiTheme="majorHAnsi" w:cstheme="majorHAnsi"/>
          <w:color w:val="000000"/>
          <w:szCs w:val="22"/>
        </w:rPr>
        <w:t xml:space="preserve"> Si se dier</w:t>
      </w:r>
      <w:r w:rsidR="00DE5B94" w:rsidRPr="00B24A80">
        <w:rPr>
          <w:rFonts w:asciiTheme="majorHAnsi" w:eastAsia="Calibri" w:hAnsiTheme="majorHAnsi" w:cstheme="majorHAnsi"/>
          <w:color w:val="000000"/>
          <w:szCs w:val="22"/>
        </w:rPr>
        <w:t>e</w:t>
      </w:r>
      <w:r w:rsidRPr="00B24A80">
        <w:rPr>
          <w:rFonts w:asciiTheme="majorHAnsi" w:eastAsia="Calibri" w:hAnsiTheme="majorHAnsi" w:cstheme="majorHAnsi"/>
          <w:color w:val="000000"/>
          <w:szCs w:val="22"/>
        </w:rPr>
        <w:t>n contradicciones gráficas entre planos de diferente relación de proporción, entre las dimensiones reales de un objeto y las del dibujo que lo representa, se acogerá a lo que indiquen los de la escala con mayor definición; si fuesen contradicciones entre mediciones sobre planos y realidad física del área prevalecerán éstas últimas, y si se diesen determinaciones en superficies fijas y en porcentajes o índices de proporcionalidad, prevalecerán estos últimos en su aplicación a la realidad concreta.</w:t>
      </w:r>
    </w:p>
    <w:p w14:paraId="4BCD4DE1" w14:textId="77777777"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En caso de duda, contradicción o imprecisión de las determinaciones prevalecerá la que resulte más favorable a la conservación de las áreas protegidas, menor edificabilidad, mayor dotación de equipamiento comunitario y espacios públicos, mayor grado de protección y conservación del patrimonio cultural y forestal, menor impacto ambiental y paisajístico, mayor beneficio social o colectivo, por la virtud de la función social de la propiedad y sometimiento de </w:t>
      </w:r>
      <w:r w:rsidRPr="00B24A80">
        <w:rPr>
          <w:rFonts w:asciiTheme="majorHAnsi" w:eastAsia="Calibri" w:hAnsiTheme="majorHAnsi" w:cstheme="majorHAnsi"/>
          <w:sz w:val="22"/>
          <w:szCs w:val="22"/>
        </w:rPr>
        <w:t>éstas</w:t>
      </w:r>
      <w:r w:rsidRPr="00B24A80">
        <w:rPr>
          <w:rFonts w:asciiTheme="majorHAnsi" w:eastAsia="Calibri" w:hAnsiTheme="majorHAnsi" w:cstheme="majorHAnsi"/>
          <w:color w:val="000000"/>
          <w:sz w:val="22"/>
          <w:szCs w:val="22"/>
        </w:rPr>
        <w:t xml:space="preserve"> a los intereses públicos.</w:t>
      </w:r>
    </w:p>
    <w:p w14:paraId="1E31864F" w14:textId="3A8FBCE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Contenido. -</w:t>
      </w:r>
      <w:r w:rsidRPr="00B24A80">
        <w:rPr>
          <w:rFonts w:asciiTheme="majorHAnsi" w:eastAsia="Calibri" w:hAnsiTheme="majorHAnsi" w:cstheme="majorHAnsi"/>
          <w:color w:val="000000"/>
          <w:szCs w:val="22"/>
        </w:rPr>
        <w:t xml:space="preserve"> Forman parte integral de la presente Ordenanza, con el carácter de obligatoriedad, los documentos, planos y memorias técnicas, </w:t>
      </w:r>
      <w:r w:rsidR="001C399A" w:rsidRPr="00B24A80">
        <w:rPr>
          <w:rFonts w:asciiTheme="majorHAnsi" w:eastAsia="Calibri" w:hAnsiTheme="majorHAnsi" w:cstheme="majorHAnsi"/>
          <w:color w:val="000000"/>
          <w:szCs w:val="22"/>
        </w:rPr>
        <w:t xml:space="preserve">del expediente del </w:t>
      </w:r>
      <w:r w:rsidR="00D01697" w:rsidRPr="00B24A80">
        <w:rPr>
          <w:rFonts w:asciiTheme="majorHAnsi" w:eastAsia="Calibri" w:hAnsiTheme="majorHAnsi" w:cstheme="majorHAnsi"/>
          <w:color w:val="000000"/>
          <w:szCs w:val="22"/>
        </w:rPr>
        <w:t>PUGS-SACHA</w:t>
      </w:r>
      <w:r w:rsidR="001C399A"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conformando un solo instrumento legal, siendo la presente Ordenanza un cuerpo normativo que complementa las disposiciones gráficas de los Planos y prevalece sobre ellos.</w:t>
      </w:r>
    </w:p>
    <w:p w14:paraId="6CFA48CE" w14:textId="5742BF1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 Ejecución</w:t>
      </w:r>
      <w:r w:rsidRPr="00B24A80">
        <w:rPr>
          <w:rFonts w:asciiTheme="majorHAnsi" w:eastAsia="Calibri" w:hAnsiTheme="majorHAnsi" w:cstheme="majorHAnsi"/>
          <w:color w:val="000000"/>
          <w:szCs w:val="22"/>
        </w:rPr>
        <w:t xml:space="preserve">. - La ejecución de la presente ordenanza es responsabilidad de la </w:t>
      </w:r>
      <w:r w:rsidR="00D01697" w:rsidRPr="00B24A80">
        <w:rPr>
          <w:rFonts w:asciiTheme="majorHAnsi" w:eastAsia="Calibri" w:hAnsiTheme="majorHAnsi" w:cstheme="majorHAnsi"/>
          <w:color w:val="000000"/>
          <w:szCs w:val="22"/>
        </w:rPr>
        <w:t>Dirección de Gestión de Planificación</w:t>
      </w:r>
      <w:r w:rsidR="001C399A" w:rsidRPr="00B24A80">
        <w:rPr>
          <w:rFonts w:asciiTheme="majorHAnsi" w:eastAsia="Calibri" w:hAnsiTheme="majorHAnsi" w:cstheme="majorHAnsi"/>
          <w:color w:val="000000"/>
          <w:szCs w:val="22"/>
        </w:rPr>
        <w:t xml:space="preserve"> del GAD </w:t>
      </w:r>
      <w:r w:rsidR="001A3151" w:rsidRPr="00B24A80">
        <w:rPr>
          <w:rFonts w:asciiTheme="majorHAnsi" w:eastAsia="Calibri" w:hAnsiTheme="majorHAnsi" w:cstheme="majorHAnsi"/>
          <w:color w:val="000000"/>
          <w:szCs w:val="22"/>
        </w:rPr>
        <w:t xml:space="preserve">Municipal del </w:t>
      </w:r>
      <w:r w:rsidR="00CD4F27" w:rsidRPr="00B24A80">
        <w:rPr>
          <w:rFonts w:asciiTheme="majorHAnsi" w:eastAsia="Calibri" w:hAnsiTheme="majorHAnsi" w:cstheme="majorHAnsi"/>
          <w:color w:val="000000"/>
          <w:szCs w:val="22"/>
        </w:rPr>
        <w:t>cantón La Joya de los Sachas</w:t>
      </w:r>
      <w:r w:rsidRPr="00B24A80">
        <w:rPr>
          <w:rFonts w:asciiTheme="majorHAnsi" w:eastAsia="Calibri" w:hAnsiTheme="majorHAnsi" w:cstheme="majorHAnsi"/>
          <w:color w:val="000000"/>
          <w:szCs w:val="22"/>
        </w:rPr>
        <w:t>, qu</w:t>
      </w:r>
      <w:r w:rsidRPr="00B24A80">
        <w:rPr>
          <w:rFonts w:asciiTheme="majorHAnsi" w:eastAsia="Calibri" w:hAnsiTheme="majorHAnsi" w:cstheme="majorHAnsi"/>
          <w:szCs w:val="22"/>
        </w:rPr>
        <w:t>ien</w:t>
      </w:r>
      <w:r w:rsidRPr="00B24A80">
        <w:rPr>
          <w:rFonts w:asciiTheme="majorHAnsi" w:eastAsia="Calibri" w:hAnsiTheme="majorHAnsi" w:cstheme="majorHAnsi"/>
          <w:color w:val="000000"/>
          <w:szCs w:val="22"/>
        </w:rPr>
        <w:t xml:space="preserve"> coordinará con los Departamentos y Unidades pertinentes en los casos que sean necesarios.</w:t>
      </w:r>
    </w:p>
    <w:p w14:paraId="74E0590B" w14:textId="59F7393C" w:rsidR="005A69EF" w:rsidRPr="00B24A80" w:rsidRDefault="005A69EF" w:rsidP="001B1D36">
      <w:pPr>
        <w:pStyle w:val="Ttulo4"/>
        <w:rPr>
          <w:rFonts w:cstheme="majorHAnsi"/>
          <w:sz w:val="22"/>
          <w:szCs w:val="22"/>
        </w:rPr>
      </w:pPr>
      <w:bookmarkStart w:id="25" w:name="_heading=h.44sinio" w:colFirst="0" w:colLast="0"/>
      <w:bookmarkStart w:id="26" w:name="_Toc81085628"/>
      <w:bookmarkStart w:id="27" w:name="_Toc181374067"/>
      <w:bookmarkEnd w:id="25"/>
      <w:r w:rsidRPr="00B24A80">
        <w:rPr>
          <w:rFonts w:cstheme="majorHAnsi"/>
          <w:sz w:val="22"/>
          <w:szCs w:val="22"/>
        </w:rPr>
        <w:t>SECCIÓN II</w:t>
      </w:r>
      <w:bookmarkStart w:id="28" w:name="_heading=h.2iq8gzs" w:colFirst="0" w:colLast="0"/>
      <w:bookmarkStart w:id="29" w:name="_heading=h.2jxsxqh" w:colFirst="0" w:colLast="0"/>
      <w:bookmarkEnd w:id="28"/>
      <w:bookmarkEnd w:id="29"/>
      <w:r w:rsidR="00020488" w:rsidRPr="00B24A80">
        <w:rPr>
          <w:rFonts w:cstheme="majorHAnsi"/>
          <w:sz w:val="22"/>
          <w:szCs w:val="22"/>
        </w:rPr>
        <w:t xml:space="preserve"> </w:t>
      </w:r>
      <w:r w:rsidR="00020488" w:rsidRPr="00B24A80">
        <w:rPr>
          <w:rFonts w:cstheme="majorHAnsi"/>
          <w:sz w:val="22"/>
          <w:szCs w:val="22"/>
        </w:rPr>
        <w:br/>
      </w:r>
      <w:r w:rsidRPr="00B24A80">
        <w:rPr>
          <w:rFonts w:cstheme="majorHAnsi"/>
          <w:sz w:val="22"/>
          <w:szCs w:val="22"/>
        </w:rPr>
        <w:t xml:space="preserve">Políticas de gestión </w:t>
      </w:r>
      <w:r w:rsidR="004107C1" w:rsidRPr="00B24A80">
        <w:rPr>
          <w:rFonts w:cstheme="majorHAnsi"/>
          <w:sz w:val="22"/>
          <w:szCs w:val="22"/>
        </w:rPr>
        <w:t>del Suelo</w:t>
      </w:r>
      <w:bookmarkEnd w:id="26"/>
      <w:bookmarkEnd w:id="27"/>
    </w:p>
    <w:p w14:paraId="66BDBE1A" w14:textId="6C33B874" w:rsidR="005A69E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Administrativas. -</w:t>
      </w:r>
      <w:r w:rsidRPr="00B24A80">
        <w:rPr>
          <w:rFonts w:asciiTheme="majorHAnsi" w:eastAsia="Calibri" w:hAnsiTheme="majorHAnsi" w:cstheme="majorHAnsi"/>
          <w:szCs w:val="22"/>
        </w:rPr>
        <w:t xml:space="preserve"> </w:t>
      </w:r>
      <w:r w:rsidR="001A3151" w:rsidRPr="00B24A80">
        <w:rPr>
          <w:rFonts w:asciiTheme="majorHAnsi" w:eastAsia="Calibri" w:hAnsiTheme="majorHAnsi" w:cstheme="majorHAnsi"/>
          <w:szCs w:val="22"/>
        </w:rPr>
        <w:t>Se busca fortalecer la planificación como un instrumento fundamental para ejercer la coordinación y el control de todas las actividades que se desarrollen en el territorio del cantón La Joya de los Sachas, con el fin de garantizar un crecimiento armónico y ordenado</w:t>
      </w:r>
      <w:r w:rsidRPr="00B24A80">
        <w:rPr>
          <w:rFonts w:asciiTheme="majorHAnsi" w:eastAsia="Calibri" w:hAnsiTheme="majorHAnsi" w:cstheme="majorHAnsi"/>
          <w:szCs w:val="22"/>
        </w:rPr>
        <w:t>.</w:t>
      </w:r>
    </w:p>
    <w:p w14:paraId="17383001" w14:textId="77777777" w:rsidR="00B606EB" w:rsidRPr="00B24A80" w:rsidRDefault="00B606EB" w:rsidP="00B606EB">
      <w:pPr>
        <w:pStyle w:val="Prrafodelista"/>
        <w:widowControl/>
        <w:tabs>
          <w:tab w:val="left" w:pos="851"/>
        </w:tabs>
        <w:spacing w:after="240" w:line="276" w:lineRule="auto"/>
        <w:ind w:left="0" w:right="-100"/>
        <w:rPr>
          <w:rFonts w:asciiTheme="majorHAnsi" w:eastAsia="Calibri" w:hAnsiTheme="majorHAnsi" w:cstheme="majorHAnsi"/>
          <w:szCs w:val="22"/>
        </w:rPr>
      </w:pPr>
    </w:p>
    <w:p w14:paraId="1832E3C8" w14:textId="57225E8C" w:rsidR="005A69E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Del uso del suelo. -</w:t>
      </w:r>
      <w:r w:rsidRPr="00B24A80">
        <w:rPr>
          <w:rFonts w:asciiTheme="majorHAnsi" w:eastAsia="Calibri" w:hAnsiTheme="majorHAnsi" w:cstheme="majorHAnsi"/>
          <w:szCs w:val="22"/>
        </w:rPr>
        <w:t xml:space="preserve"> </w:t>
      </w:r>
      <w:r w:rsidR="00725FF4" w:rsidRPr="00B24A80">
        <w:rPr>
          <w:rFonts w:asciiTheme="majorHAnsi" w:eastAsia="Calibri" w:hAnsiTheme="majorHAnsi" w:cstheme="majorHAnsi"/>
          <w:szCs w:val="22"/>
        </w:rPr>
        <w:t>Se establecerán las acciones necesarias para que el uso del suelo se ajuste a las normas de desarrollo físico del territorio, promoviendo una mejora continua en la calidad de vida de los habitantes y alineándose con la conservación y protección ambiental</w:t>
      </w:r>
      <w:r w:rsidRPr="00B24A80">
        <w:rPr>
          <w:rFonts w:asciiTheme="majorHAnsi" w:eastAsia="Calibri" w:hAnsiTheme="majorHAnsi" w:cstheme="majorHAnsi"/>
          <w:szCs w:val="22"/>
        </w:rPr>
        <w:t>, considerando lo siguiente:</w:t>
      </w:r>
    </w:p>
    <w:p w14:paraId="73593E8E" w14:textId="77777777" w:rsidR="005A69EF" w:rsidRPr="00B24A80" w:rsidRDefault="005A69EF" w:rsidP="009F132D">
      <w:pPr>
        <w:numPr>
          <w:ilvl w:val="0"/>
          <w:numId w:val="26"/>
        </w:numPr>
        <w:tabs>
          <w:tab w:val="left" w:pos="362"/>
        </w:tabs>
        <w:spacing w:line="360"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Densificar el área urbana existente (consolidada y en consolidación)</w:t>
      </w:r>
    </w:p>
    <w:p w14:paraId="41C1B1B1" w14:textId="77777777" w:rsidR="005A69EF" w:rsidRPr="00B24A80" w:rsidRDefault="005A69EF" w:rsidP="009F132D">
      <w:pPr>
        <w:numPr>
          <w:ilvl w:val="0"/>
          <w:numId w:val="26"/>
        </w:numPr>
        <w:tabs>
          <w:tab w:val="left" w:pos="362"/>
        </w:tabs>
        <w:spacing w:line="360"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Recuperar y ordenar el espacio público para el uso y disfrute colectivo, y adecuarlo para las personas con capacidades especiales;</w:t>
      </w:r>
    </w:p>
    <w:p w14:paraId="3ECAA08D" w14:textId="77777777" w:rsidR="005A69EF" w:rsidRPr="00B24A80" w:rsidRDefault="005A69EF" w:rsidP="009F132D">
      <w:pPr>
        <w:numPr>
          <w:ilvl w:val="0"/>
          <w:numId w:val="26"/>
        </w:numPr>
        <w:tabs>
          <w:tab w:val="left" w:pos="362"/>
        </w:tabs>
        <w:spacing w:line="360"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Delimitar áreas de protección ambiental, paisajística y riesgo.</w:t>
      </w:r>
    </w:p>
    <w:p w14:paraId="536377B0" w14:textId="68864EF2" w:rsidR="00B606EB" w:rsidRPr="00CC0863" w:rsidRDefault="005A69EF" w:rsidP="00D777DC">
      <w:pPr>
        <w:pStyle w:val="Prrafodelista"/>
        <w:widowControl/>
        <w:numPr>
          <w:ilvl w:val="0"/>
          <w:numId w:val="114"/>
        </w:numPr>
        <w:tabs>
          <w:tab w:val="left" w:pos="851"/>
        </w:tabs>
        <w:spacing w:after="240" w:line="276" w:lineRule="auto"/>
        <w:ind w:right="-100"/>
        <w:rPr>
          <w:rFonts w:asciiTheme="majorHAnsi" w:eastAsia="Calibri" w:hAnsiTheme="majorHAnsi" w:cstheme="majorHAnsi"/>
          <w:szCs w:val="22"/>
        </w:rPr>
      </w:pPr>
      <w:r w:rsidRPr="00CC0863">
        <w:rPr>
          <w:rFonts w:asciiTheme="majorHAnsi" w:eastAsia="Calibri" w:hAnsiTheme="majorHAnsi" w:cstheme="majorHAnsi"/>
          <w:b/>
          <w:szCs w:val="22"/>
        </w:rPr>
        <w:t>Servicios públicos</w:t>
      </w:r>
      <w:r w:rsidRPr="00CC0863">
        <w:rPr>
          <w:rFonts w:asciiTheme="majorHAnsi" w:eastAsia="Calibri" w:hAnsiTheme="majorHAnsi" w:cstheme="majorHAnsi"/>
          <w:szCs w:val="22"/>
        </w:rPr>
        <w:t xml:space="preserve"> - </w:t>
      </w:r>
      <w:r w:rsidR="00D777DC" w:rsidRPr="00CC0863">
        <w:rPr>
          <w:rFonts w:asciiTheme="majorHAnsi" w:eastAsia="Calibri" w:hAnsiTheme="majorHAnsi" w:cstheme="majorHAnsi"/>
          <w:szCs w:val="22"/>
        </w:rPr>
        <w:t xml:space="preserve">Refiere al conjunto de decisiones y acciones que el Gobierno Autónomo Descentralizado Municipal del cantón La Joya de los Sachas </w:t>
      </w:r>
      <w:r w:rsidR="00FF2467" w:rsidRPr="00CC0863">
        <w:rPr>
          <w:rFonts w:asciiTheme="majorHAnsi" w:eastAsia="Calibri" w:hAnsiTheme="majorHAnsi" w:cstheme="majorHAnsi"/>
          <w:szCs w:val="22"/>
        </w:rPr>
        <w:t>implementará</w:t>
      </w:r>
      <w:r w:rsidR="00D777DC" w:rsidRPr="00CC0863">
        <w:rPr>
          <w:rFonts w:asciiTheme="majorHAnsi" w:eastAsia="Calibri" w:hAnsiTheme="majorHAnsi" w:cstheme="majorHAnsi"/>
          <w:szCs w:val="22"/>
        </w:rPr>
        <w:t xml:space="preserve"> para garantizar el acceso y la provisión de servicios esenciales como agua potable</w:t>
      </w:r>
      <w:r w:rsidR="00204EC6" w:rsidRPr="00CC0863">
        <w:rPr>
          <w:rFonts w:asciiTheme="majorHAnsi" w:eastAsia="Calibri" w:hAnsiTheme="majorHAnsi" w:cstheme="majorHAnsi"/>
          <w:szCs w:val="22"/>
        </w:rPr>
        <w:t xml:space="preserve">, </w:t>
      </w:r>
      <w:r w:rsidR="00CC0863" w:rsidRPr="00CC0863">
        <w:rPr>
          <w:rFonts w:asciiTheme="majorHAnsi" w:eastAsia="Calibri" w:hAnsiTheme="majorHAnsi" w:cstheme="majorHAnsi"/>
          <w:szCs w:val="22"/>
        </w:rPr>
        <w:t>alcantarillado, saneamiento</w:t>
      </w:r>
      <w:r w:rsidR="00D777DC" w:rsidRPr="00CC0863">
        <w:rPr>
          <w:rFonts w:asciiTheme="majorHAnsi" w:eastAsia="Calibri" w:hAnsiTheme="majorHAnsi" w:cstheme="majorHAnsi"/>
          <w:szCs w:val="22"/>
        </w:rPr>
        <w:t xml:space="preserve">, </w:t>
      </w:r>
      <w:r w:rsidR="00204EC6" w:rsidRPr="00CC0863">
        <w:rPr>
          <w:rFonts w:asciiTheme="majorHAnsi" w:eastAsia="Calibri" w:hAnsiTheme="majorHAnsi" w:cstheme="majorHAnsi"/>
          <w:szCs w:val="22"/>
        </w:rPr>
        <w:t xml:space="preserve">y otras que son </w:t>
      </w:r>
      <w:r w:rsidR="006E6405" w:rsidRPr="00CC0863">
        <w:rPr>
          <w:rFonts w:asciiTheme="majorHAnsi" w:eastAsia="Calibri" w:hAnsiTheme="majorHAnsi" w:cstheme="majorHAnsi"/>
          <w:szCs w:val="22"/>
        </w:rPr>
        <w:t xml:space="preserve">de competencia </w:t>
      </w:r>
      <w:r w:rsidR="00CD6428" w:rsidRPr="00CC0863">
        <w:rPr>
          <w:rFonts w:asciiTheme="majorHAnsi" w:eastAsia="Calibri" w:hAnsiTheme="majorHAnsi" w:cstheme="majorHAnsi"/>
          <w:szCs w:val="22"/>
        </w:rPr>
        <w:t>de este nivel de Gobierno</w:t>
      </w:r>
      <w:r w:rsidR="00D777DC" w:rsidRPr="00CC0863">
        <w:rPr>
          <w:rFonts w:asciiTheme="majorHAnsi" w:eastAsia="Calibri" w:hAnsiTheme="majorHAnsi" w:cstheme="majorHAnsi"/>
          <w:szCs w:val="22"/>
        </w:rPr>
        <w:t>. Estas políticas están orientadas a asegurar que estos servicios, fundamentales para el bienestar de la población y el desarrollo económico, estén disponibles de manera eficiente, equitativa y sostenible.</w:t>
      </w:r>
    </w:p>
    <w:p w14:paraId="18E5EF81" w14:textId="77777777" w:rsidR="006E6405" w:rsidRPr="006E6405" w:rsidRDefault="006E6405" w:rsidP="006E6405">
      <w:pPr>
        <w:widowControl/>
        <w:tabs>
          <w:tab w:val="left" w:pos="851"/>
        </w:tabs>
        <w:spacing w:after="240" w:line="276" w:lineRule="auto"/>
        <w:ind w:right="-100"/>
        <w:rPr>
          <w:rFonts w:asciiTheme="majorHAnsi" w:eastAsia="Calibri" w:hAnsiTheme="majorHAnsi" w:cstheme="majorHAnsi"/>
          <w:szCs w:val="22"/>
        </w:rPr>
      </w:pPr>
    </w:p>
    <w:p w14:paraId="21FE1B51" w14:textId="7661F05A" w:rsidR="005A69E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Ambientales</w:t>
      </w:r>
      <w:r w:rsidRPr="00B24A80">
        <w:rPr>
          <w:rFonts w:asciiTheme="majorHAnsi" w:eastAsia="Calibri" w:hAnsiTheme="majorHAnsi" w:cstheme="majorHAnsi"/>
          <w:szCs w:val="22"/>
        </w:rPr>
        <w:t xml:space="preserve">. </w:t>
      </w:r>
      <w:r w:rsidR="00B606EB" w:rsidRPr="00B24A80">
        <w:rPr>
          <w:rFonts w:asciiTheme="majorHAnsi" w:eastAsia="Calibri" w:hAnsiTheme="majorHAnsi" w:cstheme="majorHAnsi"/>
          <w:szCs w:val="22"/>
        </w:rPr>
        <w:t>–</w:t>
      </w:r>
      <w:r w:rsidRPr="00B24A80">
        <w:rPr>
          <w:rFonts w:asciiTheme="majorHAnsi" w:eastAsia="Calibri" w:hAnsiTheme="majorHAnsi" w:cstheme="majorHAnsi"/>
          <w:szCs w:val="22"/>
        </w:rPr>
        <w:t xml:space="preserve"> </w:t>
      </w:r>
      <w:r w:rsidR="00B606EB" w:rsidRPr="00B24A80">
        <w:rPr>
          <w:rFonts w:asciiTheme="majorHAnsi" w:eastAsia="Calibri" w:hAnsiTheme="majorHAnsi" w:cstheme="majorHAnsi"/>
          <w:szCs w:val="22"/>
        </w:rPr>
        <w:t>Se implementarán y coordinarán acciones destinadas a la preservación, protección y recuperación de los recursos naturales, tales como el agua, el suelo, el aire y el paisaje. Estas acciones se ejecutarán en colaboración con las entidades competentes y con la participación activa de la comunidad, garantizando una gestión integral y sostenible del medio ambiente.</w:t>
      </w:r>
    </w:p>
    <w:p w14:paraId="264EA495" w14:textId="79DB34DE" w:rsidR="00B606EB" w:rsidRPr="00B24A80" w:rsidRDefault="00B606EB" w:rsidP="00B606EB">
      <w:pPr>
        <w:pStyle w:val="Prrafodelista"/>
        <w:widowControl/>
        <w:tabs>
          <w:tab w:val="left" w:pos="851"/>
        </w:tabs>
        <w:spacing w:after="240" w:line="276" w:lineRule="auto"/>
        <w:ind w:left="0" w:right="-100"/>
        <w:rPr>
          <w:rFonts w:asciiTheme="majorHAnsi" w:eastAsia="Calibri" w:hAnsiTheme="majorHAnsi" w:cstheme="majorHAnsi"/>
          <w:szCs w:val="22"/>
        </w:rPr>
      </w:pPr>
    </w:p>
    <w:p w14:paraId="49732E59" w14:textId="7EF4936D" w:rsidR="00B606EB"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Vivienda -</w:t>
      </w:r>
      <w:r w:rsidRPr="00B24A80">
        <w:rPr>
          <w:rFonts w:asciiTheme="majorHAnsi" w:eastAsia="Calibri" w:hAnsiTheme="majorHAnsi" w:cstheme="majorHAnsi"/>
          <w:szCs w:val="22"/>
        </w:rPr>
        <w:t xml:space="preserve"> </w:t>
      </w:r>
      <w:r w:rsidR="00725FF4" w:rsidRPr="00B24A80">
        <w:rPr>
          <w:rFonts w:asciiTheme="majorHAnsi" w:eastAsia="Calibri" w:hAnsiTheme="majorHAnsi" w:cstheme="majorHAnsi"/>
          <w:szCs w:val="22"/>
        </w:rPr>
        <w:t xml:space="preserve">Se coordinarán acciones para promover e incentivar la ejecución de nuevos programas de vivienda y el mejoramiento de las viviendas existentes. </w:t>
      </w:r>
      <w:r w:rsidRPr="00B24A80">
        <w:rPr>
          <w:rFonts w:asciiTheme="majorHAnsi" w:eastAsia="Calibri" w:hAnsiTheme="majorHAnsi" w:cstheme="majorHAnsi"/>
          <w:szCs w:val="22"/>
        </w:rPr>
        <w:t>(con apoyo estatal).</w:t>
      </w:r>
    </w:p>
    <w:p w14:paraId="07C8A859" w14:textId="491E71B5" w:rsidR="00B606EB" w:rsidRPr="00B24A80" w:rsidRDefault="00B606EB" w:rsidP="00B606EB">
      <w:pPr>
        <w:pStyle w:val="Prrafodelista"/>
        <w:widowControl/>
        <w:tabs>
          <w:tab w:val="left" w:pos="851"/>
        </w:tabs>
        <w:spacing w:after="240" w:line="276" w:lineRule="auto"/>
        <w:ind w:left="0" w:right="-100"/>
        <w:rPr>
          <w:rFonts w:asciiTheme="majorHAnsi" w:eastAsia="Calibri" w:hAnsiTheme="majorHAnsi" w:cstheme="majorHAnsi"/>
          <w:szCs w:val="22"/>
        </w:rPr>
      </w:pPr>
    </w:p>
    <w:p w14:paraId="6C1C18BD" w14:textId="3A7B6A00" w:rsidR="00B606EB"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 Equipamiento comunitario. -</w:t>
      </w:r>
      <w:r w:rsidRPr="00B24A80">
        <w:rPr>
          <w:rFonts w:asciiTheme="majorHAnsi" w:eastAsia="Calibri" w:hAnsiTheme="majorHAnsi" w:cstheme="majorHAnsi"/>
          <w:szCs w:val="22"/>
        </w:rPr>
        <w:t xml:space="preserve"> </w:t>
      </w:r>
      <w:r w:rsidR="00725FF4" w:rsidRPr="00B24A80">
        <w:rPr>
          <w:rFonts w:asciiTheme="majorHAnsi" w:eastAsia="Calibri" w:hAnsiTheme="majorHAnsi" w:cstheme="majorHAnsi"/>
          <w:szCs w:val="22"/>
        </w:rPr>
        <w:t>Se trabajará para alcanzar una cobertura de calidad mediante la adecuación, dotación y construcción de equipamientos, complementados con mobiliario urbano adecuado</w:t>
      </w:r>
      <w:r w:rsidR="00FF2467" w:rsidRPr="00B24A80">
        <w:rPr>
          <w:rFonts w:asciiTheme="majorHAnsi" w:eastAsia="Calibri" w:hAnsiTheme="majorHAnsi" w:cstheme="majorHAnsi"/>
          <w:szCs w:val="22"/>
        </w:rPr>
        <w:t xml:space="preserve"> en el territorio del Cantón.</w:t>
      </w:r>
    </w:p>
    <w:p w14:paraId="3ECC2E56" w14:textId="77777777" w:rsidR="00B606EB" w:rsidRPr="00B24A80" w:rsidRDefault="00B606EB" w:rsidP="00B606EB">
      <w:pPr>
        <w:pStyle w:val="Prrafodelista"/>
        <w:rPr>
          <w:rFonts w:asciiTheme="majorHAnsi" w:eastAsia="Calibri" w:hAnsiTheme="majorHAnsi" w:cstheme="majorHAnsi"/>
          <w:b/>
          <w:szCs w:val="22"/>
        </w:rPr>
      </w:pPr>
    </w:p>
    <w:p w14:paraId="277B0D47" w14:textId="6D1F84E7" w:rsidR="00F5531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Deporte y recreación. </w:t>
      </w:r>
      <w:r w:rsidR="00725FF4" w:rsidRPr="00B24A80">
        <w:rPr>
          <w:rFonts w:asciiTheme="majorHAnsi" w:eastAsia="Calibri" w:hAnsiTheme="majorHAnsi" w:cstheme="majorHAnsi"/>
          <w:szCs w:val="22"/>
        </w:rPr>
        <w:t>Se adecuará y optimizará el uso racional e intensivo de los escenarios deportivos y recreativos existentes, asegurando su máximo aprovechamiento y funcionalidad para la comunidad.</w:t>
      </w:r>
    </w:p>
    <w:p w14:paraId="6D3A7126" w14:textId="2524D02A"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szCs w:val="22"/>
        </w:rPr>
      </w:pPr>
    </w:p>
    <w:p w14:paraId="468B7CF0" w14:textId="79FE82B9" w:rsidR="005A69E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Vialidad y transporte. -</w:t>
      </w:r>
      <w:r w:rsidRPr="00B24A80">
        <w:rPr>
          <w:rFonts w:asciiTheme="majorHAnsi" w:eastAsia="Calibri" w:hAnsiTheme="majorHAnsi" w:cstheme="majorHAnsi"/>
          <w:szCs w:val="22"/>
        </w:rPr>
        <w:t xml:space="preserve"> </w:t>
      </w:r>
      <w:r w:rsidR="00725FF4" w:rsidRPr="00B24A80">
        <w:rPr>
          <w:rFonts w:asciiTheme="majorHAnsi" w:eastAsia="Calibri" w:hAnsiTheme="majorHAnsi" w:cstheme="majorHAnsi"/>
          <w:szCs w:val="22"/>
        </w:rPr>
        <w:t>Guiar y llevar a cabo acciones para establecer un sistema de transporte terrestre eficiente que garantice una movilidad accesible</w:t>
      </w:r>
      <w:r w:rsidR="00631A2F">
        <w:rPr>
          <w:rFonts w:asciiTheme="majorHAnsi" w:eastAsia="Calibri" w:hAnsiTheme="majorHAnsi" w:cstheme="majorHAnsi"/>
          <w:szCs w:val="22"/>
        </w:rPr>
        <w:t xml:space="preserve">, </w:t>
      </w:r>
      <w:r w:rsidR="00631A2F" w:rsidRPr="00CC0863">
        <w:rPr>
          <w:rFonts w:asciiTheme="majorHAnsi" w:eastAsia="Calibri" w:hAnsiTheme="majorHAnsi" w:cstheme="majorHAnsi"/>
          <w:szCs w:val="22"/>
        </w:rPr>
        <w:t>inclusiva</w:t>
      </w:r>
      <w:r w:rsidR="00725FF4" w:rsidRPr="00B24A80">
        <w:rPr>
          <w:rFonts w:asciiTheme="majorHAnsi" w:eastAsia="Calibri" w:hAnsiTheme="majorHAnsi" w:cstheme="majorHAnsi"/>
          <w:szCs w:val="22"/>
        </w:rPr>
        <w:t>, ordenada y segura para las personas</w:t>
      </w:r>
      <w:r w:rsidR="00CC0863">
        <w:rPr>
          <w:rFonts w:asciiTheme="majorHAnsi" w:eastAsia="Calibri" w:hAnsiTheme="majorHAnsi" w:cstheme="majorHAnsi"/>
          <w:szCs w:val="22"/>
        </w:rPr>
        <w:t xml:space="preserve">. </w:t>
      </w:r>
      <w:r w:rsidR="00725FF4" w:rsidRPr="00B24A80">
        <w:rPr>
          <w:rFonts w:asciiTheme="majorHAnsi" w:eastAsia="Calibri" w:hAnsiTheme="majorHAnsi" w:cstheme="majorHAnsi"/>
          <w:szCs w:val="22"/>
        </w:rPr>
        <w:t>Además, se habilitarán y desarrollarán ejes peatonales y ciclo vías, integrando un enfoque ambiental y paisajístico.</w:t>
      </w:r>
    </w:p>
    <w:p w14:paraId="2E6A8ABA" w14:textId="2E415F6F"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szCs w:val="22"/>
        </w:rPr>
      </w:pPr>
    </w:p>
    <w:p w14:paraId="54CACE33" w14:textId="734B2DA0" w:rsidR="005A69E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bookmarkStart w:id="30" w:name="_heading=h.z337ya" w:colFirst="0" w:colLast="0"/>
      <w:bookmarkEnd w:id="30"/>
      <w:r w:rsidRPr="00B24A80">
        <w:rPr>
          <w:rFonts w:asciiTheme="majorHAnsi" w:eastAsia="Calibri" w:hAnsiTheme="majorHAnsi" w:cstheme="majorHAnsi"/>
          <w:b/>
          <w:szCs w:val="22"/>
        </w:rPr>
        <w:t xml:space="preserve">Centros poblados. </w:t>
      </w:r>
      <w:r w:rsidR="00772E50" w:rsidRPr="00B24A80">
        <w:rPr>
          <w:rFonts w:asciiTheme="majorHAnsi" w:eastAsia="Calibri" w:hAnsiTheme="majorHAnsi" w:cstheme="majorHAnsi"/>
          <w:b/>
          <w:szCs w:val="22"/>
        </w:rPr>
        <w:t>–</w:t>
      </w:r>
      <w:r w:rsidRPr="00B24A80">
        <w:rPr>
          <w:rFonts w:asciiTheme="majorHAnsi" w:eastAsia="Calibri" w:hAnsiTheme="majorHAnsi" w:cstheme="majorHAnsi"/>
          <w:szCs w:val="22"/>
        </w:rPr>
        <w:t xml:space="preserve"> </w:t>
      </w:r>
      <w:r w:rsidR="00772E50" w:rsidRPr="00B24A80">
        <w:rPr>
          <w:rFonts w:asciiTheme="majorHAnsi" w:eastAsia="Calibri" w:hAnsiTheme="majorHAnsi" w:cstheme="majorHAnsi"/>
          <w:szCs w:val="22"/>
        </w:rPr>
        <w:t xml:space="preserve">Desarrollar un marco normativo y operativo que regule la planificación y gestión de asentamientos humanos en zonas rurales, promoviendo una </w:t>
      </w:r>
      <w:r w:rsidR="00772E50" w:rsidRPr="00B24A80">
        <w:rPr>
          <w:rFonts w:asciiTheme="majorHAnsi" w:eastAsia="Calibri" w:hAnsiTheme="majorHAnsi" w:cstheme="majorHAnsi"/>
          <w:szCs w:val="22"/>
        </w:rPr>
        <w:lastRenderedPageBreak/>
        <w:t>integración eficiente con áreas urbanas y garantizando el acceso equitativo a servicios públicos de calidad. Se busca generar territorios sostenibles, inclusivos y resilientes, que fortalezcan la interacción entre lo urbano y lo rural, al tiempo que protejan los recursos naturales</w:t>
      </w:r>
      <w:r w:rsidRPr="00B24A80">
        <w:rPr>
          <w:rFonts w:asciiTheme="majorHAnsi" w:eastAsia="Calibri" w:hAnsiTheme="majorHAnsi" w:cstheme="majorHAnsi"/>
          <w:szCs w:val="22"/>
        </w:rPr>
        <w:t>.</w:t>
      </w:r>
    </w:p>
    <w:p w14:paraId="462295D5" w14:textId="1A2DCD40"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szCs w:val="22"/>
        </w:rPr>
      </w:pPr>
    </w:p>
    <w:p w14:paraId="03555FFC" w14:textId="5A29EE1F" w:rsidR="005A69EF" w:rsidRPr="00B24A80" w:rsidRDefault="005A69E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Zonas </w:t>
      </w:r>
      <w:r w:rsidR="00A35002">
        <w:rPr>
          <w:rFonts w:asciiTheme="majorHAnsi" w:eastAsia="Calibri" w:hAnsiTheme="majorHAnsi" w:cstheme="majorHAnsi"/>
          <w:b/>
          <w:szCs w:val="22"/>
        </w:rPr>
        <w:t>rural</w:t>
      </w:r>
      <w:r w:rsidRPr="00B24A80">
        <w:rPr>
          <w:rFonts w:asciiTheme="majorHAnsi" w:eastAsia="Calibri" w:hAnsiTheme="majorHAnsi" w:cstheme="majorHAnsi"/>
          <w:b/>
          <w:szCs w:val="22"/>
        </w:rPr>
        <w:t>s</w:t>
      </w:r>
      <w:r w:rsidR="009B06E5" w:rsidRPr="00B24A80">
        <w:rPr>
          <w:rFonts w:asciiTheme="majorHAnsi" w:eastAsia="Calibri" w:hAnsiTheme="majorHAnsi" w:cstheme="majorHAnsi"/>
          <w:b/>
          <w:szCs w:val="22"/>
        </w:rPr>
        <w:t>, Zonas de protección, ZEDE</w:t>
      </w:r>
      <w:r w:rsidRPr="00B24A80">
        <w:rPr>
          <w:rFonts w:asciiTheme="majorHAnsi" w:eastAsia="Calibri" w:hAnsiTheme="majorHAnsi" w:cstheme="majorHAnsi"/>
          <w:b/>
          <w:szCs w:val="22"/>
        </w:rPr>
        <w:t>. -</w:t>
      </w:r>
      <w:r w:rsidRPr="00B24A80">
        <w:rPr>
          <w:rFonts w:asciiTheme="majorHAnsi" w:eastAsia="Calibri" w:hAnsiTheme="majorHAnsi" w:cstheme="majorHAnsi"/>
          <w:szCs w:val="22"/>
        </w:rPr>
        <w:t xml:space="preserve"> </w:t>
      </w:r>
      <w:r w:rsidR="009B06E5" w:rsidRPr="00B24A80">
        <w:rPr>
          <w:rFonts w:asciiTheme="majorHAnsi" w:eastAsia="Calibri" w:hAnsiTheme="majorHAnsi" w:cstheme="majorHAnsi"/>
          <w:szCs w:val="22"/>
        </w:rPr>
        <w:t xml:space="preserve">Determinar zonas </w:t>
      </w:r>
      <w:r w:rsidR="00A35002">
        <w:rPr>
          <w:rFonts w:asciiTheme="majorHAnsi" w:eastAsia="Calibri" w:hAnsiTheme="majorHAnsi" w:cstheme="majorHAnsi"/>
          <w:szCs w:val="22"/>
        </w:rPr>
        <w:t>rural</w:t>
      </w:r>
      <w:r w:rsidR="009B06E5" w:rsidRPr="00B24A80">
        <w:rPr>
          <w:rFonts w:asciiTheme="majorHAnsi" w:eastAsia="Calibri" w:hAnsiTheme="majorHAnsi" w:cstheme="majorHAnsi"/>
          <w:szCs w:val="22"/>
        </w:rPr>
        <w:t>s homogéneas, áreas de protección ambiental, Zonas Especiales de Desarrollo Económico, patrimonio paisajístico y zonas de riesgo, en coordinación con el MAGAP, MAATE , SNGR, MPCEIP, Gobiernos Parroquiales Rurales, comunas y comunidades</w:t>
      </w:r>
      <w:r w:rsidRPr="00B24A80">
        <w:rPr>
          <w:rFonts w:asciiTheme="majorHAnsi" w:eastAsia="Calibri" w:hAnsiTheme="majorHAnsi" w:cstheme="majorHAnsi"/>
          <w:szCs w:val="22"/>
        </w:rPr>
        <w:t>.</w:t>
      </w:r>
    </w:p>
    <w:p w14:paraId="2688E505" w14:textId="08C7BD65"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szCs w:val="22"/>
        </w:rPr>
      </w:pPr>
    </w:p>
    <w:p w14:paraId="192E7148" w14:textId="1378EB6A" w:rsidR="00B13113" w:rsidRPr="00B13113" w:rsidRDefault="005A69EF" w:rsidP="00B13113">
      <w:pPr>
        <w:pStyle w:val="Prrafodelista"/>
        <w:widowControl/>
        <w:numPr>
          <w:ilvl w:val="0"/>
          <w:numId w:val="114"/>
        </w:numPr>
        <w:tabs>
          <w:tab w:val="left" w:pos="851"/>
        </w:tabs>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b/>
          <w:szCs w:val="22"/>
        </w:rPr>
        <w:t>Reglamentación. -</w:t>
      </w:r>
      <w:r w:rsidRPr="00B24A80">
        <w:rPr>
          <w:rFonts w:asciiTheme="majorHAnsi" w:eastAsia="Calibri" w:hAnsiTheme="majorHAnsi" w:cstheme="majorHAnsi"/>
          <w:szCs w:val="22"/>
        </w:rPr>
        <w:t xml:space="preserve"> </w:t>
      </w:r>
      <w:r w:rsidR="00B13113" w:rsidRPr="00B13113">
        <w:rPr>
          <w:rFonts w:asciiTheme="majorHAnsi" w:eastAsia="Calibri" w:hAnsiTheme="majorHAnsi" w:cstheme="majorHAnsi"/>
          <w:szCs w:val="22"/>
        </w:rPr>
        <w:t>Se incorporarán los centros poblados del área rural del cantón al sistema de planificación mediante la implementación de reglamentos detallados y específicos sobre los usos del suelo. Estos reglamentos incluirán disposiciones para definir actividades principales, complementarias y compatibles, con especial atención a las zonas de riesgo y áreas de protección ambiental</w:t>
      </w:r>
      <w:r w:rsidR="00B13113">
        <w:rPr>
          <w:rFonts w:asciiTheme="majorHAnsi" w:eastAsia="Calibri" w:hAnsiTheme="majorHAnsi" w:cstheme="majorHAnsi"/>
          <w:szCs w:val="22"/>
        </w:rPr>
        <w:t>.</w:t>
      </w:r>
      <w:r w:rsidR="00B13113" w:rsidRPr="00B13113">
        <w:rPr>
          <w:rFonts w:asciiTheme="majorHAnsi" w:eastAsia="Calibri" w:hAnsiTheme="majorHAnsi" w:cstheme="majorHAnsi"/>
          <w:szCs w:val="22"/>
        </w:rPr>
        <w:t xml:space="preserve"> Para garantizar la adecuada regulación en el ordenamiento territorial, se deberá exigir como requisito mínimo la obtención del Informe Predial de Regulación y Uso de Suelo</w:t>
      </w:r>
      <w:r w:rsidR="00B13113">
        <w:rPr>
          <w:rFonts w:asciiTheme="majorHAnsi" w:eastAsia="Calibri" w:hAnsiTheme="majorHAnsi" w:cstheme="majorHAnsi"/>
          <w:szCs w:val="22"/>
        </w:rPr>
        <w:t xml:space="preserve"> –IPRUS.</w:t>
      </w:r>
    </w:p>
    <w:p w14:paraId="0D66B4F0" w14:textId="21301FB7" w:rsidR="00DC27E8" w:rsidRPr="00B24A80" w:rsidRDefault="004107C1" w:rsidP="00020488">
      <w:pPr>
        <w:pStyle w:val="Ttulo3"/>
        <w:rPr>
          <w:rFonts w:cstheme="majorHAnsi"/>
          <w:sz w:val="22"/>
          <w:szCs w:val="22"/>
        </w:rPr>
      </w:pPr>
      <w:bookmarkStart w:id="31" w:name="_heading=h.4d34og8" w:colFirst="0" w:colLast="0"/>
      <w:bookmarkStart w:id="32" w:name="_Toc65711689"/>
      <w:bookmarkStart w:id="33" w:name="_Toc81085629"/>
      <w:bookmarkStart w:id="34" w:name="_Toc181374068"/>
      <w:bookmarkEnd w:id="31"/>
      <w:r w:rsidRPr="00B24A80">
        <w:rPr>
          <w:rFonts w:cstheme="majorHAnsi"/>
          <w:sz w:val="22"/>
          <w:szCs w:val="22"/>
        </w:rPr>
        <w:t>CAPÍTULO III</w:t>
      </w:r>
      <w:r w:rsidR="007F5505" w:rsidRPr="00B24A80">
        <w:rPr>
          <w:rFonts w:cstheme="majorHAnsi"/>
          <w:sz w:val="22"/>
          <w:szCs w:val="22"/>
        </w:rPr>
        <w:br/>
        <w:t>Instrumentos de Planificación</w:t>
      </w:r>
      <w:bookmarkEnd w:id="32"/>
      <w:bookmarkEnd w:id="33"/>
      <w:bookmarkEnd w:id="34"/>
    </w:p>
    <w:p w14:paraId="3838097E" w14:textId="33E9E33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Plan de Desarrollo y Ordenamiento Territorial</w:t>
      </w:r>
      <w:r w:rsidRPr="00B24A80">
        <w:rPr>
          <w:rFonts w:asciiTheme="majorHAnsi" w:eastAsia="Calibri" w:hAnsiTheme="majorHAnsi" w:cstheme="majorHAnsi"/>
          <w:b/>
          <w:color w:val="000000"/>
          <w:szCs w:val="22"/>
        </w:rPr>
        <w:t xml:space="preserve">. - </w:t>
      </w:r>
      <w:r w:rsidR="000F300C" w:rsidRPr="00B24A80">
        <w:rPr>
          <w:rFonts w:asciiTheme="majorHAnsi" w:eastAsia="Calibri" w:hAnsiTheme="majorHAnsi" w:cstheme="majorHAnsi"/>
          <w:szCs w:val="22"/>
        </w:rPr>
        <w:t>El Plan de Desarrollo</w:t>
      </w:r>
      <w:r w:rsidR="00693D4E" w:rsidRPr="00B24A80">
        <w:rPr>
          <w:rFonts w:asciiTheme="majorHAnsi" w:eastAsia="Calibri" w:hAnsiTheme="majorHAnsi" w:cstheme="majorHAnsi"/>
          <w:szCs w:val="22"/>
        </w:rPr>
        <w:t xml:space="preserve"> y Ordenamiento Territorial (PD</w:t>
      </w:r>
      <w:r w:rsidR="000D4D14" w:rsidRPr="00B24A80">
        <w:rPr>
          <w:rFonts w:asciiTheme="majorHAnsi" w:eastAsia="Calibri" w:hAnsiTheme="majorHAnsi" w:cstheme="majorHAnsi"/>
          <w:szCs w:val="22"/>
        </w:rPr>
        <w:t>y</w:t>
      </w:r>
      <w:r w:rsidR="000F300C" w:rsidRPr="00B24A80">
        <w:rPr>
          <w:rFonts w:asciiTheme="majorHAnsi" w:eastAsia="Calibri" w:hAnsiTheme="majorHAnsi" w:cstheme="majorHAnsi"/>
          <w:szCs w:val="22"/>
        </w:rPr>
        <w:t xml:space="preserve">OT) es el instrumento integral para el desarrollo y la organización territorial del </w:t>
      </w:r>
      <w:r w:rsidR="008702DF">
        <w:rPr>
          <w:rFonts w:asciiTheme="majorHAnsi" w:eastAsia="Calibri" w:hAnsiTheme="majorHAnsi" w:cstheme="majorHAnsi"/>
          <w:szCs w:val="22"/>
        </w:rPr>
        <w:t>C</w:t>
      </w:r>
      <w:r w:rsidR="00CD4F27" w:rsidRPr="00B24A80">
        <w:rPr>
          <w:rFonts w:asciiTheme="majorHAnsi" w:eastAsia="Calibri" w:hAnsiTheme="majorHAnsi" w:cstheme="majorHAnsi"/>
          <w:szCs w:val="22"/>
        </w:rPr>
        <w:t>antón La Joya de los Sachas</w:t>
      </w:r>
      <w:r w:rsidR="000F300C" w:rsidRPr="00B24A80">
        <w:rPr>
          <w:rFonts w:asciiTheme="majorHAnsi" w:eastAsia="Calibri" w:hAnsiTheme="majorHAnsi" w:cstheme="majorHAnsi"/>
          <w:szCs w:val="22"/>
        </w:rPr>
        <w:t>. Su objetivo es organizar el territorio, determinar la infraestructura necesaria, y definir planes de acción para llevar a cabo las actividades adecuadas. Todo esto busca lograr un desarrollo armónico, sustentable y sostenible del territorio cantonal, con el fin de mejorar la calidad de vida de sus habitantes.</w:t>
      </w:r>
    </w:p>
    <w:p w14:paraId="5C3F3758" w14:textId="77777777"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szCs w:val="22"/>
        </w:rPr>
      </w:pPr>
    </w:p>
    <w:p w14:paraId="16CA7406" w14:textId="77777777" w:rsidR="00F5531F"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Plan de Uso y Gestión del Suelo. - </w:t>
      </w:r>
      <w:r w:rsidRPr="00B24A80">
        <w:rPr>
          <w:rFonts w:asciiTheme="majorHAnsi" w:eastAsia="Calibri" w:hAnsiTheme="majorHAnsi" w:cstheme="majorHAnsi"/>
          <w:szCs w:val="22"/>
        </w:rPr>
        <w:t>El Plan de Uso y Gestión del Suelo (PUGS) es el instrumento normativo mediante el cual se define los usos, edificabilidad, aprovechamientos y las actividades permitidas en cada polígono de intervención, mediante la fijación de parámetros y normas específicas de acuerdo a la capacidad del suelo.</w:t>
      </w:r>
    </w:p>
    <w:p w14:paraId="27662756" w14:textId="77777777" w:rsidR="00F5531F" w:rsidRPr="00B24A80" w:rsidRDefault="00F5531F" w:rsidP="00F5531F">
      <w:pPr>
        <w:pStyle w:val="Prrafodelista"/>
        <w:rPr>
          <w:rFonts w:asciiTheme="majorHAnsi" w:eastAsia="Calibri" w:hAnsiTheme="majorHAnsi" w:cstheme="majorHAnsi"/>
          <w:b/>
          <w:color w:val="000000"/>
          <w:szCs w:val="22"/>
        </w:rPr>
      </w:pPr>
    </w:p>
    <w:p w14:paraId="75952860" w14:textId="77777777" w:rsidR="00F5531F"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 xml:space="preserve"> Actualización del </w:t>
      </w:r>
      <w:r w:rsidRPr="00B24A80">
        <w:rPr>
          <w:rFonts w:asciiTheme="majorHAnsi" w:eastAsia="Calibri" w:hAnsiTheme="majorHAnsi" w:cstheme="majorHAnsi"/>
          <w:b/>
          <w:szCs w:val="22"/>
        </w:rPr>
        <w:t>Plan de Desarrollo y Ordenamiento Territorial y Plan de Uso y Gestión del Suelo</w:t>
      </w:r>
      <w:r w:rsidRPr="00B24A80">
        <w:rPr>
          <w:rFonts w:asciiTheme="majorHAnsi" w:eastAsia="Calibri" w:hAnsiTheme="majorHAnsi" w:cstheme="majorHAnsi"/>
          <w:b/>
          <w:color w:val="000000"/>
          <w:szCs w:val="22"/>
        </w:rPr>
        <w:t xml:space="preserve">. - </w:t>
      </w:r>
      <w:r w:rsidRPr="00B24A80">
        <w:rPr>
          <w:rFonts w:asciiTheme="majorHAnsi" w:eastAsia="Calibri" w:hAnsiTheme="majorHAnsi" w:cstheme="majorHAnsi"/>
          <w:szCs w:val="22"/>
        </w:rPr>
        <w:t>Serán actualizados bajo la supervisión de la dependencia municipal encargada de la planificación territorial en coordinación con todas las dependencias municipales y la participación ciudadana. Guardará relación con los instrumentos de planificación de tipo supranacional, nacional, regional y provincial. Debe ser actualizado al inicio de cada periodo de gestión administrativa.</w:t>
      </w:r>
    </w:p>
    <w:p w14:paraId="131D2258" w14:textId="77777777" w:rsidR="00F5531F" w:rsidRPr="00B24A80" w:rsidRDefault="00F5531F" w:rsidP="00F5531F">
      <w:pPr>
        <w:pStyle w:val="Prrafodelista"/>
        <w:rPr>
          <w:rFonts w:asciiTheme="majorHAnsi" w:eastAsia="Calibri" w:hAnsiTheme="majorHAnsi" w:cstheme="majorHAnsi"/>
          <w:b/>
          <w:szCs w:val="22"/>
        </w:rPr>
      </w:pPr>
    </w:p>
    <w:p w14:paraId="6546B6ED" w14:textId="4E0A20B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Planes Urbanísticos Complementarios. - </w:t>
      </w:r>
      <w:r w:rsidRPr="00B24A80">
        <w:rPr>
          <w:rFonts w:asciiTheme="majorHAnsi" w:eastAsia="Calibri" w:hAnsiTheme="majorHAnsi" w:cstheme="majorHAnsi"/>
          <w:szCs w:val="22"/>
        </w:rPr>
        <w:t>Los planes urbanísticos complementarios son aquellos dirigidos a detallar, completar y desarrollar de forma específica las determinaciones del plan de uso y gestión de suelo. Son planes complementarios.</w:t>
      </w:r>
    </w:p>
    <w:p w14:paraId="64E4A106" w14:textId="77777777" w:rsidR="00DC27E8" w:rsidRPr="00B24A80" w:rsidRDefault="007F5505" w:rsidP="009F132D">
      <w:pPr>
        <w:numPr>
          <w:ilvl w:val="0"/>
          <w:numId w:val="21"/>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Planes Parciales</w:t>
      </w:r>
    </w:p>
    <w:p w14:paraId="320257D8" w14:textId="77777777" w:rsidR="00DC27E8" w:rsidRPr="00B24A80" w:rsidRDefault="007F5505" w:rsidP="009F132D">
      <w:pPr>
        <w:numPr>
          <w:ilvl w:val="0"/>
          <w:numId w:val="21"/>
        </w:num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 xml:space="preserve">Planes maestros sectoriales, y </w:t>
      </w:r>
    </w:p>
    <w:p w14:paraId="1EF0CC31" w14:textId="77777777" w:rsidR="00DC27E8" w:rsidRPr="00B24A80" w:rsidRDefault="007F5505" w:rsidP="009F132D">
      <w:pPr>
        <w:numPr>
          <w:ilvl w:val="0"/>
          <w:numId w:val="21"/>
        </w:numPr>
        <w:pBdr>
          <w:top w:val="nil"/>
          <w:left w:val="nil"/>
          <w:bottom w:val="nil"/>
          <w:right w:val="nil"/>
          <w:between w:val="nil"/>
        </w:pBdr>
        <w:spacing w:after="235"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Otros instrumentos de planeamiento urbanístico</w:t>
      </w:r>
    </w:p>
    <w:p w14:paraId="16D63BA9" w14:textId="0D1C393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Planes Parciales. - </w:t>
      </w:r>
      <w:r w:rsidRPr="00B24A80">
        <w:rPr>
          <w:rFonts w:asciiTheme="majorHAnsi" w:eastAsia="Calibri" w:hAnsiTheme="majorHAnsi" w:cstheme="majorHAnsi"/>
          <w:color w:val="000000"/>
          <w:szCs w:val="22"/>
        </w:rPr>
        <w:t xml:space="preserve">Los planes parciales tienen por objeto la regulación urbanística y de gestión de suelo detallada para los polígonos de intervención territorial en suelo urbano y en suelo rural de expansión urbana. Los planes parciales pueden ser de iniciativa pública o mixta y serán obligatorios en el suelo de expansión urbana, en caso de aplicación del reajuste de terrenos, integración Inmobiliaria, cooperación entre </w:t>
      </w:r>
      <w:r w:rsidRPr="00B24A80">
        <w:rPr>
          <w:rFonts w:asciiTheme="majorHAnsi" w:eastAsia="Calibri" w:hAnsiTheme="majorHAnsi" w:cstheme="majorHAnsi"/>
          <w:szCs w:val="22"/>
        </w:rPr>
        <w:t>partícipes</w:t>
      </w:r>
      <w:r w:rsidRPr="00B24A80">
        <w:rPr>
          <w:rFonts w:asciiTheme="majorHAnsi" w:eastAsia="Calibri" w:hAnsiTheme="majorHAnsi" w:cstheme="majorHAnsi"/>
          <w:color w:val="000000"/>
          <w:szCs w:val="22"/>
        </w:rPr>
        <w:t xml:space="preserve"> cuando se apliquen mecanismos de reparto equitativo de cargas y beneficios, así como en la modificación de usos de suelo y en la autorización de un mayor aprovechamiento del suelo.</w:t>
      </w:r>
    </w:p>
    <w:p w14:paraId="50EC7144" w14:textId="01067C19" w:rsidR="00F5531F"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 xml:space="preserve"> </w:t>
      </w:r>
      <w:r w:rsidRPr="00B24A80">
        <w:rPr>
          <w:rFonts w:asciiTheme="majorHAnsi" w:eastAsia="Calibri" w:hAnsiTheme="majorHAnsi" w:cstheme="majorHAnsi"/>
          <w:b/>
          <w:szCs w:val="22"/>
        </w:rPr>
        <w:t xml:space="preserve">Planes maestros sectoriales. - </w:t>
      </w:r>
      <w:r w:rsidRPr="00B24A80">
        <w:rPr>
          <w:rFonts w:asciiTheme="majorHAnsi" w:eastAsia="Calibri" w:hAnsiTheme="majorHAnsi" w:cstheme="majorHAnsi"/>
          <w:szCs w:val="22"/>
        </w:rPr>
        <w:t>Los planes maestros sectoriales tienen como objetivo detallar, desarrollar y/o implementar las políticas, programas y/o proyectos públicos de carácter sectorial sobre el territorio cantonal.</w:t>
      </w:r>
    </w:p>
    <w:p w14:paraId="70D38ED1" w14:textId="77777777"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szCs w:val="22"/>
        </w:rPr>
      </w:pPr>
    </w:p>
    <w:p w14:paraId="631F7E63" w14:textId="77777777" w:rsidR="00F5531F"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Otros instrumentos de planeamiento urbanístico. - </w:t>
      </w:r>
      <w:r w:rsidRPr="00B24A80">
        <w:rPr>
          <w:rFonts w:asciiTheme="majorHAnsi" w:eastAsia="Calibri" w:hAnsiTheme="majorHAnsi" w:cstheme="majorHAnsi"/>
          <w:szCs w:val="22"/>
        </w:rPr>
        <w:t>Tienen por objeto, determinar propuestas, actuaciones, normas urbanísticas en función de las características territoriales de un determinado polígono.</w:t>
      </w:r>
      <w:bookmarkStart w:id="35" w:name="_heading=h.3rdcrjn" w:colFirst="0" w:colLast="0"/>
      <w:bookmarkEnd w:id="35"/>
    </w:p>
    <w:p w14:paraId="52BA6C01" w14:textId="77777777" w:rsidR="00F5531F" w:rsidRPr="00B24A80" w:rsidRDefault="00F5531F" w:rsidP="00F5531F">
      <w:pPr>
        <w:pStyle w:val="Prrafodelista"/>
        <w:rPr>
          <w:rFonts w:asciiTheme="majorHAnsi" w:eastAsia="Calibri" w:hAnsiTheme="majorHAnsi" w:cstheme="majorHAnsi"/>
          <w:b/>
          <w:szCs w:val="22"/>
        </w:rPr>
      </w:pPr>
    </w:p>
    <w:p w14:paraId="4BA5AF24" w14:textId="4E27ACD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Aprobación de Planes Urbanísticos Complementarios. - </w:t>
      </w:r>
      <w:r w:rsidRPr="00B24A80">
        <w:rPr>
          <w:rFonts w:asciiTheme="majorHAnsi" w:eastAsia="Calibri" w:hAnsiTheme="majorHAnsi" w:cstheme="majorHAnsi"/>
          <w:szCs w:val="22"/>
        </w:rPr>
        <w:t>Serán aprobados por el Concejo Municipal observando los procedimientos establecidos para el efecto en la LOOTUGS</w:t>
      </w:r>
      <w:r w:rsidR="006D4F0D" w:rsidRPr="00B24A80">
        <w:rPr>
          <w:rFonts w:asciiTheme="majorHAnsi" w:eastAsia="Calibri" w:hAnsiTheme="majorHAnsi" w:cstheme="majorHAnsi"/>
          <w:szCs w:val="22"/>
        </w:rPr>
        <w:t xml:space="preserve"> y su reglamento</w:t>
      </w:r>
      <w:r w:rsidRPr="00B24A80">
        <w:rPr>
          <w:rFonts w:asciiTheme="majorHAnsi" w:eastAsia="Calibri" w:hAnsiTheme="majorHAnsi" w:cstheme="majorHAnsi"/>
          <w:szCs w:val="22"/>
        </w:rPr>
        <w:t>.</w:t>
      </w:r>
    </w:p>
    <w:p w14:paraId="1B75806D" w14:textId="302BF004" w:rsidR="00F4271D" w:rsidRPr="00B24A80" w:rsidRDefault="00F4271D">
      <w:pPr>
        <w:rPr>
          <w:rFonts w:asciiTheme="majorHAnsi" w:eastAsia="Calibri" w:hAnsiTheme="majorHAnsi" w:cstheme="majorHAnsi"/>
          <w:sz w:val="22"/>
          <w:szCs w:val="22"/>
        </w:rPr>
      </w:pPr>
      <w:r w:rsidRPr="00B24A80">
        <w:rPr>
          <w:rFonts w:asciiTheme="majorHAnsi" w:eastAsia="Calibri" w:hAnsiTheme="majorHAnsi" w:cstheme="majorHAnsi"/>
          <w:sz w:val="22"/>
          <w:szCs w:val="22"/>
        </w:rPr>
        <w:br w:type="page"/>
      </w:r>
    </w:p>
    <w:p w14:paraId="2895B831" w14:textId="7EA425BA" w:rsidR="00DC27E8" w:rsidRPr="00B24A80" w:rsidRDefault="00EB5C24" w:rsidP="0022677E">
      <w:pPr>
        <w:pStyle w:val="Ttulo2"/>
        <w:rPr>
          <w:rFonts w:cstheme="majorHAnsi"/>
          <w:sz w:val="22"/>
          <w:szCs w:val="22"/>
        </w:rPr>
      </w:pPr>
      <w:bookmarkStart w:id="36" w:name="_heading=h.dtfmy3xwymg4" w:colFirst="0" w:colLast="0"/>
      <w:bookmarkStart w:id="37" w:name="_heading=h.xnhd8e2zdo86" w:colFirst="0" w:colLast="0"/>
      <w:bookmarkStart w:id="38" w:name="_heading=h.26in1rg" w:colFirst="0" w:colLast="0"/>
      <w:bookmarkStart w:id="39" w:name="_Toc65711690"/>
      <w:bookmarkStart w:id="40" w:name="_Toc81085630"/>
      <w:bookmarkStart w:id="41" w:name="_Toc181374069"/>
      <w:bookmarkEnd w:id="36"/>
      <w:bookmarkEnd w:id="37"/>
      <w:bookmarkEnd w:id="38"/>
      <w:r w:rsidRPr="00B24A80">
        <w:rPr>
          <w:rFonts w:cstheme="majorHAnsi"/>
          <w:sz w:val="22"/>
          <w:szCs w:val="22"/>
        </w:rPr>
        <w:lastRenderedPageBreak/>
        <w:t>TÍTULO</w:t>
      </w:r>
      <w:r w:rsidR="007F5505" w:rsidRPr="00B24A80">
        <w:rPr>
          <w:rFonts w:cstheme="majorHAnsi"/>
          <w:sz w:val="22"/>
          <w:szCs w:val="22"/>
        </w:rPr>
        <w:t xml:space="preserve"> II</w:t>
      </w:r>
      <w:bookmarkStart w:id="42" w:name="_heading=h.lnxbz9" w:colFirst="0" w:colLast="0"/>
      <w:bookmarkEnd w:id="42"/>
      <w:r w:rsidR="0022677E" w:rsidRPr="00B24A80">
        <w:rPr>
          <w:rFonts w:cstheme="majorHAnsi"/>
          <w:sz w:val="22"/>
          <w:szCs w:val="22"/>
        </w:rPr>
        <w:br/>
      </w:r>
      <w:r w:rsidR="007F5505" w:rsidRPr="00B24A80">
        <w:rPr>
          <w:rFonts w:cstheme="majorHAnsi"/>
          <w:sz w:val="22"/>
          <w:szCs w:val="22"/>
        </w:rPr>
        <w:t>USO Y GESTIÓN DEL SUELO</w:t>
      </w:r>
      <w:bookmarkEnd w:id="39"/>
      <w:bookmarkEnd w:id="40"/>
      <w:bookmarkEnd w:id="41"/>
    </w:p>
    <w:p w14:paraId="1F4368F6" w14:textId="6FCD8484" w:rsidR="00DC27E8" w:rsidRPr="00B24A80" w:rsidRDefault="007F5505" w:rsidP="0022677E">
      <w:pPr>
        <w:pStyle w:val="Ttulo3"/>
        <w:rPr>
          <w:rFonts w:cstheme="majorHAnsi"/>
          <w:sz w:val="22"/>
          <w:szCs w:val="22"/>
        </w:rPr>
      </w:pPr>
      <w:bookmarkStart w:id="43" w:name="_heading=h.35nkun2" w:colFirst="0" w:colLast="0"/>
      <w:bookmarkStart w:id="44" w:name="_Toc65711691"/>
      <w:bookmarkStart w:id="45" w:name="_Toc81085631"/>
      <w:bookmarkStart w:id="46" w:name="_Toc181374070"/>
      <w:bookmarkEnd w:id="43"/>
      <w:r w:rsidRPr="00B24A80">
        <w:rPr>
          <w:rFonts w:cstheme="majorHAnsi"/>
          <w:sz w:val="22"/>
          <w:szCs w:val="22"/>
        </w:rPr>
        <w:t>CAPÍTULO I</w:t>
      </w:r>
      <w:r w:rsidRPr="00B24A80">
        <w:rPr>
          <w:rFonts w:cstheme="majorHAnsi"/>
          <w:sz w:val="22"/>
          <w:szCs w:val="22"/>
        </w:rPr>
        <w:br/>
        <w:t>Clasificación del Suelo</w:t>
      </w:r>
      <w:bookmarkEnd w:id="44"/>
      <w:bookmarkEnd w:id="45"/>
      <w:bookmarkEnd w:id="46"/>
    </w:p>
    <w:p w14:paraId="781E558B" w14:textId="4B018F4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Suelo. -</w:t>
      </w:r>
      <w:r w:rsidRPr="00B24A80">
        <w:rPr>
          <w:rFonts w:asciiTheme="majorHAnsi" w:eastAsia="Calibri" w:hAnsiTheme="majorHAnsi" w:cstheme="majorHAnsi"/>
          <w:color w:val="000000"/>
          <w:szCs w:val="22"/>
        </w:rPr>
        <w:t xml:space="preserve"> El suelo es el hábitat que brinda soporte físico a las actividades que la población lleva a cabo en búsqueda de su desarrollo integral sostenible y sustentable </w:t>
      </w:r>
      <w:r w:rsidR="00A244C5" w:rsidRPr="00B24A80">
        <w:rPr>
          <w:rFonts w:asciiTheme="majorHAnsi" w:eastAsia="Calibri" w:hAnsiTheme="majorHAnsi" w:cstheme="majorHAnsi"/>
          <w:color w:val="000000"/>
          <w:szCs w:val="22"/>
        </w:rPr>
        <w:t>de acuerdo con</w:t>
      </w:r>
      <w:r w:rsidRPr="00B24A80">
        <w:rPr>
          <w:rFonts w:asciiTheme="majorHAnsi" w:eastAsia="Calibri" w:hAnsiTheme="majorHAnsi" w:cstheme="majorHAnsi"/>
          <w:color w:val="000000"/>
          <w:szCs w:val="22"/>
        </w:rPr>
        <w:t xml:space="preserve"> las dimensiones social, económica y ambiental, sobre el cual se ejecutan las políticas de ordenamiento establecidas en la Constitución y la Ley.</w:t>
      </w:r>
    </w:p>
    <w:p w14:paraId="20B1A69D" w14:textId="77777777" w:rsidR="00F5531F" w:rsidRPr="00B24A80" w:rsidRDefault="00F5531F" w:rsidP="00F5531F">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EC4ADD5" w14:textId="01481F4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i/>
          <w:szCs w:val="22"/>
        </w:rPr>
      </w:pPr>
      <w:r w:rsidRPr="00B24A80">
        <w:rPr>
          <w:rFonts w:asciiTheme="majorHAnsi" w:eastAsia="Calibri" w:hAnsiTheme="majorHAnsi" w:cstheme="majorHAnsi"/>
          <w:b/>
          <w:szCs w:val="22"/>
        </w:rPr>
        <w:t>Clasificación</w:t>
      </w:r>
      <w:r w:rsidRPr="00B24A80">
        <w:rPr>
          <w:rFonts w:asciiTheme="majorHAnsi" w:eastAsia="Calibri" w:hAnsiTheme="majorHAnsi" w:cstheme="majorHAnsi"/>
          <w:b/>
          <w:color w:val="000000"/>
          <w:szCs w:val="22"/>
        </w:rPr>
        <w:t xml:space="preserve"> de suelo. -</w:t>
      </w:r>
      <w:r w:rsidR="006D4F0D" w:rsidRPr="00B24A80">
        <w:rPr>
          <w:rFonts w:asciiTheme="majorHAnsi" w:eastAsia="Calibri" w:hAnsiTheme="majorHAnsi" w:cstheme="majorHAnsi"/>
          <w:color w:val="000000"/>
          <w:szCs w:val="22"/>
        </w:rPr>
        <w:t xml:space="preserve"> El suelo del c</w:t>
      </w:r>
      <w:r w:rsidRPr="00B24A80">
        <w:rPr>
          <w:rFonts w:asciiTheme="majorHAnsi" w:eastAsia="Calibri" w:hAnsiTheme="majorHAnsi" w:cstheme="majorHAnsi"/>
          <w:color w:val="000000"/>
          <w:szCs w:val="22"/>
        </w:rPr>
        <w:t xml:space="preserve">antón </w:t>
      </w:r>
      <w:r w:rsidR="00E30701" w:rsidRPr="00B24A80">
        <w:rPr>
          <w:rFonts w:asciiTheme="majorHAnsi" w:eastAsia="Calibri" w:hAnsiTheme="majorHAnsi" w:cstheme="majorHAnsi"/>
          <w:color w:val="000000"/>
          <w:szCs w:val="22"/>
        </w:rPr>
        <w:t>La Joya de los Sachas</w:t>
      </w:r>
      <w:r w:rsidRPr="00B24A80">
        <w:rPr>
          <w:rFonts w:asciiTheme="majorHAnsi" w:eastAsia="Calibri" w:hAnsiTheme="majorHAnsi" w:cstheme="majorHAnsi"/>
          <w:color w:val="000000"/>
          <w:szCs w:val="22"/>
        </w:rPr>
        <w:t xml:space="preserve">, </w:t>
      </w:r>
      <w:r w:rsidR="006D4F0D" w:rsidRPr="00B24A80">
        <w:rPr>
          <w:rFonts w:asciiTheme="majorHAnsi" w:eastAsia="Calibri" w:hAnsiTheme="majorHAnsi" w:cstheme="majorHAnsi"/>
          <w:color w:val="000000"/>
          <w:szCs w:val="22"/>
        </w:rPr>
        <w:t>por su conformación topográfica y demás características del territorio y sus asentamientos se clasifica</w:t>
      </w:r>
      <w:r w:rsidRPr="00B24A80">
        <w:rPr>
          <w:rFonts w:asciiTheme="majorHAnsi" w:eastAsia="Calibri" w:hAnsiTheme="majorHAnsi" w:cstheme="majorHAnsi"/>
          <w:color w:val="000000"/>
          <w:szCs w:val="22"/>
        </w:rPr>
        <w:t xml:space="preserve"> en suelo Urbano y suelo Rural. </w:t>
      </w:r>
      <w:r w:rsidR="006D4F0D" w:rsidRPr="00B24A80">
        <w:rPr>
          <w:rFonts w:asciiTheme="majorHAnsi" w:eastAsia="Calibri" w:hAnsiTheme="majorHAnsi" w:cstheme="majorHAnsi"/>
          <w:color w:val="000000"/>
          <w:szCs w:val="22"/>
        </w:rPr>
        <w:t>(</w:t>
      </w:r>
      <w:r w:rsidRPr="00B24A80">
        <w:rPr>
          <w:rFonts w:asciiTheme="majorHAnsi" w:eastAsia="Calibri" w:hAnsiTheme="majorHAnsi" w:cstheme="majorHAnsi"/>
          <w:i/>
          <w:color w:val="000000"/>
          <w:szCs w:val="22"/>
        </w:rPr>
        <w:t xml:space="preserve">Ver lámina: Mapa de </w:t>
      </w:r>
      <w:r w:rsidR="00F5531F" w:rsidRPr="00B24A80">
        <w:rPr>
          <w:rFonts w:asciiTheme="majorHAnsi" w:eastAsia="Calibri" w:hAnsiTheme="majorHAnsi" w:cstheme="majorHAnsi"/>
          <w:i/>
          <w:color w:val="000000"/>
          <w:szCs w:val="22"/>
        </w:rPr>
        <w:t>Clasificación</w:t>
      </w:r>
      <w:r w:rsidRPr="00B24A80">
        <w:rPr>
          <w:rFonts w:asciiTheme="majorHAnsi" w:eastAsia="Calibri" w:hAnsiTheme="majorHAnsi" w:cstheme="majorHAnsi"/>
          <w:i/>
          <w:color w:val="000000"/>
          <w:szCs w:val="22"/>
        </w:rPr>
        <w:t xml:space="preserve"> de suelo </w:t>
      </w:r>
      <w:r w:rsidRPr="00B24A80">
        <w:rPr>
          <w:rFonts w:asciiTheme="majorHAnsi" w:eastAsia="Calibri" w:hAnsiTheme="majorHAnsi" w:cstheme="majorHAnsi"/>
          <w:i/>
          <w:szCs w:val="22"/>
        </w:rPr>
        <w:t>-</w:t>
      </w:r>
      <w:r w:rsidR="006D4F0D" w:rsidRPr="00B24A80">
        <w:rPr>
          <w:rFonts w:asciiTheme="majorHAnsi" w:eastAsia="Calibri" w:hAnsiTheme="majorHAnsi" w:cstheme="majorHAnsi"/>
          <w:i/>
          <w:color w:val="000000"/>
          <w:szCs w:val="22"/>
        </w:rPr>
        <w:t xml:space="preserve"> cantón </w:t>
      </w:r>
      <w:r w:rsidR="00E30701" w:rsidRPr="00B24A80">
        <w:rPr>
          <w:rFonts w:asciiTheme="majorHAnsi" w:eastAsia="Calibri" w:hAnsiTheme="majorHAnsi" w:cstheme="majorHAnsi"/>
          <w:i/>
          <w:color w:val="000000"/>
          <w:szCs w:val="22"/>
        </w:rPr>
        <w:t>La Joya de los Sachas</w:t>
      </w:r>
      <w:r w:rsidR="00E02D75" w:rsidRPr="00B24A80">
        <w:rPr>
          <w:rFonts w:asciiTheme="majorHAnsi" w:eastAsia="Calibri" w:hAnsiTheme="majorHAnsi" w:cstheme="majorHAnsi"/>
          <w:i/>
          <w:color w:val="000000"/>
          <w:szCs w:val="22"/>
        </w:rPr>
        <w:t>. /</w:t>
      </w:r>
      <w:r w:rsidR="006D4F0D" w:rsidRPr="00B24A80">
        <w:rPr>
          <w:rFonts w:asciiTheme="majorHAnsi" w:eastAsia="Calibri" w:hAnsiTheme="majorHAnsi" w:cstheme="majorHAnsi"/>
          <w:i/>
          <w:color w:val="000000"/>
          <w:szCs w:val="22"/>
        </w:rPr>
        <w:t xml:space="preserve"> </w:t>
      </w:r>
      <w:r w:rsidRPr="00B24A80">
        <w:rPr>
          <w:rFonts w:asciiTheme="majorHAnsi" w:eastAsia="Calibri" w:hAnsiTheme="majorHAnsi" w:cstheme="majorHAnsi"/>
          <w:i/>
          <w:color w:val="000000"/>
          <w:szCs w:val="22"/>
        </w:rPr>
        <w:t>e</w:t>
      </w:r>
      <w:r w:rsidR="006D4F0D" w:rsidRPr="00B24A80">
        <w:rPr>
          <w:rFonts w:asciiTheme="majorHAnsi" w:eastAsia="Calibri" w:hAnsiTheme="majorHAnsi" w:cstheme="majorHAnsi"/>
          <w:i/>
          <w:szCs w:val="22"/>
        </w:rPr>
        <w:t>xpediente PUGS).</w:t>
      </w:r>
    </w:p>
    <w:p w14:paraId="1A4D936E" w14:textId="0F8FE632"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b/>
          <w:i/>
          <w:sz w:val="22"/>
          <w:szCs w:val="22"/>
        </w:rPr>
      </w:pPr>
      <w:r w:rsidRPr="00B24A80">
        <w:rPr>
          <w:rFonts w:asciiTheme="majorHAnsi" w:eastAsia="Calibri" w:hAnsiTheme="majorHAnsi" w:cstheme="majorHAnsi"/>
          <w:sz w:val="22"/>
          <w:szCs w:val="22"/>
        </w:rPr>
        <w:t xml:space="preserve">El suelo urbano se encuentra demarcado conforme </w:t>
      </w:r>
      <w:r w:rsidR="00A908AB" w:rsidRPr="00B24A80">
        <w:rPr>
          <w:rFonts w:asciiTheme="majorHAnsi" w:eastAsia="Calibri" w:hAnsiTheme="majorHAnsi" w:cstheme="majorHAnsi"/>
          <w:sz w:val="22"/>
          <w:szCs w:val="22"/>
        </w:rPr>
        <w:t xml:space="preserve">la respectiva ordenanza de limites urbanos aprobadas por el </w:t>
      </w:r>
      <w:r w:rsidR="00EE2083" w:rsidRPr="00B24A80">
        <w:rPr>
          <w:rFonts w:asciiTheme="majorHAnsi" w:eastAsia="Calibri" w:hAnsiTheme="majorHAnsi" w:cstheme="majorHAnsi"/>
          <w:sz w:val="22"/>
          <w:szCs w:val="22"/>
        </w:rPr>
        <w:t>Concejo</w:t>
      </w:r>
      <w:r w:rsidR="00A908AB" w:rsidRPr="00B24A80">
        <w:rPr>
          <w:rFonts w:asciiTheme="majorHAnsi" w:eastAsia="Calibri" w:hAnsiTheme="majorHAnsi" w:cstheme="majorHAnsi"/>
          <w:sz w:val="22"/>
          <w:szCs w:val="22"/>
        </w:rPr>
        <w:t xml:space="preserve"> municipal.</w:t>
      </w:r>
      <w:r w:rsidR="00363883" w:rsidRPr="00B24A80">
        <w:rPr>
          <w:rFonts w:asciiTheme="majorHAnsi" w:eastAsia="Calibri" w:hAnsiTheme="majorHAnsi" w:cstheme="majorHAnsi"/>
          <w:sz w:val="22"/>
          <w:szCs w:val="22"/>
        </w:rPr>
        <w:t xml:space="preserve"> (Ordenanza que reforma a la ordenanza que aprueba el Plan De Desarrollo Y Ordenamiento Territorial y su alineación al Plan Nacional De Desarrollo 2021 - 2025 y la formulación del Plan De Uso Y Gestión Del Suelo, Edición Especial Nº 152 - Registro Oficial, lunes 25 de abril de 2022).</w:t>
      </w:r>
    </w:p>
    <w:p w14:paraId="2A87F57F" w14:textId="24570910" w:rsidR="00DC27E8" w:rsidRPr="00CC0863" w:rsidRDefault="007F5505" w:rsidP="005D1C2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CC0863">
        <w:rPr>
          <w:rFonts w:asciiTheme="majorHAnsi" w:eastAsia="Calibri" w:hAnsiTheme="majorHAnsi" w:cstheme="majorHAnsi"/>
          <w:b/>
          <w:szCs w:val="22"/>
        </w:rPr>
        <w:t>Suelo urbano. -</w:t>
      </w:r>
      <w:r w:rsidRPr="00CC0863">
        <w:rPr>
          <w:rFonts w:asciiTheme="majorHAnsi" w:eastAsia="Calibri" w:hAnsiTheme="majorHAnsi" w:cstheme="majorHAnsi"/>
          <w:szCs w:val="22"/>
        </w:rPr>
        <w:t xml:space="preserve"> </w:t>
      </w:r>
      <w:r w:rsidR="00896A7D" w:rsidRPr="00CC0863">
        <w:rPr>
          <w:rFonts w:asciiTheme="majorHAnsi" w:eastAsia="Calibri" w:hAnsiTheme="majorHAnsi" w:cstheme="majorHAnsi"/>
          <w:szCs w:val="22"/>
        </w:rPr>
        <w:t>El suelo urbano se define como el área ocupada por asentamientos humanos</w:t>
      </w:r>
      <w:r w:rsidR="005D1C2F" w:rsidRPr="00CC0863">
        <w:rPr>
          <w:rFonts w:asciiTheme="majorHAnsi" w:eastAsia="Calibri" w:hAnsiTheme="majorHAnsi" w:cstheme="majorHAnsi"/>
          <w:szCs w:val="22"/>
        </w:rPr>
        <w:t xml:space="preserve"> dentro de los </w:t>
      </w:r>
      <w:r w:rsidR="001E0E17" w:rsidRPr="00CC0863">
        <w:rPr>
          <w:rFonts w:asciiTheme="majorHAnsi" w:eastAsia="Calibri" w:hAnsiTheme="majorHAnsi" w:cstheme="majorHAnsi"/>
          <w:szCs w:val="22"/>
        </w:rPr>
        <w:t>límites</w:t>
      </w:r>
      <w:r w:rsidR="005D1C2F" w:rsidRPr="00CC0863">
        <w:rPr>
          <w:rFonts w:asciiTheme="majorHAnsi" w:eastAsia="Calibri" w:hAnsiTheme="majorHAnsi" w:cstheme="majorHAnsi"/>
          <w:szCs w:val="22"/>
        </w:rPr>
        <w:t xml:space="preserve"> establecidos en la </w:t>
      </w:r>
      <w:r w:rsidR="00761379" w:rsidRPr="00CC0863">
        <w:rPr>
          <w:rFonts w:asciiTheme="majorHAnsi" w:eastAsia="Calibri" w:hAnsiTheme="majorHAnsi" w:cstheme="majorHAnsi"/>
          <w:szCs w:val="22"/>
        </w:rPr>
        <w:t>presente</w:t>
      </w:r>
      <w:r w:rsidR="005D1C2F" w:rsidRPr="00CC0863">
        <w:rPr>
          <w:rFonts w:asciiTheme="majorHAnsi" w:eastAsia="Calibri" w:hAnsiTheme="majorHAnsi" w:cstheme="majorHAnsi"/>
          <w:szCs w:val="22"/>
        </w:rPr>
        <w:t xml:space="preserve"> ordenanza</w:t>
      </w:r>
      <w:r w:rsidR="00BC20C1" w:rsidRPr="00CC0863">
        <w:rPr>
          <w:rFonts w:asciiTheme="majorHAnsi" w:eastAsia="Calibri" w:hAnsiTheme="majorHAnsi" w:cstheme="majorHAnsi"/>
          <w:szCs w:val="22"/>
        </w:rPr>
        <w:t>…</w:t>
      </w:r>
      <w:r w:rsidR="005D1C2F" w:rsidRPr="00CC0863">
        <w:rPr>
          <w:rFonts w:asciiTheme="majorHAnsi" w:eastAsia="Calibri" w:hAnsiTheme="majorHAnsi" w:cstheme="majorHAnsi"/>
          <w:szCs w:val="22"/>
        </w:rPr>
        <w:t xml:space="preserve">, </w:t>
      </w:r>
      <w:r w:rsidR="00896A7D" w:rsidRPr="00CC0863">
        <w:rPr>
          <w:rFonts w:asciiTheme="majorHAnsi" w:eastAsia="Calibri" w:hAnsiTheme="majorHAnsi" w:cstheme="majorHAnsi"/>
          <w:szCs w:val="22"/>
        </w:rPr>
        <w:t xml:space="preserve">que cuentan </w:t>
      </w:r>
      <w:r w:rsidR="00761379" w:rsidRPr="00CC0863">
        <w:rPr>
          <w:rFonts w:asciiTheme="majorHAnsi" w:eastAsia="Calibri" w:hAnsiTheme="majorHAnsi" w:cstheme="majorHAnsi"/>
          <w:szCs w:val="22"/>
        </w:rPr>
        <w:t xml:space="preserve">total o parcialmente </w:t>
      </w:r>
      <w:r w:rsidR="00896A7D" w:rsidRPr="00CC0863">
        <w:rPr>
          <w:rFonts w:asciiTheme="majorHAnsi" w:eastAsia="Calibri" w:hAnsiTheme="majorHAnsi" w:cstheme="majorHAnsi"/>
          <w:szCs w:val="22"/>
        </w:rPr>
        <w:t xml:space="preserve">con infraestructura básica y servicios públicos, y que forman un sistema continuo e interconectado </w:t>
      </w:r>
      <w:r w:rsidR="00A051D7" w:rsidRPr="00CC0863">
        <w:rPr>
          <w:rFonts w:asciiTheme="majorHAnsi" w:eastAsia="Calibri" w:hAnsiTheme="majorHAnsi" w:cstheme="majorHAnsi"/>
          <w:szCs w:val="22"/>
        </w:rPr>
        <w:t>de espacios públicos y privados</w:t>
      </w:r>
      <w:r w:rsidR="00896A7D" w:rsidRPr="00CC0863">
        <w:rPr>
          <w:rFonts w:asciiTheme="majorHAnsi" w:eastAsia="Calibri" w:hAnsiTheme="majorHAnsi" w:cstheme="majorHAnsi"/>
          <w:szCs w:val="22"/>
        </w:rPr>
        <w:t xml:space="preserve">. </w:t>
      </w:r>
      <w:r w:rsidRPr="00CC0863">
        <w:rPr>
          <w:rFonts w:asciiTheme="majorHAnsi" w:eastAsia="Calibri" w:hAnsiTheme="majorHAnsi" w:cstheme="majorHAnsi"/>
          <w:szCs w:val="22"/>
        </w:rPr>
        <w:t xml:space="preserve"> (Ver en las láminas. Mapa de Clasificación de suelo - cantón </w:t>
      </w:r>
      <w:r w:rsidR="00E30701" w:rsidRPr="00CC0863">
        <w:rPr>
          <w:rFonts w:asciiTheme="majorHAnsi" w:eastAsia="Calibri" w:hAnsiTheme="majorHAnsi" w:cstheme="majorHAnsi"/>
          <w:szCs w:val="22"/>
        </w:rPr>
        <w:t>La Joya de los Sachas</w:t>
      </w:r>
      <w:r w:rsidR="00690285" w:rsidRPr="00CC0863">
        <w:rPr>
          <w:rFonts w:asciiTheme="majorHAnsi" w:eastAsia="Calibri" w:hAnsiTheme="majorHAnsi" w:cstheme="majorHAnsi"/>
          <w:szCs w:val="22"/>
        </w:rPr>
        <w:t xml:space="preserve">. </w:t>
      </w:r>
      <w:r w:rsidR="00487E14" w:rsidRPr="00CC0863">
        <w:rPr>
          <w:rFonts w:asciiTheme="majorHAnsi" w:eastAsia="Calibri" w:hAnsiTheme="majorHAnsi" w:cstheme="majorHAnsi"/>
          <w:szCs w:val="22"/>
        </w:rPr>
        <w:t>/ perteneciente</w:t>
      </w:r>
      <w:r w:rsidRPr="00CC0863">
        <w:rPr>
          <w:rFonts w:asciiTheme="majorHAnsi" w:eastAsia="Calibri" w:hAnsiTheme="majorHAnsi" w:cstheme="majorHAnsi"/>
          <w:szCs w:val="22"/>
        </w:rPr>
        <w:t xml:space="preserve"> a cada parroquia.</w:t>
      </w:r>
      <w:r w:rsidR="00DF68F5" w:rsidRPr="00CC0863">
        <w:rPr>
          <w:rFonts w:asciiTheme="majorHAnsi" w:eastAsia="Calibri" w:hAnsiTheme="majorHAnsi" w:cstheme="majorHAnsi"/>
          <w:szCs w:val="22"/>
        </w:rPr>
        <w:t>)</w:t>
      </w:r>
      <w:r w:rsidR="005D1C2F" w:rsidRPr="00CC0863">
        <w:rPr>
          <w:rFonts w:asciiTheme="majorHAnsi" w:eastAsia="Calibri" w:hAnsiTheme="majorHAnsi" w:cstheme="majorHAnsi"/>
          <w:szCs w:val="22"/>
        </w:rPr>
        <w:t xml:space="preserve"> </w:t>
      </w:r>
      <w:r w:rsidRPr="00CC0863">
        <w:rPr>
          <w:rFonts w:asciiTheme="majorHAnsi" w:eastAsia="Calibri" w:hAnsiTheme="majorHAnsi" w:cstheme="majorHAnsi"/>
          <w:szCs w:val="22"/>
        </w:rPr>
        <w:t xml:space="preserve">El suelo Urbano se </w:t>
      </w:r>
      <w:r w:rsidR="0057593F" w:rsidRPr="00CC0863">
        <w:rPr>
          <w:rFonts w:asciiTheme="majorHAnsi" w:eastAsia="Calibri" w:hAnsiTheme="majorHAnsi" w:cstheme="majorHAnsi"/>
          <w:szCs w:val="22"/>
        </w:rPr>
        <w:t>su</w:t>
      </w:r>
      <w:r w:rsidR="00896A7D" w:rsidRPr="00CC0863">
        <w:rPr>
          <w:rFonts w:asciiTheme="majorHAnsi" w:eastAsia="Calibri" w:hAnsiTheme="majorHAnsi" w:cstheme="majorHAnsi"/>
          <w:szCs w:val="22"/>
        </w:rPr>
        <w:t>b</w:t>
      </w:r>
      <w:r w:rsidR="0057593F" w:rsidRPr="00CC0863">
        <w:rPr>
          <w:rFonts w:asciiTheme="majorHAnsi" w:eastAsia="Calibri" w:hAnsiTheme="majorHAnsi" w:cstheme="majorHAnsi"/>
          <w:szCs w:val="22"/>
        </w:rPr>
        <w:t>clasifica</w:t>
      </w:r>
      <w:r w:rsidRPr="00CC0863">
        <w:rPr>
          <w:rFonts w:asciiTheme="majorHAnsi" w:eastAsia="Calibri" w:hAnsiTheme="majorHAnsi" w:cstheme="majorHAnsi"/>
          <w:szCs w:val="22"/>
        </w:rPr>
        <w:t xml:space="preserve"> en:</w:t>
      </w:r>
    </w:p>
    <w:p w14:paraId="3CE1DD48" w14:textId="1C489A82" w:rsidR="00DC27E8" w:rsidRPr="00B24A80" w:rsidRDefault="007F5505" w:rsidP="009F132D">
      <w:pPr>
        <w:numPr>
          <w:ilvl w:val="0"/>
          <w:numId w:val="20"/>
        </w:numPr>
        <w:pBdr>
          <w:top w:val="nil"/>
          <w:left w:val="nil"/>
          <w:bottom w:val="nil"/>
          <w:right w:val="nil"/>
          <w:between w:val="nil"/>
        </w:pBdr>
        <w:tabs>
          <w:tab w:val="left" w:pos="749"/>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Suelo urbano consolidado. - </w:t>
      </w:r>
      <w:r w:rsidR="00896A7D" w:rsidRPr="00B24A80">
        <w:rPr>
          <w:rFonts w:asciiTheme="majorHAnsi" w:eastAsia="Calibri" w:hAnsiTheme="majorHAnsi" w:cstheme="majorHAnsi"/>
          <w:color w:val="000000"/>
          <w:sz w:val="22"/>
          <w:szCs w:val="22"/>
        </w:rPr>
        <w:t>Es el suelo que cuenta con todos los servicios, equipamientos e infraestructuras necesarios, y que está predominantemente ocupado por edificaciones.</w:t>
      </w:r>
      <w:r w:rsidRPr="00B24A80">
        <w:rPr>
          <w:rFonts w:asciiTheme="majorHAnsi" w:eastAsia="Calibri" w:hAnsiTheme="majorHAnsi" w:cstheme="majorHAnsi"/>
          <w:color w:val="000000"/>
          <w:sz w:val="22"/>
          <w:szCs w:val="22"/>
        </w:rPr>
        <w:t>;</w:t>
      </w:r>
    </w:p>
    <w:p w14:paraId="3FF2EC52" w14:textId="15D022AA" w:rsidR="00DC27E8" w:rsidRPr="00B24A80" w:rsidRDefault="007F5505" w:rsidP="009F132D">
      <w:pPr>
        <w:numPr>
          <w:ilvl w:val="0"/>
          <w:numId w:val="20"/>
        </w:numPr>
        <w:pBdr>
          <w:top w:val="nil"/>
          <w:left w:val="nil"/>
          <w:bottom w:val="nil"/>
          <w:right w:val="nil"/>
          <w:between w:val="nil"/>
        </w:pBdr>
        <w:tabs>
          <w:tab w:val="left" w:pos="749"/>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Suelo urbano no consolidado. -</w:t>
      </w:r>
      <w:r w:rsidRPr="00B24A80">
        <w:rPr>
          <w:rFonts w:asciiTheme="majorHAnsi" w:eastAsia="Calibri" w:hAnsiTheme="majorHAnsi" w:cstheme="majorHAnsi"/>
          <w:color w:val="000000"/>
          <w:sz w:val="22"/>
          <w:szCs w:val="22"/>
        </w:rPr>
        <w:t xml:space="preserve"> </w:t>
      </w:r>
      <w:r w:rsidR="00896A7D" w:rsidRPr="00B24A80">
        <w:rPr>
          <w:rFonts w:asciiTheme="majorHAnsi" w:eastAsia="Calibri" w:hAnsiTheme="majorHAnsi" w:cstheme="majorHAnsi"/>
          <w:color w:val="000000"/>
          <w:sz w:val="22"/>
          <w:szCs w:val="22"/>
        </w:rPr>
        <w:t>Es el suelo que no cuenta con todos los servicios, infraestructuras y equipamientos necesarios, y que necesita un proceso adicional para completar o mejorar su edificación o urbanización</w:t>
      </w:r>
      <w:r w:rsidRPr="00B24A80">
        <w:rPr>
          <w:rFonts w:asciiTheme="majorHAnsi" w:eastAsia="Calibri" w:hAnsiTheme="majorHAnsi" w:cstheme="majorHAnsi"/>
          <w:color w:val="000000"/>
          <w:sz w:val="22"/>
          <w:szCs w:val="22"/>
        </w:rPr>
        <w:t>; y,</w:t>
      </w:r>
    </w:p>
    <w:p w14:paraId="6560E578" w14:textId="77777777" w:rsidR="00DC27E8" w:rsidRPr="00B24A80" w:rsidRDefault="007F5505" w:rsidP="009F132D">
      <w:pPr>
        <w:numPr>
          <w:ilvl w:val="0"/>
          <w:numId w:val="20"/>
        </w:numPr>
        <w:pBdr>
          <w:top w:val="nil"/>
          <w:left w:val="nil"/>
          <w:bottom w:val="nil"/>
          <w:right w:val="nil"/>
          <w:between w:val="nil"/>
        </w:pBdr>
        <w:tabs>
          <w:tab w:val="left" w:pos="756"/>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Suelo urbano de protección. -</w:t>
      </w:r>
      <w:r w:rsidRPr="00B24A80">
        <w:rPr>
          <w:rFonts w:asciiTheme="majorHAnsi" w:eastAsia="Calibri" w:hAnsiTheme="majorHAnsi" w:cstheme="majorHAnsi"/>
          <w:color w:val="000000"/>
          <w:sz w:val="22"/>
          <w:szCs w:val="22"/>
        </w:rPr>
        <w:t xml:space="preserve"> Es aquel que, por sus especiales características, biofísicas sociales, culturales o </w:t>
      </w:r>
      <w:r w:rsidRPr="00B24A80">
        <w:rPr>
          <w:rFonts w:asciiTheme="majorHAnsi" w:eastAsia="Calibri" w:hAnsiTheme="majorHAnsi" w:cstheme="majorHAnsi"/>
          <w:sz w:val="22"/>
          <w:szCs w:val="22"/>
        </w:rPr>
        <w:t>paisajísticas</w:t>
      </w:r>
      <w:r w:rsidRPr="00B24A80">
        <w:rPr>
          <w:rFonts w:asciiTheme="majorHAnsi" w:eastAsia="Calibri" w:hAnsiTheme="majorHAnsi" w:cstheme="majorHAnsi"/>
          <w:color w:val="000000"/>
          <w:sz w:val="22"/>
          <w:szCs w:val="22"/>
        </w:rPr>
        <w:t>, o por presentar factores de riesgo para asentamientos humanos, debe ser protegido y en el cual se restringirá la ocupación.</w:t>
      </w:r>
    </w:p>
    <w:p w14:paraId="0B9142C2" w14:textId="73DA7A3F" w:rsidR="00DC27E8" w:rsidRPr="00B24A80" w:rsidRDefault="007F5505" w:rsidP="00690285">
      <w:pPr>
        <w:pBdr>
          <w:top w:val="nil"/>
          <w:left w:val="nil"/>
          <w:bottom w:val="nil"/>
          <w:right w:val="nil"/>
          <w:between w:val="nil"/>
        </w:pBdr>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i/>
          <w:sz w:val="22"/>
          <w:szCs w:val="22"/>
        </w:rPr>
        <w:t xml:space="preserve">Ver en las láminas. Mapa de </w:t>
      </w:r>
      <w:r w:rsidR="004C0A18" w:rsidRPr="00B24A80">
        <w:rPr>
          <w:rFonts w:asciiTheme="majorHAnsi" w:eastAsia="Calibri" w:hAnsiTheme="majorHAnsi" w:cstheme="majorHAnsi"/>
          <w:i/>
          <w:sz w:val="22"/>
          <w:szCs w:val="22"/>
        </w:rPr>
        <w:t>sub</w:t>
      </w:r>
      <w:r w:rsidR="00416ED3" w:rsidRPr="00B24A80">
        <w:rPr>
          <w:rFonts w:asciiTheme="majorHAnsi" w:eastAsia="Calibri" w:hAnsiTheme="majorHAnsi" w:cstheme="majorHAnsi"/>
          <w:i/>
          <w:sz w:val="22"/>
          <w:szCs w:val="22"/>
        </w:rPr>
        <w:t>clasificación de</w:t>
      </w:r>
      <w:r w:rsidRPr="00B24A80">
        <w:rPr>
          <w:rFonts w:asciiTheme="majorHAnsi" w:eastAsia="Calibri" w:hAnsiTheme="majorHAnsi" w:cstheme="majorHAnsi"/>
          <w:i/>
          <w:sz w:val="22"/>
          <w:szCs w:val="22"/>
        </w:rPr>
        <w:t xml:space="preserve"> suelo</w:t>
      </w:r>
      <w:r w:rsidR="00315A47" w:rsidRPr="00B24A80">
        <w:rPr>
          <w:rFonts w:asciiTheme="majorHAnsi" w:eastAsia="Calibri" w:hAnsiTheme="majorHAnsi" w:cstheme="majorHAnsi"/>
          <w:i/>
          <w:sz w:val="22"/>
          <w:szCs w:val="22"/>
        </w:rPr>
        <w:t xml:space="preserve"> urbano</w:t>
      </w:r>
      <w:r w:rsidRPr="00B24A80">
        <w:rPr>
          <w:rFonts w:asciiTheme="majorHAnsi" w:eastAsia="Calibri" w:hAnsiTheme="majorHAnsi" w:cstheme="majorHAnsi"/>
          <w:i/>
          <w:sz w:val="22"/>
          <w:szCs w:val="22"/>
        </w:rPr>
        <w:t xml:space="preserve"> - cantón </w:t>
      </w:r>
      <w:r w:rsidR="00E30701" w:rsidRPr="00B24A80">
        <w:rPr>
          <w:rFonts w:asciiTheme="majorHAnsi" w:eastAsia="Calibri" w:hAnsiTheme="majorHAnsi" w:cstheme="majorHAnsi"/>
          <w:i/>
          <w:sz w:val="22"/>
          <w:szCs w:val="22"/>
        </w:rPr>
        <w:t>La Joya de los Sachas</w:t>
      </w:r>
      <w:r w:rsidRPr="00B24A80">
        <w:rPr>
          <w:rFonts w:asciiTheme="majorHAnsi" w:eastAsia="Calibri" w:hAnsiTheme="majorHAnsi" w:cstheme="majorHAnsi"/>
          <w:i/>
          <w:sz w:val="22"/>
          <w:szCs w:val="22"/>
        </w:rPr>
        <w:t xml:space="preserve"> - perteneciente a cada parroquia.)</w:t>
      </w:r>
    </w:p>
    <w:p w14:paraId="400646EC" w14:textId="5ABCF46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Suelo rural. -</w:t>
      </w:r>
      <w:r w:rsidRPr="00B24A80">
        <w:rPr>
          <w:rFonts w:asciiTheme="majorHAnsi" w:eastAsia="Calibri" w:hAnsiTheme="majorHAnsi" w:cstheme="majorHAnsi"/>
          <w:color w:val="000000"/>
          <w:szCs w:val="22"/>
        </w:rPr>
        <w:t xml:space="preserve"> El suelo rural es el destinado principalmente a las actividades </w:t>
      </w:r>
      <w:r w:rsidR="00CF7A31" w:rsidRPr="00B24A80">
        <w:rPr>
          <w:rFonts w:asciiTheme="majorHAnsi" w:eastAsia="Calibri" w:hAnsiTheme="majorHAnsi" w:cstheme="majorHAnsi"/>
          <w:color w:val="000000"/>
          <w:szCs w:val="22"/>
        </w:rPr>
        <w:t>agro-productivas</w:t>
      </w:r>
      <w:r w:rsidRPr="00B24A80">
        <w:rPr>
          <w:rFonts w:asciiTheme="majorHAnsi" w:eastAsia="Calibri" w:hAnsiTheme="majorHAnsi" w:cstheme="majorHAnsi"/>
          <w:color w:val="000000"/>
          <w:szCs w:val="22"/>
        </w:rPr>
        <w:t>, extractivas o forestales o el que, por sus especiales características biofísicas, geográficas o climatológicas, debe ser protegido o reservado para futuros usos</w:t>
      </w:r>
      <w:r w:rsidR="00152171">
        <w:rPr>
          <w:rFonts w:asciiTheme="majorHAnsi" w:eastAsia="Calibri" w:hAnsiTheme="majorHAnsi" w:cstheme="majorHAnsi"/>
          <w:color w:val="000000"/>
          <w:szCs w:val="22"/>
        </w:rPr>
        <w:t xml:space="preserve"> urbanos. </w:t>
      </w:r>
      <w:r w:rsidR="00152171" w:rsidRPr="001E0E17">
        <w:rPr>
          <w:rFonts w:asciiTheme="majorHAnsi" w:eastAsia="Calibri" w:hAnsiTheme="majorHAnsi" w:cstheme="majorHAnsi"/>
          <w:szCs w:val="22"/>
        </w:rPr>
        <w:t xml:space="preserve">Área </w:t>
      </w:r>
      <w:r w:rsidR="00CF7A31" w:rsidRPr="001E0E17">
        <w:rPr>
          <w:rFonts w:asciiTheme="majorHAnsi" w:eastAsia="Calibri" w:hAnsiTheme="majorHAnsi" w:cstheme="majorHAnsi"/>
          <w:szCs w:val="22"/>
        </w:rPr>
        <w:t xml:space="preserve">que </w:t>
      </w:r>
      <w:r w:rsidR="00CF7A31" w:rsidRPr="001E0E17">
        <w:rPr>
          <w:rFonts w:asciiTheme="majorHAnsi" w:eastAsia="Calibri" w:hAnsiTheme="majorHAnsi" w:cstheme="majorHAnsi"/>
          <w:szCs w:val="22"/>
        </w:rPr>
        <w:lastRenderedPageBreak/>
        <w:t>se</w:t>
      </w:r>
      <w:r w:rsidR="00152171" w:rsidRPr="001E0E17">
        <w:rPr>
          <w:rFonts w:asciiTheme="majorHAnsi" w:eastAsia="Calibri" w:hAnsiTheme="majorHAnsi" w:cstheme="majorHAnsi"/>
          <w:szCs w:val="22"/>
        </w:rPr>
        <w:t xml:space="preserve"> encuentra</w:t>
      </w:r>
      <w:r w:rsidR="007C0C0F" w:rsidRPr="001E0E17">
        <w:rPr>
          <w:rFonts w:asciiTheme="majorHAnsi" w:eastAsia="Calibri" w:hAnsiTheme="majorHAnsi" w:cstheme="majorHAnsi"/>
          <w:szCs w:val="22"/>
        </w:rPr>
        <w:t xml:space="preserve"> fuera de los límites urbanos establecidos en la presente ordenanza.</w:t>
      </w:r>
      <w:r w:rsidR="007C0C0F" w:rsidRPr="002355BF">
        <w:rPr>
          <w:rFonts w:asciiTheme="majorHAnsi" w:eastAsia="Calibri" w:hAnsiTheme="majorHAnsi" w:cstheme="majorHAnsi"/>
          <w:color w:val="92D050"/>
          <w:szCs w:val="22"/>
        </w:rPr>
        <w:t xml:space="preserve"> </w:t>
      </w:r>
      <w:r w:rsidR="00754443" w:rsidRPr="00B24A80">
        <w:rPr>
          <w:rFonts w:asciiTheme="majorHAnsi" w:eastAsia="Calibri" w:hAnsiTheme="majorHAnsi" w:cstheme="majorHAnsi"/>
          <w:color w:val="000000"/>
          <w:szCs w:val="22"/>
        </w:rPr>
        <w:t xml:space="preserve">(Ordenanza que reforma a la ordenanza que aprueba el Plan De Desarrollo Y Ordenamiento Territorial y su alineación al Plan Nacional De Desarrollo 2021 - 2025 y la formulación del Plan De Uso Y Gestión Del Suelo, Edición Especial Nº 152 - Registro Oficial, lunes 25 de abril de 2022) </w:t>
      </w:r>
      <w:r w:rsidRPr="00B24A80">
        <w:rPr>
          <w:rFonts w:asciiTheme="majorHAnsi" w:eastAsia="Calibri" w:hAnsiTheme="majorHAnsi" w:cstheme="majorHAnsi"/>
          <w:color w:val="000000"/>
          <w:szCs w:val="22"/>
        </w:rPr>
        <w:t>(</w:t>
      </w:r>
      <w:r w:rsidRPr="00B24A80">
        <w:rPr>
          <w:rFonts w:asciiTheme="majorHAnsi" w:eastAsia="Calibri" w:hAnsiTheme="majorHAnsi" w:cstheme="majorHAnsi"/>
          <w:i/>
          <w:color w:val="000000"/>
          <w:szCs w:val="22"/>
        </w:rPr>
        <w:t xml:space="preserve">Ver </w:t>
      </w:r>
      <w:r w:rsidR="00690285" w:rsidRPr="00B24A80">
        <w:rPr>
          <w:rFonts w:asciiTheme="majorHAnsi" w:eastAsia="Calibri" w:hAnsiTheme="majorHAnsi" w:cstheme="majorHAnsi"/>
          <w:i/>
          <w:szCs w:val="22"/>
        </w:rPr>
        <w:t>lámina:</w:t>
      </w:r>
      <w:r w:rsidRPr="00B24A80">
        <w:rPr>
          <w:rFonts w:asciiTheme="majorHAnsi" w:eastAsia="Calibri" w:hAnsiTheme="majorHAnsi" w:cstheme="majorHAnsi"/>
          <w:i/>
          <w:szCs w:val="22"/>
        </w:rPr>
        <w:t xml:space="preserve"> Mapa </w:t>
      </w:r>
      <w:r w:rsidRPr="00B24A80">
        <w:rPr>
          <w:rFonts w:asciiTheme="majorHAnsi" w:eastAsia="Calibri" w:hAnsiTheme="majorHAnsi" w:cstheme="majorHAnsi"/>
          <w:i/>
          <w:color w:val="000000"/>
          <w:szCs w:val="22"/>
        </w:rPr>
        <w:t xml:space="preserve">de </w:t>
      </w:r>
      <w:r w:rsidR="00754443" w:rsidRPr="00B24A80">
        <w:rPr>
          <w:rFonts w:asciiTheme="majorHAnsi" w:eastAsia="Calibri" w:hAnsiTheme="majorHAnsi" w:cstheme="majorHAnsi"/>
          <w:i/>
          <w:color w:val="000000"/>
          <w:szCs w:val="22"/>
        </w:rPr>
        <w:t>C</w:t>
      </w:r>
      <w:r w:rsidR="00D831C7" w:rsidRPr="00B24A80">
        <w:rPr>
          <w:rFonts w:asciiTheme="majorHAnsi" w:eastAsia="Calibri" w:hAnsiTheme="majorHAnsi" w:cstheme="majorHAnsi"/>
          <w:i/>
          <w:szCs w:val="22"/>
        </w:rPr>
        <w:t>lasificación</w:t>
      </w:r>
      <w:r w:rsidR="000B2530" w:rsidRPr="00B24A80">
        <w:rPr>
          <w:rFonts w:asciiTheme="majorHAnsi" w:eastAsia="Calibri" w:hAnsiTheme="majorHAnsi" w:cstheme="majorHAnsi"/>
          <w:i/>
          <w:szCs w:val="22"/>
        </w:rPr>
        <w:t xml:space="preserve"> </w:t>
      </w:r>
      <w:r w:rsidRPr="00B24A80">
        <w:rPr>
          <w:rFonts w:asciiTheme="majorHAnsi" w:eastAsia="Calibri" w:hAnsiTheme="majorHAnsi" w:cstheme="majorHAnsi"/>
          <w:i/>
          <w:color w:val="000000"/>
          <w:szCs w:val="22"/>
        </w:rPr>
        <w:t xml:space="preserve">del suelo </w:t>
      </w:r>
      <w:r w:rsidRPr="00B24A80">
        <w:rPr>
          <w:rFonts w:asciiTheme="majorHAnsi" w:eastAsia="Calibri" w:hAnsiTheme="majorHAnsi" w:cstheme="majorHAnsi"/>
          <w:i/>
          <w:szCs w:val="22"/>
        </w:rPr>
        <w:t xml:space="preserve">- </w:t>
      </w:r>
      <w:r w:rsidR="00CD4F27" w:rsidRPr="00B24A80">
        <w:rPr>
          <w:rFonts w:asciiTheme="majorHAnsi" w:eastAsia="Calibri" w:hAnsiTheme="majorHAnsi" w:cstheme="majorHAnsi"/>
          <w:i/>
          <w:szCs w:val="22"/>
        </w:rPr>
        <w:t>cantón La Joya de los Sachas</w:t>
      </w:r>
      <w:r w:rsidRPr="00B24A80">
        <w:rPr>
          <w:rFonts w:asciiTheme="majorHAnsi" w:eastAsia="Calibri" w:hAnsiTheme="majorHAnsi" w:cstheme="majorHAnsi"/>
          <w:i/>
          <w:szCs w:val="22"/>
        </w:rPr>
        <w:t>)</w:t>
      </w:r>
    </w:p>
    <w:p w14:paraId="15A010D5" w14:textId="77777777" w:rsidR="00690285" w:rsidRPr="00B24A80" w:rsidRDefault="00690285">
      <w:p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p>
    <w:p w14:paraId="4BDB9BC2" w14:textId="589635F0" w:rsidR="00DC27E8" w:rsidRPr="00B24A80" w:rsidRDefault="007F5505">
      <w:p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El suelo rural se </w:t>
      </w:r>
      <w:r w:rsidR="006806B8" w:rsidRPr="00B24A80">
        <w:rPr>
          <w:rFonts w:asciiTheme="majorHAnsi" w:eastAsia="Calibri" w:hAnsiTheme="majorHAnsi" w:cstheme="majorHAnsi"/>
          <w:color w:val="000000"/>
          <w:sz w:val="22"/>
          <w:szCs w:val="22"/>
        </w:rPr>
        <w:t>sub</w:t>
      </w:r>
      <w:r w:rsidRPr="00B24A80">
        <w:rPr>
          <w:rFonts w:asciiTheme="majorHAnsi" w:eastAsia="Calibri" w:hAnsiTheme="majorHAnsi" w:cstheme="majorHAnsi"/>
          <w:color w:val="000000"/>
          <w:sz w:val="22"/>
          <w:szCs w:val="22"/>
        </w:rPr>
        <w:t>clasifica</w:t>
      </w:r>
      <w:r w:rsidR="006806B8" w:rsidRPr="00B24A80">
        <w:rPr>
          <w:rFonts w:asciiTheme="majorHAnsi" w:eastAsia="Calibri" w:hAnsiTheme="majorHAnsi" w:cstheme="majorHAnsi"/>
          <w:color w:val="000000"/>
          <w:sz w:val="22"/>
          <w:szCs w:val="22"/>
        </w:rPr>
        <w:t xml:space="preserve"> en</w:t>
      </w:r>
      <w:r w:rsidRPr="00B24A80">
        <w:rPr>
          <w:rFonts w:asciiTheme="majorHAnsi" w:eastAsia="Calibri" w:hAnsiTheme="majorHAnsi" w:cstheme="majorHAnsi"/>
          <w:color w:val="000000"/>
          <w:sz w:val="22"/>
          <w:szCs w:val="22"/>
        </w:rPr>
        <w:t>:</w:t>
      </w:r>
    </w:p>
    <w:p w14:paraId="42F33B04" w14:textId="77777777" w:rsidR="00DC27E8" w:rsidRPr="00B24A80" w:rsidRDefault="006806B8">
      <w:p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 </w:t>
      </w:r>
    </w:p>
    <w:p w14:paraId="082BE49E" w14:textId="4DD3D7BE" w:rsidR="00DC27E8" w:rsidRPr="00B24A80" w:rsidRDefault="007F5505" w:rsidP="009F132D">
      <w:pPr>
        <w:numPr>
          <w:ilvl w:val="0"/>
          <w:numId w:val="8"/>
        </w:numPr>
        <w:pBdr>
          <w:top w:val="nil"/>
          <w:left w:val="nil"/>
          <w:bottom w:val="nil"/>
          <w:right w:val="nil"/>
          <w:between w:val="nil"/>
        </w:pBdr>
        <w:tabs>
          <w:tab w:val="left" w:pos="757"/>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Suelo rural de producción. -</w:t>
      </w:r>
      <w:r w:rsidRPr="00B24A80">
        <w:rPr>
          <w:rFonts w:asciiTheme="majorHAnsi" w:eastAsia="Calibri" w:hAnsiTheme="majorHAnsi" w:cstheme="majorHAnsi"/>
          <w:color w:val="000000"/>
          <w:sz w:val="22"/>
          <w:szCs w:val="22"/>
        </w:rPr>
        <w:t xml:space="preserve"> Es aquel destinado a actividades </w:t>
      </w:r>
      <w:r w:rsidR="00A244C5" w:rsidRPr="00B24A80">
        <w:rPr>
          <w:rFonts w:asciiTheme="majorHAnsi" w:eastAsia="Calibri" w:hAnsiTheme="majorHAnsi" w:cstheme="majorHAnsi"/>
          <w:color w:val="000000"/>
          <w:sz w:val="22"/>
          <w:szCs w:val="22"/>
        </w:rPr>
        <w:t>agro-productivas</w:t>
      </w:r>
      <w:r w:rsidRPr="00B24A80">
        <w:rPr>
          <w:rFonts w:asciiTheme="majorHAnsi" w:eastAsia="Calibri" w:hAnsiTheme="majorHAnsi" w:cstheme="majorHAnsi"/>
          <w:color w:val="000000"/>
          <w:sz w:val="22"/>
          <w:szCs w:val="22"/>
        </w:rPr>
        <w:t>, acuícolas, ganaderas, forestales y de aprovechamiento turístico, respetuosas del ambiente. Se encuentra restringida la construcción y el fraccionamiento;</w:t>
      </w:r>
      <w:r w:rsidR="00E104C4" w:rsidRPr="00B24A80">
        <w:rPr>
          <w:rFonts w:asciiTheme="majorHAnsi" w:eastAsia="Calibri" w:hAnsiTheme="majorHAnsi" w:cstheme="majorHAnsi"/>
          <w:color w:val="000000"/>
          <w:sz w:val="22"/>
          <w:szCs w:val="22"/>
        </w:rPr>
        <w:t xml:space="preserve"> </w:t>
      </w:r>
    </w:p>
    <w:p w14:paraId="16EE44E9" w14:textId="77777777" w:rsidR="00DC27E8" w:rsidRPr="00B24A80" w:rsidRDefault="007F5505" w:rsidP="009F132D">
      <w:pPr>
        <w:numPr>
          <w:ilvl w:val="0"/>
          <w:numId w:val="8"/>
        </w:numPr>
        <w:pBdr>
          <w:top w:val="nil"/>
          <w:left w:val="nil"/>
          <w:bottom w:val="nil"/>
          <w:right w:val="nil"/>
          <w:between w:val="nil"/>
        </w:pBdr>
        <w:tabs>
          <w:tab w:val="left" w:pos="764"/>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Suelo rural para aprovechamiento extractivo. -</w:t>
      </w:r>
      <w:r w:rsidRPr="00B24A80">
        <w:rPr>
          <w:rFonts w:asciiTheme="majorHAnsi" w:eastAsia="Calibri" w:hAnsiTheme="majorHAnsi" w:cstheme="majorHAnsi"/>
          <w:color w:val="000000"/>
          <w:sz w:val="22"/>
          <w:szCs w:val="22"/>
        </w:rPr>
        <w:t xml:space="preserve"> Es el destinado por la autoridad competente, de conformidad con la legislación vigente, para actividades extractivas de recursos naturales no renovables, garantizando los derechos de la naturaleza;</w:t>
      </w:r>
    </w:p>
    <w:p w14:paraId="4DD66B5F" w14:textId="5118DC1F" w:rsidR="00DC27E8" w:rsidRPr="00B24A80" w:rsidRDefault="007F5505" w:rsidP="009F132D">
      <w:pPr>
        <w:numPr>
          <w:ilvl w:val="0"/>
          <w:numId w:val="8"/>
        </w:numPr>
        <w:pBdr>
          <w:top w:val="nil"/>
          <w:left w:val="nil"/>
          <w:bottom w:val="nil"/>
          <w:right w:val="nil"/>
          <w:between w:val="nil"/>
        </w:pBdr>
        <w:tabs>
          <w:tab w:val="left" w:pos="764"/>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Suelo rural de expansión urbana. -</w:t>
      </w:r>
      <w:r w:rsidRPr="00B24A80">
        <w:rPr>
          <w:rFonts w:asciiTheme="majorHAnsi" w:eastAsia="Calibri" w:hAnsiTheme="majorHAnsi" w:cstheme="majorHAnsi"/>
          <w:color w:val="000000"/>
          <w:sz w:val="22"/>
          <w:szCs w:val="22"/>
        </w:rPr>
        <w:t xml:space="preserve"> Es el suelo rural que podrá ser habilitado para uso de suelo urbano</w:t>
      </w:r>
      <w:r w:rsidR="00AD5028"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 xml:space="preserve">El suelo de expansión </w:t>
      </w:r>
      <w:r w:rsidR="00E957E6" w:rsidRPr="00B24A80">
        <w:rPr>
          <w:rFonts w:asciiTheme="majorHAnsi" w:eastAsia="Calibri" w:hAnsiTheme="majorHAnsi" w:cstheme="majorHAnsi"/>
          <w:color w:val="000000"/>
          <w:sz w:val="22"/>
          <w:szCs w:val="22"/>
        </w:rPr>
        <w:t>urbana</w:t>
      </w:r>
      <w:r w:rsidRPr="00B24A80">
        <w:rPr>
          <w:rFonts w:asciiTheme="majorHAnsi" w:eastAsia="Calibri" w:hAnsiTheme="majorHAnsi" w:cstheme="majorHAnsi"/>
          <w:color w:val="000000"/>
          <w:sz w:val="22"/>
          <w:szCs w:val="22"/>
        </w:rPr>
        <w:t xml:space="preserve"> será siempre colindante con el suelo urbano;</w:t>
      </w:r>
      <w:r w:rsidR="001A0F6A" w:rsidRPr="00B24A80">
        <w:rPr>
          <w:rFonts w:asciiTheme="majorHAnsi" w:eastAsia="Calibri" w:hAnsiTheme="majorHAnsi" w:cstheme="majorHAnsi"/>
          <w:color w:val="000000"/>
          <w:sz w:val="22"/>
          <w:szCs w:val="22"/>
        </w:rPr>
        <w:t xml:space="preserve"> para el caso del </w:t>
      </w:r>
      <w:r w:rsidR="00C67255" w:rsidRPr="00B24A80">
        <w:rPr>
          <w:rFonts w:asciiTheme="majorHAnsi" w:eastAsia="Calibri" w:hAnsiTheme="majorHAnsi" w:cstheme="majorHAnsi"/>
          <w:color w:val="000000"/>
          <w:sz w:val="22"/>
          <w:szCs w:val="22"/>
        </w:rPr>
        <w:t>C</w:t>
      </w:r>
      <w:r w:rsidR="001A0F6A" w:rsidRPr="00B24A80">
        <w:rPr>
          <w:rFonts w:asciiTheme="majorHAnsi" w:eastAsia="Calibri" w:hAnsiTheme="majorHAnsi" w:cstheme="majorHAnsi"/>
          <w:color w:val="000000"/>
          <w:sz w:val="22"/>
          <w:szCs w:val="22"/>
        </w:rPr>
        <w:t>antón no se consideró incorporar esta subclasificación en el PUGS</w:t>
      </w:r>
      <w:r w:rsidR="00C67255" w:rsidRPr="00B24A80">
        <w:rPr>
          <w:rFonts w:asciiTheme="majorHAnsi" w:eastAsia="Calibri" w:hAnsiTheme="majorHAnsi" w:cstheme="majorHAnsi"/>
          <w:color w:val="000000"/>
          <w:sz w:val="22"/>
          <w:szCs w:val="22"/>
        </w:rPr>
        <w:t xml:space="preserve"> </w:t>
      </w:r>
      <w:r w:rsidR="001A0F6A" w:rsidRPr="00B24A80">
        <w:rPr>
          <w:rFonts w:asciiTheme="majorHAnsi" w:eastAsia="Calibri" w:hAnsiTheme="majorHAnsi" w:cstheme="majorHAnsi"/>
          <w:color w:val="000000"/>
          <w:sz w:val="22"/>
          <w:szCs w:val="22"/>
        </w:rPr>
        <w:t xml:space="preserve">2022 y de </w:t>
      </w:r>
      <w:r w:rsidR="006F2BFC" w:rsidRPr="00B24A80">
        <w:rPr>
          <w:rFonts w:asciiTheme="majorHAnsi" w:eastAsia="Calibri" w:hAnsiTheme="majorHAnsi" w:cstheme="majorHAnsi"/>
          <w:color w:val="000000"/>
          <w:sz w:val="22"/>
          <w:szCs w:val="22"/>
        </w:rPr>
        <w:t>acuerdo al</w:t>
      </w:r>
      <w:r w:rsidR="001A0F6A" w:rsidRPr="00B24A80">
        <w:rPr>
          <w:rFonts w:asciiTheme="majorHAnsi" w:eastAsia="Calibri" w:hAnsiTheme="majorHAnsi" w:cstheme="majorHAnsi"/>
          <w:color w:val="000000"/>
          <w:sz w:val="22"/>
          <w:szCs w:val="22"/>
        </w:rPr>
        <w:t xml:space="preserve"> análisis en la actualización no se requiere de incorporar</w:t>
      </w:r>
      <w:r w:rsidRPr="00B24A80">
        <w:rPr>
          <w:rFonts w:asciiTheme="majorHAnsi" w:eastAsia="Calibri" w:hAnsiTheme="majorHAnsi" w:cstheme="majorHAnsi"/>
          <w:color w:val="000000"/>
          <w:sz w:val="22"/>
          <w:szCs w:val="22"/>
        </w:rPr>
        <w:t xml:space="preserve"> y,</w:t>
      </w:r>
    </w:p>
    <w:p w14:paraId="35E1F55A" w14:textId="77777777" w:rsidR="00DC27E8" w:rsidRPr="00B24A80" w:rsidRDefault="007F5505" w:rsidP="009F132D">
      <w:pPr>
        <w:numPr>
          <w:ilvl w:val="0"/>
          <w:numId w:val="8"/>
        </w:numPr>
        <w:pBdr>
          <w:top w:val="nil"/>
          <w:left w:val="nil"/>
          <w:bottom w:val="nil"/>
          <w:right w:val="nil"/>
          <w:between w:val="nil"/>
        </w:pBdr>
        <w:tabs>
          <w:tab w:val="left" w:pos="771"/>
        </w:tabs>
        <w:spacing w:after="295"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Suelo rural de protección. -</w:t>
      </w:r>
      <w:r w:rsidRPr="00B24A80">
        <w:rPr>
          <w:rFonts w:asciiTheme="majorHAnsi" w:eastAsia="Calibri" w:hAnsiTheme="majorHAnsi" w:cstheme="majorHAnsi"/>
          <w:color w:val="000000"/>
          <w:sz w:val="22"/>
          <w:szCs w:val="22"/>
        </w:rPr>
        <w:t xml:space="preserve"> Es aquel que, por sus especiales características, biofísicas, ambientales, socioculturales o por presentar factores de riesgo o amenazas naturales o antrópicas, merece medidas específicas de protección.</w:t>
      </w:r>
    </w:p>
    <w:p w14:paraId="7AF1E653" w14:textId="19C4DE3D" w:rsidR="00012C72" w:rsidRPr="00B24A80" w:rsidRDefault="00012C72" w:rsidP="00012C72">
      <w:pPr>
        <w:widowControl/>
        <w:tabs>
          <w:tab w:val="left" w:pos="851"/>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w:t>
      </w:r>
      <w:r w:rsidRPr="00B24A80">
        <w:rPr>
          <w:rFonts w:asciiTheme="majorHAnsi" w:eastAsia="Calibri" w:hAnsiTheme="majorHAnsi" w:cstheme="majorHAnsi"/>
          <w:i/>
          <w:color w:val="000000"/>
          <w:sz w:val="22"/>
          <w:szCs w:val="22"/>
        </w:rPr>
        <w:t xml:space="preserve">Ver </w:t>
      </w:r>
      <w:r w:rsidRPr="00B24A80">
        <w:rPr>
          <w:rFonts w:asciiTheme="majorHAnsi" w:eastAsia="Calibri" w:hAnsiTheme="majorHAnsi" w:cstheme="majorHAnsi"/>
          <w:i/>
          <w:sz w:val="22"/>
          <w:szCs w:val="22"/>
        </w:rPr>
        <w:t xml:space="preserve">lámina: Mapa </w:t>
      </w:r>
      <w:r w:rsidRPr="00B24A80">
        <w:rPr>
          <w:rFonts w:asciiTheme="majorHAnsi" w:eastAsia="Calibri" w:hAnsiTheme="majorHAnsi" w:cstheme="majorHAnsi"/>
          <w:i/>
          <w:color w:val="000000"/>
          <w:sz w:val="22"/>
          <w:szCs w:val="22"/>
        </w:rPr>
        <w:t>de Sub</w:t>
      </w:r>
      <w:r w:rsidRPr="00B24A80">
        <w:rPr>
          <w:rFonts w:asciiTheme="majorHAnsi" w:eastAsia="Calibri" w:hAnsiTheme="majorHAnsi" w:cstheme="majorHAnsi"/>
          <w:i/>
          <w:sz w:val="22"/>
          <w:szCs w:val="22"/>
        </w:rPr>
        <w:t xml:space="preserve">clasificación </w:t>
      </w:r>
      <w:r w:rsidRPr="00B24A80">
        <w:rPr>
          <w:rFonts w:asciiTheme="majorHAnsi" w:eastAsia="Calibri" w:hAnsiTheme="majorHAnsi" w:cstheme="majorHAnsi"/>
          <w:i/>
          <w:color w:val="000000"/>
          <w:sz w:val="22"/>
          <w:szCs w:val="22"/>
        </w:rPr>
        <w:t xml:space="preserve">del suelo rural </w:t>
      </w:r>
      <w:r w:rsidRPr="00B24A80">
        <w:rPr>
          <w:rFonts w:asciiTheme="majorHAnsi" w:eastAsia="Calibri" w:hAnsiTheme="majorHAnsi" w:cstheme="majorHAnsi"/>
          <w:i/>
          <w:sz w:val="22"/>
          <w:szCs w:val="22"/>
        </w:rPr>
        <w:t>- cantón La Joya de los Sachas)</w:t>
      </w:r>
    </w:p>
    <w:p w14:paraId="1A5AD852" w14:textId="77777777" w:rsidR="00012C72" w:rsidRPr="00B24A80" w:rsidRDefault="00012C72" w:rsidP="00012C72">
      <w:pPr>
        <w:pBdr>
          <w:top w:val="nil"/>
          <w:left w:val="nil"/>
          <w:bottom w:val="nil"/>
          <w:right w:val="nil"/>
          <w:between w:val="nil"/>
        </w:pBdr>
        <w:tabs>
          <w:tab w:val="left" w:pos="771"/>
        </w:tabs>
        <w:spacing w:after="295" w:line="276" w:lineRule="auto"/>
        <w:ind w:right="-100"/>
        <w:rPr>
          <w:rFonts w:asciiTheme="majorHAnsi" w:eastAsia="Calibri" w:hAnsiTheme="majorHAnsi" w:cstheme="majorHAnsi"/>
          <w:color w:val="000000"/>
          <w:sz w:val="22"/>
          <w:szCs w:val="22"/>
        </w:rPr>
      </w:pPr>
    </w:p>
    <w:p w14:paraId="173013CB" w14:textId="7ADCE1D6" w:rsidR="00DC27E8" w:rsidRPr="00B24A80" w:rsidRDefault="00690285" w:rsidP="0022677E">
      <w:pPr>
        <w:pStyle w:val="Ttulo3"/>
        <w:rPr>
          <w:rFonts w:cstheme="majorHAnsi"/>
          <w:sz w:val="22"/>
          <w:szCs w:val="22"/>
        </w:rPr>
      </w:pPr>
      <w:bookmarkStart w:id="47" w:name="_heading=h.1ksv4uv" w:colFirst="0" w:colLast="0"/>
      <w:bookmarkStart w:id="48" w:name="_heading=h.1y810tw" w:colFirst="0" w:colLast="0"/>
      <w:bookmarkStart w:id="49" w:name="_Toc65711692"/>
      <w:bookmarkStart w:id="50" w:name="_Toc81085632"/>
      <w:bookmarkStart w:id="51" w:name="_Toc181374071"/>
      <w:bookmarkEnd w:id="47"/>
      <w:bookmarkEnd w:id="48"/>
      <w:r w:rsidRPr="00B24A80">
        <w:rPr>
          <w:rFonts w:cstheme="majorHAnsi"/>
          <w:sz w:val="22"/>
          <w:szCs w:val="22"/>
        </w:rPr>
        <w:t>CAPÍTULO II</w:t>
      </w:r>
      <w:bookmarkStart w:id="52" w:name="_heading=h.4i7ojhp" w:colFirst="0" w:colLast="0"/>
      <w:bookmarkEnd w:id="52"/>
      <w:r w:rsidR="0022677E" w:rsidRPr="00B24A80">
        <w:rPr>
          <w:rFonts w:cstheme="majorHAnsi"/>
          <w:sz w:val="22"/>
          <w:szCs w:val="22"/>
        </w:rPr>
        <w:br/>
      </w:r>
      <w:r w:rsidR="007F5505" w:rsidRPr="00B24A80">
        <w:rPr>
          <w:rFonts w:cstheme="majorHAnsi"/>
          <w:sz w:val="22"/>
          <w:szCs w:val="22"/>
        </w:rPr>
        <w:t>Planificación y Gestión del Suelo</w:t>
      </w:r>
      <w:bookmarkEnd w:id="49"/>
      <w:bookmarkEnd w:id="50"/>
      <w:bookmarkEnd w:id="51"/>
    </w:p>
    <w:p w14:paraId="2A740207" w14:textId="36534840" w:rsidR="00DC27E8" w:rsidRPr="006F2BFC"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6F2BFC">
        <w:rPr>
          <w:rFonts w:asciiTheme="majorHAnsi" w:eastAsia="Calibri" w:hAnsiTheme="majorHAnsi" w:cstheme="majorHAnsi"/>
          <w:b/>
          <w:szCs w:val="22"/>
        </w:rPr>
        <w:t xml:space="preserve"> Áreas de dominio público y equipamiento. -</w:t>
      </w:r>
      <w:r w:rsidRPr="006F2BFC">
        <w:rPr>
          <w:rFonts w:asciiTheme="majorHAnsi" w:eastAsia="Calibri" w:hAnsiTheme="majorHAnsi" w:cstheme="majorHAnsi"/>
          <w:szCs w:val="22"/>
        </w:rPr>
        <w:t xml:space="preserve"> El Gobierno Autónomo</w:t>
      </w:r>
      <w:r w:rsidR="004C0A18" w:rsidRPr="006F2BFC">
        <w:rPr>
          <w:rFonts w:asciiTheme="majorHAnsi" w:eastAsia="Calibri" w:hAnsiTheme="majorHAnsi" w:cstheme="majorHAnsi"/>
          <w:szCs w:val="22"/>
        </w:rPr>
        <w:t xml:space="preserve"> Descentralizado Municipal del </w:t>
      </w:r>
      <w:r w:rsidR="00CD4F27" w:rsidRPr="006F2BFC">
        <w:rPr>
          <w:rFonts w:asciiTheme="majorHAnsi" w:eastAsia="Calibri" w:hAnsiTheme="majorHAnsi" w:cstheme="majorHAnsi"/>
          <w:szCs w:val="22"/>
        </w:rPr>
        <w:t>cantón La Joya de los Sachas</w:t>
      </w:r>
      <w:r w:rsidRPr="006F2BFC">
        <w:rPr>
          <w:rFonts w:asciiTheme="majorHAnsi" w:eastAsia="Calibri" w:hAnsiTheme="majorHAnsi" w:cstheme="majorHAnsi"/>
          <w:szCs w:val="22"/>
        </w:rPr>
        <w:t xml:space="preserve"> programará y regulará los tipos, características, implantaciones, y modalidades de acceso, uso y goce del conjunto de los componentes del equipamiento urbano</w:t>
      </w:r>
      <w:r w:rsidR="007E471B" w:rsidRPr="006F2BFC">
        <w:rPr>
          <w:rFonts w:asciiTheme="majorHAnsi" w:eastAsia="Calibri" w:hAnsiTheme="majorHAnsi" w:cstheme="majorHAnsi"/>
          <w:szCs w:val="22"/>
        </w:rPr>
        <w:t>.</w:t>
      </w:r>
      <w:r w:rsidR="00F92C43" w:rsidRPr="006F2BFC">
        <w:t xml:space="preserve"> </w:t>
      </w:r>
      <w:r w:rsidR="00F92C43" w:rsidRPr="006F2BFC">
        <w:rPr>
          <w:rFonts w:asciiTheme="majorHAnsi" w:eastAsia="Calibri" w:hAnsiTheme="majorHAnsi" w:cstheme="majorHAnsi"/>
          <w:szCs w:val="22"/>
        </w:rPr>
        <w:t>El equipamiento urbano se refiere a la infraestructura y los servicios que se encuentran en las ciudades y que son necesarios para el funcionamiento y la calidad de vida de sus habitantes.</w:t>
      </w:r>
    </w:p>
    <w:p w14:paraId="3F7E919F" w14:textId="77777777" w:rsidR="00DC27E8" w:rsidRPr="00B24A80" w:rsidRDefault="007F5505">
      <w:p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componentes de equipamiento urbano podrán ser realizados por el Estado Central y personas o instituciones de carácter privado, solos o en forma conjunta, siempre que se sujeten a la programación y regulaciones establecidas por el planeamiento vigente, la reglamentación respectiva y por lo dispuesto en la presente ordenanza.</w:t>
      </w:r>
    </w:p>
    <w:p w14:paraId="75A55ABF" w14:textId="77777777" w:rsidR="00DC27E8" w:rsidRPr="00B24A80" w:rsidRDefault="00DC27E8">
      <w:pPr>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p>
    <w:p w14:paraId="5A782BE2" w14:textId="3117B978" w:rsidR="00E97AEB" w:rsidRDefault="007F5505" w:rsidP="00E97AEB">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lastRenderedPageBreak/>
        <w:t xml:space="preserve"> Uso de los equipamientos. -</w:t>
      </w:r>
      <w:r w:rsidRPr="00B24A80">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Es suelo destinado a actividades e instalaciones que generen bienes</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y servicios sociales y públicos para satisfacer las necesidades de la población o garantizar su</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esparcimiento, independientemente de su carácter público o privado. Los equipamientos</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deben clasificarse de acuerdo con su naturaleza y el radio de influencia, pudiendo ser</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tipificados como barriales para aquellos cuya influencia sea un barrio, sectoriales o zonales</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aquellos cuya influencia cubra varios barrios o zonas de la ciudad y equipamientos de</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ciudad a aquellos que por su influencia tenga alcance o puedan cubrir las necesidades de la</w:t>
      </w:r>
      <w:r w:rsidR="00E97AEB">
        <w:rPr>
          <w:rFonts w:asciiTheme="majorHAnsi" w:eastAsia="Calibri" w:hAnsiTheme="majorHAnsi" w:cstheme="majorHAnsi"/>
          <w:color w:val="000000"/>
          <w:szCs w:val="22"/>
        </w:rPr>
        <w:t xml:space="preserve"> </w:t>
      </w:r>
      <w:r w:rsidR="00E97AEB" w:rsidRPr="00E97AEB">
        <w:rPr>
          <w:rFonts w:asciiTheme="majorHAnsi" w:eastAsia="Calibri" w:hAnsiTheme="majorHAnsi" w:cstheme="majorHAnsi"/>
          <w:color w:val="000000"/>
          <w:szCs w:val="22"/>
        </w:rPr>
        <w:t>población de toda la ciudad.</w:t>
      </w:r>
    </w:p>
    <w:p w14:paraId="7632EC9C" w14:textId="77777777" w:rsidR="00E97AEB" w:rsidRPr="00E97AEB" w:rsidRDefault="00E97AEB" w:rsidP="00E97AEB">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FFF3592" w14:textId="1785ED6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Áreas de protección ambiental. -</w:t>
      </w:r>
      <w:r w:rsidRPr="00B24A80">
        <w:rPr>
          <w:rFonts w:asciiTheme="majorHAnsi" w:eastAsia="Calibri" w:hAnsiTheme="majorHAnsi" w:cstheme="majorHAnsi"/>
          <w:color w:val="000000"/>
          <w:szCs w:val="22"/>
        </w:rPr>
        <w:t xml:space="preserve"> Para la preservación, protección y </w:t>
      </w:r>
      <w:r w:rsidR="00B11ACF" w:rsidRPr="00B24A80">
        <w:rPr>
          <w:rFonts w:asciiTheme="majorHAnsi" w:eastAsia="Calibri" w:hAnsiTheme="majorHAnsi" w:cstheme="majorHAnsi"/>
          <w:color w:val="000000"/>
          <w:szCs w:val="22"/>
        </w:rPr>
        <w:t>recuperación ambiental, se delimita</w:t>
      </w:r>
      <w:r w:rsidRPr="00B24A80">
        <w:rPr>
          <w:rFonts w:asciiTheme="majorHAnsi" w:eastAsia="Calibri" w:hAnsiTheme="majorHAnsi" w:cstheme="majorHAnsi"/>
          <w:color w:val="000000"/>
          <w:szCs w:val="22"/>
        </w:rPr>
        <w:t>r</w:t>
      </w:r>
      <w:r w:rsidR="00D120FC" w:rsidRPr="00B24A80">
        <w:rPr>
          <w:rFonts w:asciiTheme="majorHAnsi" w:eastAsia="Calibri" w:hAnsiTheme="majorHAnsi" w:cstheme="majorHAnsi"/>
          <w:color w:val="000000"/>
          <w:szCs w:val="22"/>
        </w:rPr>
        <w:t>á</w:t>
      </w:r>
      <w:r w:rsidR="00B11ACF" w:rsidRPr="00B24A80">
        <w:rPr>
          <w:rFonts w:asciiTheme="majorHAnsi" w:eastAsia="Calibri" w:hAnsiTheme="majorHAnsi" w:cstheme="majorHAnsi"/>
          <w:color w:val="000000"/>
          <w:szCs w:val="22"/>
        </w:rPr>
        <w:t xml:space="preserve"> áreas en las que se </w:t>
      </w:r>
      <w:r w:rsidR="00690285" w:rsidRPr="00B24A80">
        <w:rPr>
          <w:rFonts w:asciiTheme="majorHAnsi" w:eastAsia="Calibri" w:hAnsiTheme="majorHAnsi" w:cstheme="majorHAnsi"/>
          <w:color w:val="000000"/>
          <w:szCs w:val="22"/>
        </w:rPr>
        <w:t>prohíbe</w:t>
      </w:r>
      <w:r w:rsidRPr="00B24A80">
        <w:rPr>
          <w:rFonts w:asciiTheme="majorHAnsi" w:eastAsia="Calibri" w:hAnsiTheme="majorHAnsi" w:cstheme="majorHAnsi"/>
          <w:color w:val="000000"/>
          <w:szCs w:val="22"/>
        </w:rPr>
        <w:t xml:space="preserve"> cualquier actividad y uso que ocasione transformación de las características morfológicas o de la vocación natural del suelo. Su uso será reglamentado a través de Planes de Manejo Ambiental</w:t>
      </w:r>
      <w:r w:rsidR="00B71E91" w:rsidRPr="00B24A80">
        <w:rPr>
          <w:rFonts w:asciiTheme="majorHAnsi" w:eastAsia="Calibri" w:hAnsiTheme="majorHAnsi" w:cstheme="majorHAnsi"/>
          <w:color w:val="000000"/>
          <w:szCs w:val="22"/>
        </w:rPr>
        <w:t xml:space="preserve"> en coordinación con el MAATE.</w:t>
      </w:r>
    </w:p>
    <w:p w14:paraId="01D372B4" w14:textId="645A7D94" w:rsidR="0025554F" w:rsidRPr="00B24A80" w:rsidRDefault="0025554F" w:rsidP="0025554F">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CB6F104" w14:textId="582D330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Programa de actuación urbanística</w:t>
      </w:r>
      <w:r w:rsidRPr="00B24A80">
        <w:rPr>
          <w:rFonts w:asciiTheme="majorHAnsi" w:eastAsia="Calibri" w:hAnsiTheme="majorHAnsi" w:cstheme="majorHAnsi"/>
          <w:color w:val="000000"/>
          <w:szCs w:val="22"/>
        </w:rPr>
        <w:t>. - Se refiere a la dotación de equipamientos comunitarios y de servicios en áreas previamente identificadas y delimitadas, así como, sus obras de infraestructura básica. Se aplicará obligatoriamente como propuesta de ocupación en suelo urbano consolidado y no consolidado.</w:t>
      </w:r>
    </w:p>
    <w:p w14:paraId="590B6763" w14:textId="4C19DA16" w:rsidR="004C0A18" w:rsidRPr="00B24A80" w:rsidRDefault="004C0A18" w:rsidP="004C0A1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75727363" w14:textId="08052B0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Zonas y áreas de promoción inmediata o expansión urbana</w:t>
      </w:r>
      <w:r w:rsidRPr="00B24A80">
        <w:rPr>
          <w:rFonts w:asciiTheme="majorHAnsi" w:eastAsia="Calibri" w:hAnsiTheme="majorHAnsi" w:cstheme="majorHAnsi"/>
          <w:color w:val="000000"/>
          <w:szCs w:val="22"/>
        </w:rPr>
        <w:t xml:space="preserve">. - Las áreas de promoción inmediata o expansión urbana, serán declaradas por el GAD Municipal </w:t>
      </w:r>
      <w:r w:rsidR="006F2BFC" w:rsidRPr="00B24A80">
        <w:rPr>
          <w:rFonts w:asciiTheme="majorHAnsi" w:eastAsia="Calibri" w:hAnsiTheme="majorHAnsi" w:cstheme="majorHAnsi"/>
          <w:color w:val="000000"/>
          <w:szCs w:val="22"/>
        </w:rPr>
        <w:t>en relación con el</w:t>
      </w:r>
      <w:r w:rsidRPr="00B24A80">
        <w:rPr>
          <w:rFonts w:asciiTheme="majorHAnsi" w:eastAsia="Calibri" w:hAnsiTheme="majorHAnsi" w:cstheme="majorHAnsi"/>
          <w:color w:val="000000"/>
          <w:szCs w:val="22"/>
        </w:rPr>
        <w:t xml:space="preserve"> crecimiento poblacional.</w:t>
      </w:r>
    </w:p>
    <w:p w14:paraId="718D4F5D" w14:textId="26079504" w:rsidR="004C0A18" w:rsidRPr="00B24A80" w:rsidRDefault="004C0A18" w:rsidP="004C0A1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42C18198" w14:textId="253B7AF9" w:rsidR="00DC27E8" w:rsidRPr="00B24A80" w:rsidRDefault="00E85171"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Restricciones en terrenos sujetos a expropiación</w:t>
      </w:r>
      <w:r w:rsidR="007F5505" w:rsidRPr="00B24A80">
        <w:rPr>
          <w:rFonts w:asciiTheme="majorHAnsi" w:eastAsia="Calibri" w:hAnsiTheme="majorHAnsi" w:cstheme="majorHAnsi"/>
          <w:b/>
          <w:color w:val="000000"/>
          <w:szCs w:val="22"/>
        </w:rPr>
        <w:t>. -</w:t>
      </w:r>
      <w:r w:rsidR="007F5505"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En los terrenos que hayan sido </w:t>
      </w:r>
      <w:r w:rsidR="006F2BFC" w:rsidRPr="00B24A80">
        <w:rPr>
          <w:rFonts w:asciiTheme="majorHAnsi" w:eastAsia="Calibri" w:hAnsiTheme="majorHAnsi" w:cstheme="majorHAnsi"/>
          <w:color w:val="000000"/>
          <w:szCs w:val="22"/>
        </w:rPr>
        <w:t>declarados</w:t>
      </w:r>
      <w:r w:rsidRPr="00B24A80">
        <w:rPr>
          <w:rFonts w:asciiTheme="majorHAnsi" w:eastAsia="Calibri" w:hAnsiTheme="majorHAnsi" w:cstheme="majorHAnsi"/>
          <w:color w:val="000000"/>
          <w:szCs w:val="22"/>
        </w:rPr>
        <w:t xml:space="preserve"> zonas urbanas de promoción inmediata y que estén sujetos a un proceso de expropiación o adquisición por parte del Municipio, no se permitirá el aumento en el volumen de las construcciones existentes. Esta restricción se mantendrá vigente desde la notificación formal de la declaratoria de zona de promoción hasta que se finalice el proceso de expropiación o adquisición, conforme a los procedimientos establecidos en la ley. Cualquier intervención en dichos terrenos deberá contar con la autorización previa de las autoridades municipales competentes</w:t>
      </w:r>
      <w:r w:rsidR="007F5505" w:rsidRPr="00B24A80">
        <w:rPr>
          <w:rFonts w:asciiTheme="majorHAnsi" w:eastAsia="Calibri" w:hAnsiTheme="majorHAnsi" w:cstheme="majorHAnsi"/>
          <w:color w:val="000000"/>
          <w:szCs w:val="22"/>
        </w:rPr>
        <w:t>.</w:t>
      </w:r>
    </w:p>
    <w:p w14:paraId="25C304B7" w14:textId="52CC4CF6" w:rsidR="00DC27E8" w:rsidRPr="00B24A80" w:rsidRDefault="00690285" w:rsidP="00D80CA5">
      <w:pPr>
        <w:pStyle w:val="Ttulo3"/>
        <w:rPr>
          <w:rFonts w:cstheme="majorHAnsi"/>
          <w:sz w:val="22"/>
          <w:szCs w:val="22"/>
        </w:rPr>
      </w:pPr>
      <w:bookmarkStart w:id="53" w:name="_heading=h.2xcytpi" w:colFirst="0" w:colLast="0"/>
      <w:bookmarkStart w:id="54" w:name="_Toc65711693"/>
      <w:bookmarkStart w:id="55" w:name="_Toc81085633"/>
      <w:bookmarkStart w:id="56" w:name="_Toc181374072"/>
      <w:bookmarkEnd w:id="53"/>
      <w:r w:rsidRPr="00B24A80">
        <w:rPr>
          <w:rFonts w:cstheme="majorHAnsi"/>
          <w:sz w:val="22"/>
          <w:szCs w:val="22"/>
        </w:rPr>
        <w:t>CAPÍTULO III</w:t>
      </w:r>
      <w:bookmarkStart w:id="57" w:name="_heading=h.1ci93xb" w:colFirst="0" w:colLast="0"/>
      <w:bookmarkEnd w:id="57"/>
      <w:r w:rsidR="00D80CA5" w:rsidRPr="00B24A80">
        <w:rPr>
          <w:rFonts w:cstheme="majorHAnsi"/>
          <w:sz w:val="22"/>
          <w:szCs w:val="22"/>
        </w:rPr>
        <w:br/>
      </w:r>
      <w:r w:rsidR="007F5505" w:rsidRPr="00B24A80">
        <w:rPr>
          <w:rFonts w:cstheme="majorHAnsi"/>
          <w:sz w:val="22"/>
          <w:szCs w:val="22"/>
        </w:rPr>
        <w:t>Control y Gestión Territorial</w:t>
      </w:r>
      <w:bookmarkEnd w:id="54"/>
      <w:bookmarkEnd w:id="55"/>
      <w:bookmarkEnd w:id="56"/>
    </w:p>
    <w:p w14:paraId="4598A437" w14:textId="4678EDD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Control territorial. -</w:t>
      </w:r>
      <w:r w:rsidRPr="00B24A80">
        <w:rPr>
          <w:rFonts w:asciiTheme="majorHAnsi" w:eastAsia="Calibri" w:hAnsiTheme="majorHAnsi" w:cstheme="majorHAnsi"/>
          <w:color w:val="000000"/>
          <w:szCs w:val="22"/>
        </w:rPr>
        <w:t xml:space="preserve"> La actuación municipal en materia de control del uso y ocupación del suelo, tiene por objeto comprobar que las distintas intervenciones estén de acuerdo con la normativa vigente, así como restablecer, en su caso, la ordenación del territorio. </w:t>
      </w:r>
    </w:p>
    <w:p w14:paraId="0BE0B39E" w14:textId="5C79A1F2"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w:t>
      </w:r>
      <w:r w:rsidR="00D01697" w:rsidRPr="00B24A80">
        <w:rPr>
          <w:rFonts w:asciiTheme="majorHAnsi" w:eastAsia="Calibri" w:hAnsiTheme="majorHAnsi" w:cstheme="majorHAnsi"/>
          <w:sz w:val="22"/>
          <w:szCs w:val="22"/>
        </w:rPr>
        <w:t xml:space="preserve">Dirección de Gestión </w:t>
      </w:r>
      <w:r w:rsidR="004C0A18" w:rsidRPr="00B24A80">
        <w:rPr>
          <w:rFonts w:asciiTheme="majorHAnsi" w:eastAsia="Calibri" w:hAnsiTheme="majorHAnsi" w:cstheme="majorHAnsi"/>
          <w:sz w:val="22"/>
          <w:szCs w:val="22"/>
        </w:rPr>
        <w:t xml:space="preserve">de </w:t>
      </w:r>
      <w:r w:rsidR="00D01697" w:rsidRPr="00B24A80">
        <w:rPr>
          <w:rFonts w:asciiTheme="majorHAnsi" w:eastAsia="Calibri" w:hAnsiTheme="majorHAnsi" w:cstheme="majorHAnsi"/>
          <w:sz w:val="22"/>
          <w:szCs w:val="22"/>
        </w:rPr>
        <w:t>Planificación</w:t>
      </w:r>
      <w:r w:rsidR="00275845" w:rsidRPr="00B24A80">
        <w:rPr>
          <w:rFonts w:asciiTheme="majorHAnsi" w:eastAsia="Calibri" w:hAnsiTheme="majorHAnsi" w:cstheme="majorHAnsi"/>
          <w:sz w:val="22"/>
          <w:szCs w:val="22"/>
        </w:rPr>
        <w:t xml:space="preserve">, es la encargada de plantear propuestas para el uso y gestión territorial, así como de su seguimiento y evaluación del ordenamiento del territorio en base al </w:t>
      </w:r>
      <w:r w:rsidR="00487E14" w:rsidRPr="00B24A80">
        <w:rPr>
          <w:rFonts w:asciiTheme="majorHAnsi" w:eastAsia="Calibri" w:hAnsiTheme="majorHAnsi" w:cstheme="majorHAnsi"/>
          <w:sz w:val="22"/>
          <w:szCs w:val="22"/>
        </w:rPr>
        <w:t xml:space="preserve">Plan de Uso y Gestión </w:t>
      </w:r>
      <w:r w:rsidR="0009522B" w:rsidRPr="00B24A80">
        <w:rPr>
          <w:rFonts w:asciiTheme="majorHAnsi" w:eastAsia="Calibri" w:hAnsiTheme="majorHAnsi" w:cstheme="majorHAnsi"/>
          <w:sz w:val="22"/>
          <w:szCs w:val="22"/>
        </w:rPr>
        <w:t>del Suelo</w:t>
      </w:r>
      <w:r w:rsidR="00487E14" w:rsidRPr="00B24A80">
        <w:rPr>
          <w:rFonts w:asciiTheme="majorHAnsi" w:eastAsia="Calibri" w:hAnsiTheme="majorHAnsi" w:cstheme="majorHAnsi"/>
          <w:sz w:val="22"/>
          <w:szCs w:val="22"/>
        </w:rPr>
        <w:t xml:space="preserve">, la aplicación en el control de </w:t>
      </w:r>
      <w:r w:rsidR="00D80CA5" w:rsidRPr="00B24A80">
        <w:rPr>
          <w:rFonts w:asciiTheme="majorHAnsi" w:eastAsia="Calibri" w:hAnsiTheme="majorHAnsi" w:cstheme="majorHAnsi"/>
          <w:sz w:val="22"/>
          <w:szCs w:val="22"/>
        </w:rPr>
        <w:t>la presente</w:t>
      </w:r>
      <w:r w:rsidR="00487E14" w:rsidRPr="00B24A80">
        <w:rPr>
          <w:rFonts w:asciiTheme="majorHAnsi" w:eastAsia="Calibri" w:hAnsiTheme="majorHAnsi" w:cstheme="majorHAnsi"/>
          <w:sz w:val="22"/>
          <w:szCs w:val="22"/>
        </w:rPr>
        <w:t xml:space="preserve"> norma estará dada por la </w:t>
      </w:r>
      <w:r w:rsidR="0009522B" w:rsidRPr="00B24A80">
        <w:rPr>
          <w:rFonts w:asciiTheme="majorHAnsi" w:eastAsia="Calibri" w:hAnsiTheme="majorHAnsi" w:cstheme="majorHAnsi"/>
          <w:sz w:val="22"/>
          <w:szCs w:val="22"/>
        </w:rPr>
        <w:t>Unidad de Control Territorial</w:t>
      </w:r>
      <w:r w:rsidR="00487E14" w:rsidRPr="00B24A80">
        <w:rPr>
          <w:rFonts w:asciiTheme="majorHAnsi" w:eastAsia="Calibri" w:hAnsiTheme="majorHAnsi" w:cstheme="majorHAnsi"/>
          <w:sz w:val="22"/>
          <w:szCs w:val="22"/>
        </w:rPr>
        <w:t xml:space="preserve"> o quien haga</w:t>
      </w:r>
      <w:r w:rsidR="00F4271D" w:rsidRPr="00B24A80">
        <w:rPr>
          <w:rFonts w:asciiTheme="majorHAnsi" w:eastAsia="Calibri" w:hAnsiTheme="majorHAnsi" w:cstheme="majorHAnsi"/>
          <w:sz w:val="22"/>
          <w:szCs w:val="22"/>
        </w:rPr>
        <w:t xml:space="preserve"> de su</w:t>
      </w:r>
      <w:r w:rsidR="00487E14" w:rsidRPr="00B24A80">
        <w:rPr>
          <w:rFonts w:asciiTheme="majorHAnsi" w:eastAsia="Calibri" w:hAnsiTheme="majorHAnsi" w:cstheme="majorHAnsi"/>
          <w:sz w:val="22"/>
          <w:szCs w:val="22"/>
        </w:rPr>
        <w:t xml:space="preserve"> vez</w:t>
      </w:r>
      <w:r w:rsidR="006D4BC9" w:rsidRPr="00B24A80">
        <w:rPr>
          <w:rFonts w:asciiTheme="majorHAnsi" w:eastAsia="Calibri" w:hAnsiTheme="majorHAnsi" w:cstheme="majorHAnsi"/>
          <w:sz w:val="22"/>
          <w:szCs w:val="22"/>
        </w:rPr>
        <w:t>.</w:t>
      </w:r>
    </w:p>
    <w:p w14:paraId="37A039F1" w14:textId="1E8E3790" w:rsidR="006F2BFC" w:rsidRPr="00B33637" w:rsidRDefault="007F5505" w:rsidP="006F2BFC">
      <w:pPr>
        <w:pStyle w:val="Prrafodelista"/>
        <w:widowControl/>
        <w:numPr>
          <w:ilvl w:val="0"/>
          <w:numId w:val="114"/>
        </w:numPr>
        <w:tabs>
          <w:tab w:val="left" w:pos="851"/>
        </w:tabs>
        <w:spacing w:after="240" w:line="276" w:lineRule="auto"/>
        <w:ind w:right="-100"/>
        <w:rPr>
          <w:rFonts w:asciiTheme="majorHAnsi" w:eastAsia="Calibri" w:hAnsiTheme="majorHAnsi" w:cstheme="majorHAnsi"/>
          <w:b/>
          <w:bCs/>
          <w:color w:val="FF0000"/>
          <w:szCs w:val="22"/>
        </w:rPr>
      </w:pPr>
      <w:r w:rsidRPr="00B24A80">
        <w:rPr>
          <w:rFonts w:asciiTheme="majorHAnsi" w:eastAsia="Calibri" w:hAnsiTheme="majorHAnsi" w:cstheme="majorHAnsi"/>
          <w:b/>
          <w:color w:val="000000"/>
          <w:szCs w:val="22"/>
        </w:rPr>
        <w:lastRenderedPageBreak/>
        <w:t xml:space="preserve">Gestión </w:t>
      </w:r>
      <w:r w:rsidR="00CE48F2" w:rsidRPr="00B24A80">
        <w:rPr>
          <w:rFonts w:asciiTheme="majorHAnsi" w:eastAsia="Calibri" w:hAnsiTheme="majorHAnsi" w:cstheme="majorHAnsi"/>
          <w:b/>
          <w:color w:val="000000"/>
          <w:szCs w:val="22"/>
        </w:rPr>
        <w:t>territorial. -</w:t>
      </w:r>
      <w:r w:rsidRPr="00B24A80">
        <w:rPr>
          <w:rFonts w:asciiTheme="majorHAnsi" w:eastAsia="Calibri" w:hAnsiTheme="majorHAnsi" w:cstheme="majorHAnsi"/>
          <w:color w:val="000000"/>
          <w:szCs w:val="22"/>
        </w:rPr>
        <w:t xml:space="preserve"> </w:t>
      </w:r>
      <w:r w:rsidR="00DB7DBF" w:rsidRPr="00B24A80">
        <w:rPr>
          <w:rFonts w:asciiTheme="majorHAnsi" w:eastAsia="Calibri" w:hAnsiTheme="majorHAnsi" w:cstheme="majorHAnsi"/>
          <w:color w:val="000000"/>
          <w:szCs w:val="22"/>
        </w:rPr>
        <w:t xml:space="preserve">La gestión territorial es la facultad del Gobierno Autónomo Descentralizado Municipal del Cantón La Joya de los Sachas para regular, estudiar, tramitar y aprobar diversas actividades relacionadas con el uso del suelo y el desarrollo urbano, de acuerdo con las leyes, ordenanzas y reglamentos municipales vigentes. </w:t>
      </w:r>
    </w:p>
    <w:p w14:paraId="64E33BCA" w14:textId="2CC41EC7" w:rsidR="00DC27E8" w:rsidRPr="00B24A80" w:rsidRDefault="00DB7DBF" w:rsidP="00DB7DBF">
      <w:pPr>
        <w:widowControl/>
        <w:tabs>
          <w:tab w:val="left" w:pos="851"/>
        </w:tabs>
        <w:spacing w:after="240" w:line="276" w:lineRule="auto"/>
        <w:ind w:left="360"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Dirección de Gestión Planificación, en el ámbito territorial de su jurisdicción, será la encargada de realizar los estudios técnicos y trámites administrativos necesarios, elevando aquellos que requieran aprobación de la máxima autoridad para su correspondiente resolución.</w:t>
      </w:r>
    </w:p>
    <w:p w14:paraId="00536112" w14:textId="09BFDCF9" w:rsidR="00837058" w:rsidRPr="00B24A80" w:rsidRDefault="00837058" w:rsidP="00DB7DBF">
      <w:pPr>
        <w:widowControl/>
        <w:tabs>
          <w:tab w:val="left" w:pos="851"/>
        </w:tabs>
        <w:spacing w:after="240" w:line="276" w:lineRule="auto"/>
        <w:ind w:left="360"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Esta facultad será ejercida por la Máxima Autoridad de la Administración Municipal</w:t>
      </w:r>
      <w:r w:rsidR="00B238B8">
        <w:rPr>
          <w:rFonts w:asciiTheme="majorHAnsi" w:eastAsia="Calibri" w:hAnsiTheme="majorHAnsi" w:cstheme="majorHAnsi"/>
          <w:color w:val="000000"/>
          <w:sz w:val="22"/>
          <w:szCs w:val="22"/>
        </w:rPr>
        <w:t xml:space="preserve"> o su delegado</w:t>
      </w:r>
      <w:r w:rsidRPr="00B24A80">
        <w:rPr>
          <w:rFonts w:asciiTheme="majorHAnsi" w:eastAsia="Calibri" w:hAnsiTheme="majorHAnsi" w:cstheme="majorHAnsi"/>
          <w:color w:val="000000"/>
          <w:sz w:val="22"/>
          <w:szCs w:val="22"/>
        </w:rPr>
        <w:t xml:space="preserve"> en el ámbito territorial de su jurisdicción, a través de la instancia técnica y administrativa correspondiente, en el marco de sus competencias y en cumplimiento de la normativa vigente.</w:t>
      </w:r>
    </w:p>
    <w:p w14:paraId="7CE67FF7" w14:textId="57BA5908" w:rsidR="00DC27E8" w:rsidRPr="00B24A80" w:rsidRDefault="007F5505" w:rsidP="00D80CA5">
      <w:pPr>
        <w:pStyle w:val="Ttulo2"/>
        <w:rPr>
          <w:rFonts w:cstheme="majorHAnsi"/>
          <w:sz w:val="22"/>
          <w:szCs w:val="22"/>
        </w:rPr>
      </w:pPr>
      <w:bookmarkStart w:id="58" w:name="_heading=h.3whwml4" w:colFirst="0" w:colLast="0"/>
      <w:bookmarkStart w:id="59" w:name="_Toc65711694"/>
      <w:bookmarkStart w:id="60" w:name="_Toc81085634"/>
      <w:bookmarkStart w:id="61" w:name="_Toc181374073"/>
      <w:bookmarkEnd w:id="58"/>
      <w:r w:rsidRPr="00B24A80">
        <w:rPr>
          <w:rFonts w:cstheme="majorHAnsi"/>
          <w:sz w:val="22"/>
          <w:szCs w:val="22"/>
        </w:rPr>
        <w:t>TÍTULO III</w:t>
      </w:r>
      <w:bookmarkStart w:id="62" w:name="_heading=h.2bn6wsx" w:colFirst="0" w:colLast="0"/>
      <w:bookmarkEnd w:id="62"/>
      <w:r w:rsidR="00D80CA5" w:rsidRPr="00B24A80">
        <w:rPr>
          <w:rFonts w:cstheme="majorHAnsi"/>
          <w:sz w:val="22"/>
          <w:szCs w:val="22"/>
        </w:rPr>
        <w:br/>
      </w:r>
      <w:r w:rsidRPr="00B24A80">
        <w:rPr>
          <w:rFonts w:cstheme="majorHAnsi"/>
          <w:sz w:val="22"/>
          <w:szCs w:val="22"/>
        </w:rPr>
        <w:t>NORMATIVA URBANÍSTICA</w:t>
      </w:r>
      <w:bookmarkEnd w:id="59"/>
      <w:bookmarkEnd w:id="60"/>
      <w:bookmarkEnd w:id="61"/>
    </w:p>
    <w:p w14:paraId="7A465BCD" w14:textId="4128F806" w:rsidR="00DC27E8" w:rsidRPr="00B24A80" w:rsidRDefault="00EB5C24" w:rsidP="00D80CA5">
      <w:pPr>
        <w:pStyle w:val="Ttulo3"/>
        <w:rPr>
          <w:rFonts w:cstheme="majorHAnsi"/>
          <w:sz w:val="22"/>
          <w:szCs w:val="22"/>
        </w:rPr>
      </w:pPr>
      <w:bookmarkStart w:id="63" w:name="_heading=h.qsh70q" w:colFirst="0" w:colLast="0"/>
      <w:bookmarkStart w:id="64" w:name="_Toc65711695"/>
      <w:bookmarkStart w:id="65" w:name="_Toc81085635"/>
      <w:bookmarkStart w:id="66" w:name="_Toc181374074"/>
      <w:bookmarkEnd w:id="63"/>
      <w:r w:rsidRPr="00B24A80">
        <w:rPr>
          <w:rFonts w:cstheme="majorHAnsi"/>
          <w:sz w:val="22"/>
          <w:szCs w:val="22"/>
        </w:rPr>
        <w:t>CAPÍTULO</w:t>
      </w:r>
      <w:r w:rsidR="007F5505" w:rsidRPr="00B24A80">
        <w:rPr>
          <w:rFonts w:cstheme="majorHAnsi"/>
          <w:sz w:val="22"/>
          <w:szCs w:val="22"/>
        </w:rPr>
        <w:t xml:space="preserve"> I</w:t>
      </w:r>
      <w:bookmarkStart w:id="67" w:name="_heading=h.3as4poj" w:colFirst="0" w:colLast="0"/>
      <w:bookmarkEnd w:id="67"/>
      <w:r w:rsidR="00D80CA5" w:rsidRPr="00B24A80">
        <w:rPr>
          <w:rFonts w:cstheme="majorHAnsi"/>
          <w:sz w:val="22"/>
          <w:szCs w:val="22"/>
        </w:rPr>
        <w:br/>
      </w:r>
      <w:r w:rsidR="007F5505" w:rsidRPr="00B24A80">
        <w:rPr>
          <w:rFonts w:cstheme="majorHAnsi"/>
          <w:sz w:val="22"/>
          <w:szCs w:val="22"/>
        </w:rPr>
        <w:t>Componente Urbanístico</w:t>
      </w:r>
      <w:bookmarkEnd w:id="64"/>
      <w:bookmarkEnd w:id="65"/>
      <w:bookmarkEnd w:id="66"/>
    </w:p>
    <w:p w14:paraId="4E634DFE" w14:textId="12FB1E23" w:rsidR="00DC27E8" w:rsidRPr="00B24A80" w:rsidRDefault="007F5505" w:rsidP="00D80CA5">
      <w:pPr>
        <w:pStyle w:val="Ttulo4"/>
        <w:rPr>
          <w:rFonts w:cstheme="majorHAnsi"/>
          <w:sz w:val="22"/>
          <w:szCs w:val="22"/>
        </w:rPr>
      </w:pPr>
      <w:bookmarkStart w:id="68" w:name="_heading=h.1pxezwc" w:colFirst="0" w:colLast="0"/>
      <w:bookmarkStart w:id="69" w:name="_Toc81085636"/>
      <w:bookmarkStart w:id="70" w:name="_Toc181374075"/>
      <w:bookmarkEnd w:id="68"/>
      <w:r w:rsidRPr="00B24A80">
        <w:rPr>
          <w:rFonts w:cstheme="majorHAnsi"/>
          <w:sz w:val="22"/>
          <w:szCs w:val="22"/>
        </w:rPr>
        <w:t>SECCIÓN I</w:t>
      </w:r>
      <w:bookmarkStart w:id="71" w:name="_heading=h.49x2ik5" w:colFirst="0" w:colLast="0"/>
      <w:bookmarkEnd w:id="71"/>
      <w:r w:rsidR="00D80CA5" w:rsidRPr="00B24A80">
        <w:rPr>
          <w:rFonts w:cstheme="majorHAnsi"/>
          <w:sz w:val="22"/>
          <w:szCs w:val="22"/>
        </w:rPr>
        <w:br/>
      </w:r>
      <w:r w:rsidRPr="00B24A80">
        <w:rPr>
          <w:rFonts w:cstheme="majorHAnsi"/>
          <w:sz w:val="22"/>
          <w:szCs w:val="22"/>
        </w:rPr>
        <w:t>Límite Urbano y Subclasificación del Suelo</w:t>
      </w:r>
      <w:bookmarkEnd w:id="69"/>
      <w:bookmarkEnd w:id="70"/>
    </w:p>
    <w:p w14:paraId="52B3DC5E" w14:textId="534777A9" w:rsidR="007F5505"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i/>
          <w:szCs w:val="22"/>
        </w:rPr>
      </w:pPr>
      <w:r w:rsidRPr="00B24A80">
        <w:rPr>
          <w:rFonts w:asciiTheme="majorHAnsi" w:eastAsia="Calibri" w:hAnsiTheme="majorHAnsi" w:cstheme="majorHAnsi"/>
          <w:b/>
          <w:color w:val="000000"/>
          <w:szCs w:val="22"/>
        </w:rPr>
        <w:t>Límites Urbanos. -</w:t>
      </w:r>
      <w:r w:rsidRPr="00B24A80">
        <w:rPr>
          <w:rFonts w:asciiTheme="majorHAnsi" w:eastAsia="Calibri" w:hAnsiTheme="majorHAnsi" w:cstheme="majorHAnsi"/>
          <w:color w:val="000000"/>
          <w:szCs w:val="22"/>
        </w:rPr>
        <w:t xml:space="preserve"> La aplicación de límite urbano se circunscribe al área categorizada como suelo urbano de las cabeceras parroquiales </w:t>
      </w:r>
      <w:r w:rsidR="0057593F" w:rsidRPr="00B24A80">
        <w:rPr>
          <w:rFonts w:asciiTheme="majorHAnsi" w:eastAsia="Calibri" w:hAnsiTheme="majorHAnsi" w:cstheme="majorHAnsi"/>
          <w:color w:val="000000"/>
          <w:szCs w:val="22"/>
        </w:rPr>
        <w:t xml:space="preserve">y demás asentamientos que cuentan con la respectiva ordenanza municipal aprobada en el </w:t>
      </w:r>
      <w:r w:rsidR="00EE2083" w:rsidRPr="00B24A80">
        <w:rPr>
          <w:rFonts w:asciiTheme="majorHAnsi" w:eastAsia="Calibri" w:hAnsiTheme="majorHAnsi" w:cstheme="majorHAnsi"/>
          <w:szCs w:val="22"/>
        </w:rPr>
        <w:t>Concejo</w:t>
      </w:r>
      <w:r w:rsidR="0057593F" w:rsidRPr="00B24A80">
        <w:rPr>
          <w:rFonts w:asciiTheme="majorHAnsi" w:eastAsia="Calibri" w:hAnsiTheme="majorHAnsi" w:cstheme="majorHAnsi"/>
          <w:color w:val="000000"/>
          <w:szCs w:val="22"/>
        </w:rPr>
        <w:t xml:space="preserve"> municipal.</w:t>
      </w:r>
      <w:r w:rsidRPr="00B24A80">
        <w:rPr>
          <w:rFonts w:asciiTheme="majorHAnsi" w:eastAsia="Calibri" w:hAnsiTheme="majorHAnsi" w:cstheme="majorHAnsi"/>
          <w:b/>
          <w:i/>
          <w:szCs w:val="22"/>
        </w:rPr>
        <w:t>,</w:t>
      </w:r>
      <w:r w:rsidRPr="00B24A80">
        <w:rPr>
          <w:rFonts w:asciiTheme="majorHAnsi" w:eastAsia="Calibri" w:hAnsiTheme="majorHAnsi" w:cstheme="majorHAnsi"/>
          <w:szCs w:val="22"/>
        </w:rPr>
        <w:t xml:space="preserve"> el resto del territorio será considerado como suelo rural.</w:t>
      </w:r>
    </w:p>
    <w:p w14:paraId="77C66409" w14:textId="77777777" w:rsidR="004C0A18" w:rsidRPr="00B24A80" w:rsidRDefault="004C0A18" w:rsidP="004C0A18">
      <w:pPr>
        <w:pStyle w:val="Prrafodelista"/>
        <w:widowControl/>
        <w:tabs>
          <w:tab w:val="left" w:pos="851"/>
        </w:tabs>
        <w:spacing w:after="240" w:line="276" w:lineRule="auto"/>
        <w:ind w:left="0" w:right="-100"/>
        <w:rPr>
          <w:rFonts w:asciiTheme="majorHAnsi" w:eastAsia="Calibri" w:hAnsiTheme="majorHAnsi" w:cstheme="majorHAnsi"/>
          <w:b/>
          <w:i/>
          <w:szCs w:val="22"/>
        </w:rPr>
      </w:pPr>
    </w:p>
    <w:p w14:paraId="09DC80C1" w14:textId="0A6F4873" w:rsidR="0077496C" w:rsidRPr="00B24A80" w:rsidRDefault="007F5505" w:rsidP="00CA24CF">
      <w:pPr>
        <w:pStyle w:val="Prrafodelista"/>
        <w:widowControl/>
        <w:numPr>
          <w:ilvl w:val="0"/>
          <w:numId w:val="114"/>
        </w:numPr>
        <w:tabs>
          <w:tab w:val="left" w:pos="851"/>
        </w:tabs>
        <w:spacing w:after="240" w:line="276" w:lineRule="auto"/>
        <w:ind w:left="0" w:right="-100" w:firstLine="0"/>
        <w:rPr>
          <w:rFonts w:cstheme="majorHAnsi"/>
          <w:szCs w:val="22"/>
        </w:rPr>
      </w:pPr>
      <w:r w:rsidRPr="00B24A80">
        <w:rPr>
          <w:rFonts w:asciiTheme="majorHAnsi" w:eastAsia="Calibri" w:hAnsiTheme="majorHAnsi" w:cstheme="majorHAnsi"/>
          <w:b/>
          <w:color w:val="000000"/>
          <w:szCs w:val="22"/>
        </w:rPr>
        <w:t>Componente Urbanístico. -</w:t>
      </w:r>
      <w:r w:rsidRPr="00B24A80">
        <w:rPr>
          <w:rFonts w:asciiTheme="majorHAnsi" w:eastAsia="Calibri" w:hAnsiTheme="majorHAnsi" w:cstheme="majorHAnsi"/>
          <w:color w:val="000000"/>
          <w:szCs w:val="22"/>
        </w:rPr>
        <w:t xml:space="preserve"> </w:t>
      </w:r>
      <w:bookmarkStart w:id="72" w:name="_Toc81085637"/>
      <w:r w:rsidR="0077496C" w:rsidRPr="00B24A80">
        <w:rPr>
          <w:rFonts w:asciiTheme="majorHAnsi" w:eastAsia="Calibri" w:hAnsiTheme="majorHAnsi" w:cstheme="majorHAnsi"/>
          <w:color w:val="000000"/>
          <w:szCs w:val="22"/>
        </w:rPr>
        <w:t>De conformidad con la legislación vigente del Concejo Técnico de Uso y Gestión del Suelo, según lo dispuesto en el Art. 19 de la Resolución Nro. 0005-CTUGS-2020, sobre "Clasificación del suelo y definición de los límites urbanos", se establecerán regulaciones para el uso y edificabilidad del suelo, basadas en la clasificación y subclasificación del suelo determinada en el componente estructurante. Además, se integrarán los diferentes instrumentos de gestión del suelo, asegurando la adecuada implementación del PUGS en alineación con los objetivos estratégicos del Modelo Territorial Deseado (MTD) del PD</w:t>
      </w:r>
      <w:r w:rsidR="007B1608" w:rsidRPr="00B24A80">
        <w:rPr>
          <w:rFonts w:asciiTheme="majorHAnsi" w:eastAsia="Calibri" w:hAnsiTheme="majorHAnsi" w:cstheme="majorHAnsi"/>
          <w:color w:val="000000"/>
          <w:szCs w:val="22"/>
        </w:rPr>
        <w:t>y</w:t>
      </w:r>
      <w:r w:rsidR="0077496C" w:rsidRPr="00B24A80">
        <w:rPr>
          <w:rFonts w:asciiTheme="majorHAnsi" w:eastAsia="Calibri" w:hAnsiTheme="majorHAnsi" w:cstheme="majorHAnsi"/>
          <w:color w:val="000000"/>
          <w:szCs w:val="22"/>
        </w:rPr>
        <w:t>OT</w:t>
      </w:r>
      <w:r w:rsidR="0077496C" w:rsidRPr="00B24A80">
        <w:rPr>
          <w:szCs w:val="22"/>
        </w:rPr>
        <w:t xml:space="preserve">. </w:t>
      </w:r>
    </w:p>
    <w:p w14:paraId="6258D7C6" w14:textId="77777777" w:rsidR="0077496C" w:rsidRPr="00B24A80" w:rsidRDefault="0077496C" w:rsidP="0077496C">
      <w:pPr>
        <w:pStyle w:val="Prrafodelista"/>
        <w:rPr>
          <w:rFonts w:cstheme="majorHAnsi"/>
          <w:szCs w:val="22"/>
        </w:rPr>
      </w:pPr>
    </w:p>
    <w:p w14:paraId="4F70FD46" w14:textId="41FAE0B5" w:rsidR="00DC27E8" w:rsidRPr="00B24A80" w:rsidRDefault="007F5505" w:rsidP="0077496C">
      <w:pPr>
        <w:pStyle w:val="Prrafodelista"/>
        <w:widowControl/>
        <w:tabs>
          <w:tab w:val="left" w:pos="851"/>
        </w:tabs>
        <w:spacing w:after="240" w:line="276" w:lineRule="auto"/>
        <w:ind w:left="0" w:right="-100"/>
        <w:jc w:val="center"/>
        <w:rPr>
          <w:rFonts w:cstheme="majorHAnsi"/>
          <w:b/>
          <w:szCs w:val="22"/>
        </w:rPr>
      </w:pPr>
      <w:r w:rsidRPr="00B24A80">
        <w:rPr>
          <w:rFonts w:cstheme="majorHAnsi"/>
          <w:b/>
          <w:szCs w:val="22"/>
        </w:rPr>
        <w:t>SECCIÓN II</w:t>
      </w:r>
      <w:bookmarkStart w:id="73" w:name="_heading=h.147n2zr" w:colFirst="0" w:colLast="0"/>
      <w:bookmarkEnd w:id="73"/>
      <w:r w:rsidR="00D80CA5" w:rsidRPr="00B24A80">
        <w:rPr>
          <w:rFonts w:cstheme="majorHAnsi"/>
          <w:b/>
          <w:szCs w:val="22"/>
        </w:rPr>
        <w:br/>
      </w:r>
      <w:r w:rsidRPr="00B24A80">
        <w:rPr>
          <w:rFonts w:cstheme="majorHAnsi"/>
          <w:b/>
          <w:szCs w:val="22"/>
        </w:rPr>
        <w:t>Determinación de los Polígonos de Intervención Territorial (PIT)</w:t>
      </w:r>
      <w:bookmarkEnd w:id="72"/>
    </w:p>
    <w:p w14:paraId="508B5F5D" w14:textId="77777777" w:rsidR="0077496C" w:rsidRPr="00B24A80" w:rsidRDefault="0077496C" w:rsidP="0077496C">
      <w:pPr>
        <w:pStyle w:val="Prrafodelista"/>
        <w:widowControl/>
        <w:tabs>
          <w:tab w:val="left" w:pos="851"/>
        </w:tabs>
        <w:spacing w:after="240" w:line="276" w:lineRule="auto"/>
        <w:ind w:left="0" w:right="-100"/>
        <w:jc w:val="center"/>
        <w:rPr>
          <w:rFonts w:cstheme="majorHAnsi"/>
          <w:b/>
          <w:szCs w:val="22"/>
        </w:rPr>
      </w:pPr>
    </w:p>
    <w:p w14:paraId="3CB1382D" w14:textId="75022F1A" w:rsidR="004559CB"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Polígonos de Intervención Territorial. -</w:t>
      </w:r>
      <w:r w:rsidRPr="00B24A80">
        <w:rPr>
          <w:rFonts w:asciiTheme="majorHAnsi" w:eastAsia="Calibri" w:hAnsiTheme="majorHAnsi" w:cstheme="majorHAnsi"/>
          <w:szCs w:val="22"/>
        </w:rPr>
        <w:t xml:space="preserve"> </w:t>
      </w:r>
      <w:r w:rsidR="006F2BFC" w:rsidRPr="00B24A80">
        <w:rPr>
          <w:rFonts w:asciiTheme="majorHAnsi" w:eastAsia="Calibri" w:hAnsiTheme="majorHAnsi" w:cstheme="majorHAnsi"/>
          <w:szCs w:val="22"/>
        </w:rPr>
        <w:t>De acuerdo con</w:t>
      </w:r>
      <w:r w:rsidRPr="00B24A80">
        <w:rPr>
          <w:rFonts w:asciiTheme="majorHAnsi" w:eastAsia="Calibri" w:hAnsiTheme="majorHAnsi" w:cstheme="majorHAnsi"/>
          <w:szCs w:val="22"/>
        </w:rPr>
        <w:t xml:space="preserve"> lo que establece l</w:t>
      </w:r>
      <w:r w:rsidR="004559CB" w:rsidRPr="00B24A80">
        <w:rPr>
          <w:rFonts w:asciiTheme="majorHAnsi" w:eastAsia="Calibri" w:hAnsiTheme="majorHAnsi" w:cstheme="majorHAnsi"/>
          <w:szCs w:val="22"/>
        </w:rPr>
        <w:t>a Ley Orgánica de Ordenamiento T</w:t>
      </w:r>
      <w:r w:rsidRPr="00B24A80">
        <w:rPr>
          <w:rFonts w:asciiTheme="majorHAnsi" w:eastAsia="Calibri" w:hAnsiTheme="majorHAnsi" w:cstheme="majorHAnsi"/>
          <w:szCs w:val="22"/>
        </w:rPr>
        <w:t xml:space="preserve">erritorial Uso y </w:t>
      </w:r>
      <w:r w:rsidR="007B1608" w:rsidRPr="00B24A80">
        <w:rPr>
          <w:rFonts w:asciiTheme="majorHAnsi" w:eastAsia="Calibri" w:hAnsiTheme="majorHAnsi" w:cstheme="majorHAnsi"/>
          <w:szCs w:val="22"/>
        </w:rPr>
        <w:t xml:space="preserve">Gestión </w:t>
      </w:r>
      <w:r w:rsidRPr="00B24A80">
        <w:rPr>
          <w:rFonts w:asciiTheme="majorHAnsi" w:eastAsia="Calibri" w:hAnsiTheme="majorHAnsi" w:cstheme="majorHAnsi"/>
          <w:szCs w:val="22"/>
        </w:rPr>
        <w:t xml:space="preserve">del Suelo, los polígonos de intervención territorial en el cantón </w:t>
      </w:r>
      <w:r w:rsidR="00E30701" w:rsidRPr="00B24A80">
        <w:rPr>
          <w:rFonts w:asciiTheme="majorHAnsi" w:eastAsia="Calibri" w:hAnsiTheme="majorHAnsi" w:cstheme="majorHAnsi"/>
          <w:szCs w:val="22"/>
        </w:rPr>
        <w:t>La Joya de los Sachas</w:t>
      </w:r>
      <w:r w:rsidRPr="00B24A80">
        <w:rPr>
          <w:rFonts w:asciiTheme="majorHAnsi" w:eastAsia="Calibri" w:hAnsiTheme="majorHAnsi" w:cstheme="majorHAnsi"/>
          <w:szCs w:val="22"/>
        </w:rPr>
        <w:t xml:space="preserve"> constituyen una escala a detalle de la planificación, pues aterrizan en el territorio lo definido en el componente estructurante. </w:t>
      </w:r>
    </w:p>
    <w:p w14:paraId="75C4F6B4" w14:textId="77777777" w:rsidR="00DC27E8" w:rsidRPr="00B24A80" w:rsidRDefault="007F5505">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 xml:space="preserve">Para su definición, las zonas homogéneas juegan un rol fundamental pues permiten a partir de su caracterización, agrupar las diferentes zonas de la ciudad acorde a sus particularidades o similitudes; y a partir de ello </w:t>
      </w:r>
      <w:r w:rsidR="004559CB" w:rsidRPr="00B24A80">
        <w:rPr>
          <w:rFonts w:asciiTheme="majorHAnsi" w:eastAsia="Calibri" w:hAnsiTheme="majorHAnsi" w:cstheme="majorHAnsi"/>
          <w:sz w:val="22"/>
          <w:szCs w:val="22"/>
        </w:rPr>
        <w:t>la asignación de los</w:t>
      </w:r>
      <w:r w:rsidRPr="00B24A80">
        <w:rPr>
          <w:rFonts w:asciiTheme="majorHAnsi" w:eastAsia="Calibri" w:hAnsiTheme="majorHAnsi" w:cstheme="majorHAnsi"/>
          <w:sz w:val="22"/>
          <w:szCs w:val="22"/>
        </w:rPr>
        <w:t xml:space="preserve"> tratamientos que orient</w:t>
      </w:r>
      <w:r w:rsidR="004559CB" w:rsidRPr="00B24A80">
        <w:rPr>
          <w:rFonts w:asciiTheme="majorHAnsi" w:eastAsia="Calibri" w:hAnsiTheme="majorHAnsi" w:cstheme="majorHAnsi"/>
          <w:sz w:val="22"/>
          <w:szCs w:val="22"/>
        </w:rPr>
        <w:t>an</w:t>
      </w:r>
      <w:r w:rsidRPr="00B24A80">
        <w:rPr>
          <w:rFonts w:asciiTheme="majorHAnsi" w:eastAsia="Calibri" w:hAnsiTheme="majorHAnsi" w:cstheme="majorHAnsi"/>
          <w:sz w:val="22"/>
          <w:szCs w:val="22"/>
        </w:rPr>
        <w:t xml:space="preserve"> las estrategias de planeamiento urbanístico del </w:t>
      </w:r>
      <w:r w:rsidR="004559CB" w:rsidRPr="00B24A80">
        <w:rPr>
          <w:rFonts w:asciiTheme="majorHAnsi" w:eastAsia="Calibri" w:hAnsiTheme="majorHAnsi" w:cstheme="majorHAnsi"/>
          <w:sz w:val="22"/>
          <w:szCs w:val="22"/>
        </w:rPr>
        <w:t>territorio</w:t>
      </w:r>
      <w:r w:rsidRPr="00B24A80">
        <w:rPr>
          <w:rFonts w:asciiTheme="majorHAnsi" w:eastAsia="Calibri" w:hAnsiTheme="majorHAnsi" w:cstheme="majorHAnsi"/>
          <w:sz w:val="22"/>
          <w:szCs w:val="22"/>
        </w:rPr>
        <w:t>.</w:t>
      </w:r>
    </w:p>
    <w:p w14:paraId="3BDF040C" w14:textId="3DD42A3D" w:rsidR="001E48C2" w:rsidRPr="00B24A80" w:rsidRDefault="001E48C2">
      <w:pPr>
        <w:spacing w:after="240"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Los PITS establecidos en las áreas urbanas se establecen con una numeración secuenciada </w:t>
      </w:r>
      <w:r w:rsidR="006F2BFC">
        <w:rPr>
          <w:rFonts w:asciiTheme="majorHAnsi" w:eastAsia="Calibri" w:hAnsiTheme="majorHAnsi" w:cstheme="majorHAnsi"/>
          <w:sz w:val="22"/>
          <w:szCs w:val="22"/>
        </w:rPr>
        <w:t>de acuerdo con</w:t>
      </w:r>
      <w:r>
        <w:rPr>
          <w:rFonts w:asciiTheme="majorHAnsi" w:eastAsia="Calibri" w:hAnsiTheme="majorHAnsi" w:cstheme="majorHAnsi"/>
          <w:sz w:val="22"/>
          <w:szCs w:val="22"/>
        </w:rPr>
        <w:t xml:space="preserve"> la subclasificación del suelo propuesta, Ver mapas de PITS de las áreas urbanas</w:t>
      </w:r>
      <w:r w:rsidR="003E3510">
        <w:rPr>
          <w:rFonts w:asciiTheme="majorHAnsi" w:eastAsia="Calibri" w:hAnsiTheme="majorHAnsi" w:cstheme="majorHAnsi"/>
          <w:sz w:val="22"/>
          <w:szCs w:val="22"/>
        </w:rPr>
        <w:t>.</w:t>
      </w:r>
      <w:r>
        <w:rPr>
          <w:rFonts w:asciiTheme="majorHAnsi" w:eastAsia="Calibri" w:hAnsiTheme="majorHAnsi" w:cstheme="majorHAnsi"/>
          <w:sz w:val="22"/>
          <w:szCs w:val="22"/>
        </w:rPr>
        <w:t xml:space="preserve"> </w:t>
      </w:r>
    </w:p>
    <w:p w14:paraId="50868F20" w14:textId="16A7BE9E" w:rsidR="00CE36E7" w:rsidRPr="00B24A80" w:rsidRDefault="00CE36E7">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En el caso de los PITs establecidos para suelo rural del cantón </w:t>
      </w:r>
      <w:r w:rsidR="00E30701" w:rsidRPr="00B24A80">
        <w:rPr>
          <w:rFonts w:asciiTheme="majorHAnsi" w:eastAsia="Calibri" w:hAnsiTheme="majorHAnsi" w:cstheme="majorHAnsi"/>
          <w:sz w:val="22"/>
          <w:szCs w:val="22"/>
        </w:rPr>
        <w:t>La Joya de los Sachas</w:t>
      </w:r>
      <w:r w:rsidRPr="00B24A80">
        <w:rPr>
          <w:rFonts w:asciiTheme="majorHAnsi" w:eastAsia="Calibri" w:hAnsiTheme="majorHAnsi" w:cstheme="majorHAnsi"/>
          <w:sz w:val="22"/>
          <w:szCs w:val="22"/>
        </w:rPr>
        <w:t xml:space="preserve">, se registran con las siguientes denominaciones conforme a las condicionantes del territorio y su alto porcentaje de suelo rural de </w:t>
      </w:r>
      <w:r w:rsidR="00894250" w:rsidRPr="00B24A80">
        <w:rPr>
          <w:rFonts w:asciiTheme="majorHAnsi" w:eastAsia="Calibri" w:hAnsiTheme="majorHAnsi" w:cstheme="majorHAnsi"/>
          <w:sz w:val="22"/>
          <w:szCs w:val="22"/>
        </w:rPr>
        <w:t>producción</w:t>
      </w:r>
      <w:r w:rsidRPr="00B24A80">
        <w:rPr>
          <w:rFonts w:asciiTheme="majorHAnsi" w:eastAsia="Calibri" w:hAnsiTheme="majorHAnsi" w:cstheme="majorHAnsi"/>
          <w:sz w:val="22"/>
          <w:szCs w:val="22"/>
        </w:rPr>
        <w:t>.</w:t>
      </w:r>
    </w:p>
    <w:p w14:paraId="0A49A388" w14:textId="01EFD15F" w:rsidR="006D2BF4" w:rsidRPr="00B24A80" w:rsidRDefault="000B4E15">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Denominación de los Polígonos de Intervención Territorial para suelo rural:</w:t>
      </w:r>
    </w:p>
    <w:p w14:paraId="4FAF50E1" w14:textId="0AC287BC" w:rsidR="000B4E15" w:rsidRPr="00B24A80" w:rsidRDefault="008D59FD"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CPR</w:t>
      </w:r>
      <w:r w:rsidR="000B4E15" w:rsidRPr="00B24A80">
        <w:rPr>
          <w:rFonts w:asciiTheme="majorHAnsi" w:eastAsia="Times New Roman" w:hAnsiTheme="majorHAnsi" w:cstheme="majorHAnsi"/>
          <w:b/>
          <w:color w:val="000000"/>
          <w:sz w:val="22"/>
          <w:lang w:val="es-EC"/>
        </w:rPr>
        <w:t xml:space="preserve">  </w:t>
      </w:r>
      <w:r w:rsidR="000B4E15" w:rsidRPr="00B24A80">
        <w:rPr>
          <w:rFonts w:asciiTheme="majorHAnsi" w:hAnsiTheme="majorHAnsi" w:cstheme="majorHAnsi"/>
          <w:sz w:val="22"/>
        </w:rPr>
        <w:t xml:space="preserve">           </w:t>
      </w:r>
      <w:r w:rsidR="00BF230E" w:rsidRPr="00B24A80">
        <w:rPr>
          <w:rFonts w:asciiTheme="majorHAnsi" w:hAnsiTheme="majorHAnsi" w:cstheme="majorHAnsi"/>
          <w:sz w:val="22"/>
        </w:rPr>
        <w:tab/>
        <w:t>Suelo Rural de producción – Centro Poblado Rural</w:t>
      </w:r>
    </w:p>
    <w:p w14:paraId="7538389D" w14:textId="5E463445" w:rsidR="006D2BF4" w:rsidRPr="00B24A80" w:rsidRDefault="00BF230E"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BVN</w:t>
      </w:r>
      <w:r w:rsidR="006D2BF4" w:rsidRPr="00B24A80">
        <w:rPr>
          <w:rFonts w:asciiTheme="majorHAnsi" w:hAnsiTheme="majorHAnsi" w:cstheme="majorHAnsi"/>
          <w:sz w:val="22"/>
        </w:rPr>
        <w:tab/>
      </w:r>
      <w:r w:rsidR="006D2BF4" w:rsidRPr="00B24A80">
        <w:rPr>
          <w:rFonts w:asciiTheme="majorHAnsi" w:hAnsiTheme="majorHAnsi" w:cstheme="majorHAnsi"/>
          <w:sz w:val="22"/>
        </w:rPr>
        <w:tab/>
        <w:t xml:space="preserve">Suelo rural de protección – </w:t>
      </w:r>
      <w:r w:rsidRPr="00B24A80">
        <w:rPr>
          <w:rFonts w:asciiTheme="majorHAnsi" w:hAnsiTheme="majorHAnsi" w:cstheme="majorHAnsi"/>
          <w:sz w:val="22"/>
        </w:rPr>
        <w:t>Bosque y Vegetación Natural</w:t>
      </w:r>
    </w:p>
    <w:p w14:paraId="2EE83F7D" w14:textId="1F5652C1" w:rsidR="006D2BF4" w:rsidRPr="00B24A80" w:rsidRDefault="00BF230E"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RNH</w:t>
      </w:r>
      <w:r w:rsidRPr="00B24A80">
        <w:rPr>
          <w:rFonts w:asciiTheme="majorHAnsi" w:hAnsiTheme="majorHAnsi" w:cstheme="majorHAnsi"/>
          <w:sz w:val="22"/>
        </w:rPr>
        <w:tab/>
      </w:r>
      <w:r w:rsidRPr="00B24A80">
        <w:rPr>
          <w:rFonts w:asciiTheme="majorHAnsi" w:hAnsiTheme="majorHAnsi" w:cstheme="majorHAnsi"/>
          <w:sz w:val="22"/>
        </w:rPr>
        <w:tab/>
      </w:r>
      <w:r w:rsidR="006D2BF4" w:rsidRPr="00B24A80">
        <w:rPr>
          <w:rFonts w:asciiTheme="majorHAnsi" w:hAnsiTheme="majorHAnsi" w:cstheme="majorHAnsi"/>
          <w:sz w:val="22"/>
        </w:rPr>
        <w:t xml:space="preserve">Suelo rural de protección – </w:t>
      </w:r>
      <w:r w:rsidRPr="00B24A80">
        <w:rPr>
          <w:rFonts w:asciiTheme="majorHAnsi" w:hAnsiTheme="majorHAnsi" w:cstheme="majorHAnsi"/>
          <w:sz w:val="22"/>
        </w:rPr>
        <w:t>Recurso Natural Hídrico</w:t>
      </w:r>
    </w:p>
    <w:p w14:paraId="2BC802DA" w14:textId="34DFB591" w:rsidR="006D2BF4" w:rsidRPr="00B24A80" w:rsidRDefault="00BF230E"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AAF</w:t>
      </w:r>
      <w:r w:rsidRPr="00B24A80">
        <w:rPr>
          <w:rFonts w:asciiTheme="majorHAnsi" w:hAnsiTheme="majorHAnsi" w:cstheme="majorHAnsi"/>
          <w:sz w:val="22"/>
        </w:rPr>
        <w:tab/>
      </w:r>
      <w:r w:rsidRPr="00B24A80">
        <w:rPr>
          <w:rFonts w:asciiTheme="majorHAnsi" w:hAnsiTheme="majorHAnsi" w:cstheme="majorHAnsi"/>
          <w:sz w:val="22"/>
        </w:rPr>
        <w:tab/>
        <w:t>Suelo rural de producción</w:t>
      </w:r>
      <w:r w:rsidR="006D2BF4" w:rsidRPr="00B24A80">
        <w:rPr>
          <w:rFonts w:asciiTheme="majorHAnsi" w:hAnsiTheme="majorHAnsi" w:cstheme="majorHAnsi"/>
          <w:sz w:val="22"/>
        </w:rPr>
        <w:t xml:space="preserve"> – </w:t>
      </w:r>
      <w:r w:rsidRPr="00B24A80">
        <w:rPr>
          <w:rFonts w:asciiTheme="majorHAnsi" w:hAnsiTheme="majorHAnsi" w:cstheme="majorHAnsi"/>
          <w:sz w:val="22"/>
        </w:rPr>
        <w:t xml:space="preserve">Actividades Agropecuarias y Forestales </w:t>
      </w:r>
    </w:p>
    <w:p w14:paraId="5CBBAE4B" w14:textId="4636341D" w:rsidR="006D2BF4" w:rsidRPr="00B24A80" w:rsidRDefault="00BF230E"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ETD</w:t>
      </w:r>
      <w:r w:rsidRPr="00B24A80">
        <w:rPr>
          <w:rFonts w:asciiTheme="majorHAnsi" w:eastAsia="Times New Roman" w:hAnsiTheme="majorHAnsi" w:cstheme="majorHAnsi"/>
          <w:b/>
          <w:color w:val="000000"/>
          <w:sz w:val="22"/>
          <w:lang w:val="es-EC"/>
        </w:rPr>
        <w:tab/>
      </w:r>
      <w:r w:rsidRPr="00B24A80">
        <w:rPr>
          <w:rFonts w:asciiTheme="majorHAnsi" w:hAnsiTheme="majorHAnsi" w:cstheme="majorHAnsi"/>
          <w:sz w:val="22"/>
        </w:rPr>
        <w:tab/>
      </w:r>
      <w:r w:rsidR="006D2BF4" w:rsidRPr="00B24A80">
        <w:rPr>
          <w:rFonts w:asciiTheme="majorHAnsi" w:hAnsiTheme="majorHAnsi" w:cstheme="majorHAnsi"/>
          <w:sz w:val="22"/>
        </w:rPr>
        <w:t xml:space="preserve">Suelo rural de </w:t>
      </w:r>
      <w:r w:rsidRPr="00B24A80">
        <w:rPr>
          <w:rFonts w:asciiTheme="majorHAnsi" w:hAnsiTheme="majorHAnsi" w:cstheme="majorHAnsi"/>
          <w:sz w:val="22"/>
        </w:rPr>
        <w:t>producción</w:t>
      </w:r>
      <w:r w:rsidR="006D2BF4" w:rsidRPr="00B24A80">
        <w:rPr>
          <w:rFonts w:asciiTheme="majorHAnsi" w:hAnsiTheme="majorHAnsi" w:cstheme="majorHAnsi"/>
          <w:sz w:val="22"/>
        </w:rPr>
        <w:t xml:space="preserve"> – </w:t>
      </w:r>
      <w:r w:rsidRPr="00B24A80">
        <w:rPr>
          <w:rFonts w:asciiTheme="majorHAnsi" w:hAnsiTheme="majorHAnsi" w:cstheme="majorHAnsi"/>
          <w:sz w:val="22"/>
        </w:rPr>
        <w:t>Especias Tratamiento de Desechos</w:t>
      </w:r>
    </w:p>
    <w:p w14:paraId="44F081FA" w14:textId="4176A537" w:rsidR="006D2BF4" w:rsidRPr="00B24A80" w:rsidRDefault="00BF230E"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IGR_A</w:t>
      </w:r>
      <w:r w:rsidR="006D2BF4" w:rsidRPr="00B24A80">
        <w:rPr>
          <w:rFonts w:asciiTheme="majorHAnsi" w:hAnsiTheme="majorHAnsi" w:cstheme="majorHAnsi"/>
          <w:sz w:val="22"/>
        </w:rPr>
        <w:tab/>
      </w:r>
      <w:r w:rsidR="006D2BF4" w:rsidRPr="00B24A80">
        <w:rPr>
          <w:rFonts w:asciiTheme="majorHAnsi" w:hAnsiTheme="majorHAnsi" w:cstheme="majorHAnsi"/>
          <w:sz w:val="22"/>
        </w:rPr>
        <w:tab/>
        <w:t xml:space="preserve">Suelo rural de protección – </w:t>
      </w:r>
      <w:r w:rsidRPr="00B24A80">
        <w:rPr>
          <w:rFonts w:asciiTheme="majorHAnsi" w:hAnsiTheme="majorHAnsi" w:cstheme="majorHAnsi"/>
          <w:sz w:val="22"/>
        </w:rPr>
        <w:t>Industria y Gestión Residuos Alto Impacto</w:t>
      </w:r>
    </w:p>
    <w:p w14:paraId="7792B137" w14:textId="11CD51CC" w:rsidR="006D2BF4" w:rsidRPr="00B24A80" w:rsidRDefault="009B3561"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IGR_B</w:t>
      </w:r>
      <w:r w:rsidR="006D2BF4" w:rsidRPr="00B24A80">
        <w:rPr>
          <w:rFonts w:asciiTheme="majorHAnsi" w:eastAsia="Times New Roman" w:hAnsiTheme="majorHAnsi" w:cstheme="majorHAnsi"/>
          <w:b/>
          <w:color w:val="000000"/>
          <w:sz w:val="22"/>
          <w:lang w:val="es-EC"/>
        </w:rPr>
        <w:tab/>
      </w:r>
      <w:r w:rsidR="00BF230E" w:rsidRPr="00B24A80">
        <w:rPr>
          <w:rFonts w:asciiTheme="majorHAnsi" w:hAnsiTheme="majorHAnsi" w:cstheme="majorHAnsi"/>
          <w:sz w:val="22"/>
        </w:rPr>
        <w:tab/>
      </w:r>
      <w:r w:rsidR="006D2BF4" w:rsidRPr="00B24A80">
        <w:rPr>
          <w:rFonts w:asciiTheme="majorHAnsi" w:hAnsiTheme="majorHAnsi" w:cstheme="majorHAnsi"/>
          <w:sz w:val="22"/>
        </w:rPr>
        <w:t xml:space="preserve">Suelo rural de </w:t>
      </w:r>
      <w:r w:rsidRPr="00B24A80">
        <w:rPr>
          <w:rFonts w:asciiTheme="majorHAnsi" w:hAnsiTheme="majorHAnsi" w:cstheme="majorHAnsi"/>
          <w:sz w:val="22"/>
        </w:rPr>
        <w:t>protección- Industria y Gestión de Residuos Bajo Impacto</w:t>
      </w:r>
    </w:p>
    <w:p w14:paraId="0509EA2F" w14:textId="4D64CD4E" w:rsidR="006D2BF4" w:rsidRPr="00B24A80" w:rsidRDefault="009B3561"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IGR_M</w:t>
      </w:r>
      <w:r w:rsidR="006D2BF4" w:rsidRPr="00B24A80">
        <w:rPr>
          <w:rFonts w:asciiTheme="majorHAnsi" w:eastAsia="Times New Roman" w:hAnsiTheme="majorHAnsi" w:cstheme="majorHAnsi"/>
          <w:b/>
          <w:color w:val="000000"/>
          <w:sz w:val="22"/>
          <w:lang w:val="es-EC"/>
        </w:rPr>
        <w:tab/>
      </w:r>
      <w:r w:rsidR="006D2BF4" w:rsidRPr="00B24A80">
        <w:rPr>
          <w:rFonts w:asciiTheme="majorHAnsi" w:hAnsiTheme="majorHAnsi" w:cstheme="majorHAnsi"/>
          <w:sz w:val="22"/>
        </w:rPr>
        <w:tab/>
        <w:t xml:space="preserve">Suelo rural de </w:t>
      </w:r>
      <w:r w:rsidRPr="00B24A80">
        <w:rPr>
          <w:rFonts w:asciiTheme="majorHAnsi" w:hAnsiTheme="majorHAnsi" w:cstheme="majorHAnsi"/>
          <w:sz w:val="22"/>
        </w:rPr>
        <w:t xml:space="preserve">protección -Industria y Gestión de Residuos Medio </w:t>
      </w:r>
      <w:r w:rsidR="00576A38" w:rsidRPr="00B24A80">
        <w:rPr>
          <w:rFonts w:asciiTheme="majorHAnsi" w:hAnsiTheme="majorHAnsi" w:cstheme="majorHAnsi"/>
          <w:sz w:val="22"/>
        </w:rPr>
        <w:tab/>
      </w:r>
      <w:r w:rsidR="00576A38" w:rsidRPr="00B24A80">
        <w:rPr>
          <w:rFonts w:asciiTheme="majorHAnsi" w:hAnsiTheme="majorHAnsi" w:cstheme="majorHAnsi"/>
          <w:sz w:val="22"/>
        </w:rPr>
        <w:tab/>
      </w:r>
      <w:r w:rsidR="00576A38" w:rsidRPr="00B24A80">
        <w:rPr>
          <w:rFonts w:asciiTheme="majorHAnsi" w:hAnsiTheme="majorHAnsi" w:cstheme="majorHAnsi"/>
          <w:sz w:val="22"/>
        </w:rPr>
        <w:tab/>
      </w:r>
      <w:r w:rsidRPr="00B24A80">
        <w:rPr>
          <w:rFonts w:asciiTheme="majorHAnsi" w:hAnsiTheme="majorHAnsi" w:cstheme="majorHAnsi"/>
          <w:sz w:val="22"/>
        </w:rPr>
        <w:t>Impacto</w:t>
      </w:r>
    </w:p>
    <w:p w14:paraId="6587ABFB" w14:textId="63324A29" w:rsidR="006D2BF4" w:rsidRPr="00B24A80" w:rsidRDefault="009B3561"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RENP</w:t>
      </w:r>
      <w:r w:rsidR="006D2BF4" w:rsidRPr="00B24A80">
        <w:rPr>
          <w:rFonts w:asciiTheme="majorHAnsi" w:eastAsia="Times New Roman" w:hAnsiTheme="majorHAnsi" w:cstheme="majorHAnsi"/>
          <w:b/>
          <w:color w:val="000000"/>
          <w:sz w:val="22"/>
          <w:lang w:val="es-EC"/>
        </w:rPr>
        <w:tab/>
      </w:r>
      <w:r w:rsidR="006D2BF4" w:rsidRPr="00B24A80">
        <w:rPr>
          <w:rFonts w:asciiTheme="majorHAnsi" w:hAnsiTheme="majorHAnsi" w:cstheme="majorHAnsi"/>
          <w:sz w:val="22"/>
        </w:rPr>
        <w:tab/>
        <w:t xml:space="preserve">Suelo rural de aprovechamiento extractivo – </w:t>
      </w:r>
      <w:r w:rsidRPr="00B24A80">
        <w:rPr>
          <w:rFonts w:asciiTheme="majorHAnsi" w:hAnsiTheme="majorHAnsi" w:cstheme="majorHAnsi"/>
          <w:sz w:val="22"/>
        </w:rPr>
        <w:t xml:space="preserve">Recurso estratégico </w:t>
      </w:r>
      <w:r w:rsidRPr="00B24A80">
        <w:rPr>
          <w:rFonts w:asciiTheme="majorHAnsi" w:hAnsiTheme="majorHAnsi" w:cstheme="majorHAnsi"/>
          <w:sz w:val="22"/>
        </w:rPr>
        <w:tab/>
      </w:r>
      <w:r w:rsidRPr="00B24A80">
        <w:rPr>
          <w:rFonts w:asciiTheme="majorHAnsi" w:hAnsiTheme="majorHAnsi" w:cstheme="majorHAnsi"/>
          <w:sz w:val="22"/>
        </w:rPr>
        <w:tab/>
      </w:r>
      <w:r w:rsidRPr="00B24A80">
        <w:rPr>
          <w:rFonts w:asciiTheme="majorHAnsi" w:hAnsiTheme="majorHAnsi" w:cstheme="majorHAnsi"/>
          <w:sz w:val="22"/>
        </w:rPr>
        <w:tab/>
        <w:t>Nacional Petrolero</w:t>
      </w:r>
    </w:p>
    <w:p w14:paraId="14959618" w14:textId="715EE7AA" w:rsidR="006D2BF4" w:rsidRPr="00B24A80" w:rsidRDefault="009B3561"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RMNM</w:t>
      </w:r>
      <w:r w:rsidR="006D2BF4" w:rsidRPr="00B24A80">
        <w:rPr>
          <w:rFonts w:asciiTheme="majorHAnsi" w:eastAsia="Times New Roman" w:hAnsiTheme="majorHAnsi" w:cstheme="majorHAnsi"/>
          <w:b/>
          <w:color w:val="000000"/>
          <w:sz w:val="22"/>
          <w:lang w:val="es-EC"/>
        </w:rPr>
        <w:tab/>
      </w:r>
      <w:r w:rsidR="006D2BF4" w:rsidRPr="00B24A80">
        <w:rPr>
          <w:rFonts w:asciiTheme="majorHAnsi" w:hAnsiTheme="majorHAnsi" w:cstheme="majorHAnsi"/>
          <w:sz w:val="22"/>
        </w:rPr>
        <w:tab/>
        <w:t xml:space="preserve">Suelo rural de aprovechamiento extractivo – </w:t>
      </w:r>
      <w:r w:rsidRPr="00B24A80">
        <w:rPr>
          <w:rFonts w:asciiTheme="majorHAnsi" w:hAnsiTheme="majorHAnsi" w:cstheme="majorHAnsi"/>
          <w:sz w:val="22"/>
        </w:rPr>
        <w:t xml:space="preserve">Recursos Mineros No </w:t>
      </w:r>
      <w:r w:rsidRPr="00B24A80">
        <w:rPr>
          <w:rFonts w:asciiTheme="majorHAnsi" w:hAnsiTheme="majorHAnsi" w:cstheme="majorHAnsi"/>
          <w:sz w:val="22"/>
        </w:rPr>
        <w:tab/>
      </w:r>
      <w:r w:rsidRPr="00B24A80">
        <w:rPr>
          <w:rFonts w:asciiTheme="majorHAnsi" w:hAnsiTheme="majorHAnsi" w:cstheme="majorHAnsi"/>
          <w:sz w:val="22"/>
        </w:rPr>
        <w:tab/>
        <w:t>Metálicos</w:t>
      </w:r>
    </w:p>
    <w:p w14:paraId="4CB9CE5C" w14:textId="1F1240D7" w:rsidR="006D2BF4" w:rsidRPr="00B24A80" w:rsidRDefault="0097301C"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RENE</w:t>
      </w:r>
      <w:r w:rsidR="006D2BF4" w:rsidRPr="00B24A80">
        <w:rPr>
          <w:rFonts w:asciiTheme="majorHAnsi" w:eastAsia="Times New Roman" w:hAnsiTheme="majorHAnsi" w:cstheme="majorHAnsi"/>
          <w:b/>
          <w:color w:val="000000"/>
          <w:sz w:val="22"/>
          <w:lang w:val="es-EC"/>
        </w:rPr>
        <w:tab/>
      </w:r>
      <w:r w:rsidR="006D2BF4" w:rsidRPr="00B24A80">
        <w:rPr>
          <w:rFonts w:asciiTheme="majorHAnsi" w:eastAsia="Times New Roman" w:hAnsiTheme="majorHAnsi" w:cstheme="majorHAnsi"/>
          <w:b/>
          <w:color w:val="000000"/>
          <w:sz w:val="22"/>
          <w:lang w:val="es-EC"/>
        </w:rPr>
        <w:tab/>
      </w:r>
      <w:r w:rsidRPr="00B24A80">
        <w:rPr>
          <w:rFonts w:asciiTheme="majorHAnsi" w:hAnsiTheme="majorHAnsi" w:cstheme="majorHAnsi"/>
          <w:sz w:val="22"/>
        </w:rPr>
        <w:t xml:space="preserve">Suelo rural de aprovechamiento extractivo – Recurso Estratégico </w:t>
      </w:r>
      <w:r w:rsidRPr="00B24A80">
        <w:rPr>
          <w:rFonts w:asciiTheme="majorHAnsi" w:hAnsiTheme="majorHAnsi" w:cstheme="majorHAnsi"/>
          <w:sz w:val="22"/>
        </w:rPr>
        <w:tab/>
      </w:r>
      <w:r w:rsidRPr="00B24A80">
        <w:rPr>
          <w:rFonts w:asciiTheme="majorHAnsi" w:hAnsiTheme="majorHAnsi" w:cstheme="majorHAnsi"/>
          <w:sz w:val="22"/>
        </w:rPr>
        <w:tab/>
      </w:r>
      <w:r w:rsidRPr="00B24A80">
        <w:rPr>
          <w:rFonts w:asciiTheme="majorHAnsi" w:hAnsiTheme="majorHAnsi" w:cstheme="majorHAnsi"/>
          <w:sz w:val="22"/>
        </w:rPr>
        <w:tab/>
        <w:t>Nacional Electricidad</w:t>
      </w:r>
    </w:p>
    <w:p w14:paraId="13EAD1C1" w14:textId="6F73B2B1" w:rsidR="006D2BF4" w:rsidRPr="00B24A80" w:rsidRDefault="0097301C"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BVNP</w:t>
      </w:r>
      <w:r w:rsidR="006D2BF4" w:rsidRPr="00B24A80">
        <w:rPr>
          <w:rFonts w:asciiTheme="majorHAnsi" w:eastAsia="Times New Roman" w:hAnsiTheme="majorHAnsi" w:cstheme="majorHAnsi"/>
          <w:b/>
          <w:color w:val="000000"/>
          <w:sz w:val="22"/>
          <w:lang w:val="es-EC"/>
        </w:rPr>
        <w:tab/>
      </w:r>
      <w:r w:rsidR="006D2BF4" w:rsidRPr="00B24A80">
        <w:rPr>
          <w:rFonts w:asciiTheme="majorHAnsi" w:eastAsia="Times New Roman" w:hAnsiTheme="majorHAnsi" w:cstheme="majorHAnsi"/>
          <w:b/>
          <w:color w:val="000000"/>
          <w:sz w:val="22"/>
          <w:lang w:val="es-EC"/>
        </w:rPr>
        <w:tab/>
      </w:r>
      <w:r w:rsidR="006D2BF4" w:rsidRPr="00B24A80">
        <w:rPr>
          <w:rFonts w:asciiTheme="majorHAnsi" w:hAnsiTheme="majorHAnsi" w:cstheme="majorHAnsi"/>
          <w:sz w:val="22"/>
        </w:rPr>
        <w:t>Suelo ru</w:t>
      </w:r>
      <w:r w:rsidRPr="00B24A80">
        <w:rPr>
          <w:rFonts w:asciiTheme="majorHAnsi" w:hAnsiTheme="majorHAnsi" w:cstheme="majorHAnsi"/>
          <w:sz w:val="22"/>
        </w:rPr>
        <w:t>ral de protección</w:t>
      </w:r>
      <w:r w:rsidR="006D2BF4" w:rsidRPr="00B24A80">
        <w:rPr>
          <w:rFonts w:asciiTheme="majorHAnsi" w:hAnsiTheme="majorHAnsi" w:cstheme="majorHAnsi"/>
          <w:sz w:val="22"/>
        </w:rPr>
        <w:t xml:space="preserve"> </w:t>
      </w:r>
      <w:r w:rsidRPr="00B24A80">
        <w:rPr>
          <w:rFonts w:asciiTheme="majorHAnsi" w:hAnsiTheme="majorHAnsi" w:cstheme="majorHAnsi"/>
          <w:sz w:val="22"/>
        </w:rPr>
        <w:t>–</w:t>
      </w:r>
      <w:r w:rsidR="006D2BF4" w:rsidRPr="00B24A80">
        <w:rPr>
          <w:rFonts w:asciiTheme="majorHAnsi" w:hAnsiTheme="majorHAnsi" w:cstheme="majorHAnsi"/>
          <w:sz w:val="22"/>
        </w:rPr>
        <w:t xml:space="preserve"> </w:t>
      </w:r>
      <w:r w:rsidRPr="00B24A80">
        <w:rPr>
          <w:rFonts w:asciiTheme="majorHAnsi" w:hAnsiTheme="majorHAnsi" w:cstheme="majorHAnsi"/>
          <w:sz w:val="22"/>
        </w:rPr>
        <w:t>Bosque Vegetación Natural Protegido</w:t>
      </w:r>
    </w:p>
    <w:p w14:paraId="70C57D00" w14:textId="24B43396" w:rsidR="006D2BF4" w:rsidRPr="00B24A80" w:rsidRDefault="0097301C" w:rsidP="00576A38">
      <w:pPr>
        <w:pStyle w:val="Sinespaciado"/>
        <w:jc w:val="left"/>
        <w:rPr>
          <w:rFonts w:asciiTheme="majorHAnsi" w:hAnsiTheme="majorHAnsi" w:cstheme="majorHAnsi"/>
          <w:sz w:val="22"/>
        </w:rPr>
      </w:pPr>
      <w:r w:rsidRPr="00B24A80">
        <w:rPr>
          <w:rFonts w:asciiTheme="majorHAnsi" w:eastAsia="Times New Roman" w:hAnsiTheme="majorHAnsi" w:cstheme="majorHAnsi"/>
          <w:b/>
          <w:color w:val="000000"/>
          <w:sz w:val="22"/>
          <w:lang w:val="es-EC"/>
        </w:rPr>
        <w:t>CMT</w:t>
      </w:r>
      <w:r w:rsidRPr="00B24A80">
        <w:rPr>
          <w:rFonts w:asciiTheme="majorHAnsi" w:eastAsia="Times New Roman" w:hAnsiTheme="majorHAnsi" w:cstheme="majorHAnsi"/>
          <w:b/>
          <w:color w:val="000000"/>
          <w:sz w:val="22"/>
          <w:lang w:val="es-EC"/>
        </w:rPr>
        <w:tab/>
      </w:r>
      <w:r w:rsidR="006D2BF4" w:rsidRPr="00B24A80">
        <w:rPr>
          <w:rFonts w:asciiTheme="majorHAnsi" w:eastAsia="Times New Roman" w:hAnsiTheme="majorHAnsi" w:cstheme="majorHAnsi"/>
          <w:b/>
          <w:color w:val="000000"/>
          <w:sz w:val="22"/>
          <w:lang w:val="es-EC"/>
        </w:rPr>
        <w:tab/>
      </w:r>
      <w:r w:rsidR="006D2BF4" w:rsidRPr="00B24A80">
        <w:rPr>
          <w:rFonts w:asciiTheme="majorHAnsi" w:hAnsiTheme="majorHAnsi" w:cstheme="majorHAnsi"/>
          <w:sz w:val="22"/>
        </w:rPr>
        <w:t xml:space="preserve">Suelo rural de producción - </w:t>
      </w:r>
      <w:r w:rsidRPr="00B24A80">
        <w:rPr>
          <w:rFonts w:asciiTheme="majorHAnsi" w:hAnsiTheme="majorHAnsi" w:cstheme="majorHAnsi"/>
          <w:sz w:val="22"/>
        </w:rPr>
        <w:t>Cementerio</w:t>
      </w:r>
    </w:p>
    <w:p w14:paraId="0729EE1A" w14:textId="77777777" w:rsidR="007D1354" w:rsidRPr="00B24A80" w:rsidRDefault="007D1354" w:rsidP="007D1354">
      <w:pPr>
        <w:widowControl/>
        <w:rPr>
          <w:rFonts w:asciiTheme="majorHAnsi" w:eastAsia="Times New Roman" w:hAnsiTheme="majorHAnsi" w:cstheme="majorHAnsi"/>
          <w:sz w:val="22"/>
          <w:szCs w:val="22"/>
          <w:lang w:val="es-EC"/>
        </w:rPr>
      </w:pPr>
    </w:p>
    <w:p w14:paraId="6EA004BA" w14:textId="36D5E223" w:rsidR="00DC27E8" w:rsidRPr="00B24A80" w:rsidRDefault="006806B8" w:rsidP="009F132D">
      <w:pPr>
        <w:pStyle w:val="Prrafodelista"/>
        <w:numPr>
          <w:ilvl w:val="0"/>
          <w:numId w:val="54"/>
        </w:numPr>
        <w:spacing w:before="240" w:after="240" w:line="276" w:lineRule="auto"/>
        <w:rPr>
          <w:rFonts w:asciiTheme="majorHAnsi" w:eastAsia="Calibri" w:hAnsiTheme="majorHAnsi" w:cstheme="majorHAnsi"/>
          <w:szCs w:val="22"/>
        </w:rPr>
      </w:pPr>
      <w:r w:rsidRPr="00B24A80">
        <w:rPr>
          <w:rFonts w:asciiTheme="majorHAnsi" w:eastAsia="Calibri" w:hAnsiTheme="majorHAnsi" w:cstheme="majorHAnsi"/>
          <w:szCs w:val="22"/>
        </w:rPr>
        <w:t xml:space="preserve">Ver </w:t>
      </w:r>
      <w:r w:rsidR="009227FC" w:rsidRPr="00B24A80">
        <w:rPr>
          <w:rFonts w:asciiTheme="majorHAnsi" w:eastAsia="Calibri" w:hAnsiTheme="majorHAnsi" w:cstheme="majorHAnsi"/>
          <w:szCs w:val="22"/>
        </w:rPr>
        <w:t>lamina: Polígonos de Intervención</w:t>
      </w:r>
      <w:r w:rsidR="006D2BF4" w:rsidRPr="00B24A80">
        <w:rPr>
          <w:rFonts w:asciiTheme="majorHAnsi" w:eastAsia="Calibri" w:hAnsiTheme="majorHAnsi" w:cstheme="majorHAnsi"/>
          <w:szCs w:val="22"/>
        </w:rPr>
        <w:t xml:space="preserve"> Territorial </w:t>
      </w:r>
      <w:r w:rsidR="009227FC" w:rsidRPr="00B24A80">
        <w:rPr>
          <w:rFonts w:asciiTheme="majorHAnsi" w:eastAsia="Calibri" w:hAnsiTheme="majorHAnsi" w:cstheme="majorHAnsi"/>
          <w:szCs w:val="22"/>
        </w:rPr>
        <w:t xml:space="preserve">- </w:t>
      </w:r>
      <w:r w:rsidR="00CD4F27" w:rsidRPr="00B24A80">
        <w:rPr>
          <w:rFonts w:asciiTheme="majorHAnsi" w:eastAsia="Calibri" w:hAnsiTheme="majorHAnsi" w:cstheme="majorHAnsi"/>
          <w:szCs w:val="22"/>
        </w:rPr>
        <w:t>cantón La Joya de los Sachas</w:t>
      </w:r>
      <w:r w:rsidR="006D2BF4" w:rsidRPr="00B24A80">
        <w:rPr>
          <w:rFonts w:asciiTheme="majorHAnsi" w:eastAsia="Calibri" w:hAnsiTheme="majorHAnsi" w:cstheme="majorHAnsi"/>
          <w:color w:val="000000"/>
          <w:szCs w:val="22"/>
        </w:rPr>
        <w:t>.</w:t>
      </w:r>
    </w:p>
    <w:p w14:paraId="732C2A9E" w14:textId="3D9B6A1E" w:rsidR="00DC27E8" w:rsidRPr="00B24A80" w:rsidRDefault="007F5505" w:rsidP="00D80CA5">
      <w:pPr>
        <w:pStyle w:val="Ttulo4"/>
        <w:rPr>
          <w:rFonts w:cstheme="majorHAnsi"/>
          <w:sz w:val="22"/>
          <w:szCs w:val="22"/>
        </w:rPr>
      </w:pPr>
      <w:bookmarkStart w:id="74" w:name="_heading=h.3o7alnk" w:colFirst="0" w:colLast="0"/>
      <w:bookmarkStart w:id="75" w:name="_Toc81085638"/>
      <w:bookmarkStart w:id="76" w:name="_Toc181374076"/>
      <w:bookmarkEnd w:id="74"/>
      <w:r w:rsidRPr="00B24A80">
        <w:rPr>
          <w:rFonts w:cstheme="majorHAnsi"/>
          <w:sz w:val="22"/>
          <w:szCs w:val="22"/>
        </w:rPr>
        <w:t>SECCIÓN III</w:t>
      </w:r>
      <w:bookmarkStart w:id="77" w:name="_heading=h.23ckvvd" w:colFirst="0" w:colLast="0"/>
      <w:bookmarkEnd w:id="77"/>
      <w:r w:rsidR="00D80CA5" w:rsidRPr="00B24A80">
        <w:rPr>
          <w:rFonts w:cstheme="majorHAnsi"/>
          <w:sz w:val="22"/>
          <w:szCs w:val="22"/>
        </w:rPr>
        <w:br/>
      </w:r>
      <w:r w:rsidRPr="00B24A80">
        <w:rPr>
          <w:rFonts w:cstheme="majorHAnsi"/>
          <w:sz w:val="22"/>
          <w:szCs w:val="22"/>
        </w:rPr>
        <w:t>Determinación de Tratamientos Urbanísticos</w:t>
      </w:r>
      <w:bookmarkEnd w:id="75"/>
      <w:bookmarkEnd w:id="76"/>
    </w:p>
    <w:p w14:paraId="006BD707" w14:textId="190A62DA" w:rsidR="00385713"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color w:val="000000"/>
          <w:szCs w:val="22"/>
        </w:rPr>
        <w:t xml:space="preserve"> </w:t>
      </w:r>
      <w:r w:rsidRPr="00B24A80">
        <w:rPr>
          <w:rFonts w:asciiTheme="majorHAnsi" w:hAnsiTheme="majorHAnsi" w:cstheme="majorHAnsi"/>
          <w:b/>
          <w:szCs w:val="22"/>
        </w:rPr>
        <w:t>Tratamientos urbanísticos</w:t>
      </w:r>
      <w:r w:rsidRPr="00B24A80">
        <w:rPr>
          <w:rFonts w:asciiTheme="majorHAnsi" w:hAnsiTheme="majorHAnsi" w:cstheme="majorHAnsi"/>
          <w:szCs w:val="22"/>
        </w:rPr>
        <w:t xml:space="preserve">. Los tratamientos son las disposiciones que orientan las estrategias de planeamiento urbanístico de suelo urbano y rural, dentro de un polígono de intervención territorial, a partir de sus características de tipo morfológico, físico-ambiental y socioeconómico. </w:t>
      </w:r>
    </w:p>
    <w:p w14:paraId="4424E31C" w14:textId="77777777" w:rsidR="0014562E" w:rsidRPr="00B24A80" w:rsidRDefault="0014562E" w:rsidP="0014562E">
      <w:pPr>
        <w:pStyle w:val="Sinespaciado"/>
        <w:rPr>
          <w:rFonts w:asciiTheme="majorHAnsi" w:hAnsiTheme="majorHAnsi" w:cstheme="majorHAnsi"/>
          <w:sz w:val="22"/>
        </w:rPr>
      </w:pPr>
    </w:p>
    <w:p w14:paraId="56299285" w14:textId="1B4D5594" w:rsidR="00414BC3" w:rsidRPr="005B4D53" w:rsidRDefault="007F5505" w:rsidP="009F132D">
      <w:pPr>
        <w:pStyle w:val="Sinespaciado"/>
        <w:numPr>
          <w:ilvl w:val="0"/>
          <w:numId w:val="55"/>
        </w:numPr>
        <w:rPr>
          <w:rFonts w:asciiTheme="majorHAnsi" w:hAnsiTheme="majorHAnsi" w:cstheme="majorHAnsi"/>
          <w:i/>
          <w:sz w:val="22"/>
        </w:rPr>
      </w:pPr>
      <w:r w:rsidRPr="00B24A80">
        <w:rPr>
          <w:rFonts w:asciiTheme="majorHAnsi" w:hAnsiTheme="majorHAnsi" w:cstheme="majorHAnsi"/>
          <w:i/>
          <w:sz w:val="22"/>
        </w:rPr>
        <w:t>Ver laminas</w:t>
      </w:r>
      <w:r w:rsidR="00385713" w:rsidRPr="00B24A80">
        <w:rPr>
          <w:rFonts w:asciiTheme="majorHAnsi" w:hAnsiTheme="majorHAnsi" w:cstheme="majorHAnsi"/>
          <w:i/>
          <w:sz w:val="22"/>
        </w:rPr>
        <w:t>: Tratamiento del suelo</w:t>
      </w:r>
      <w:r w:rsidR="003E669A" w:rsidRPr="00B24A80">
        <w:rPr>
          <w:rFonts w:asciiTheme="majorHAnsi" w:hAnsiTheme="majorHAnsi" w:cstheme="majorHAnsi"/>
          <w:i/>
          <w:sz w:val="22"/>
        </w:rPr>
        <w:t xml:space="preserve"> </w:t>
      </w:r>
      <w:r w:rsidR="00044A65" w:rsidRPr="00B24A80">
        <w:rPr>
          <w:rFonts w:asciiTheme="majorHAnsi" w:hAnsiTheme="majorHAnsi" w:cstheme="majorHAnsi"/>
          <w:i/>
          <w:sz w:val="22"/>
        </w:rPr>
        <w:t xml:space="preserve">rural </w:t>
      </w:r>
      <w:r w:rsidR="00385713" w:rsidRPr="00B24A80">
        <w:rPr>
          <w:rFonts w:asciiTheme="majorHAnsi" w:hAnsiTheme="majorHAnsi" w:cstheme="majorHAnsi"/>
          <w:i/>
          <w:sz w:val="22"/>
        </w:rPr>
        <w:t>-</w:t>
      </w:r>
      <w:r w:rsidR="003E669A" w:rsidRPr="00B24A80">
        <w:rPr>
          <w:rFonts w:asciiTheme="majorHAnsi" w:hAnsiTheme="majorHAnsi" w:cstheme="majorHAnsi"/>
          <w:i/>
          <w:sz w:val="22"/>
        </w:rPr>
        <w:t xml:space="preserve"> </w:t>
      </w:r>
      <w:r w:rsidR="00E73788" w:rsidRPr="00B24A80">
        <w:rPr>
          <w:rFonts w:asciiTheme="majorHAnsi" w:hAnsiTheme="majorHAnsi" w:cstheme="majorHAnsi"/>
          <w:i/>
          <w:sz w:val="22"/>
        </w:rPr>
        <w:t xml:space="preserve">cantón </w:t>
      </w:r>
      <w:r w:rsidR="00E30701" w:rsidRPr="00B24A80">
        <w:rPr>
          <w:rFonts w:asciiTheme="majorHAnsi" w:hAnsiTheme="majorHAnsi" w:cstheme="majorHAnsi"/>
          <w:color w:val="000000"/>
          <w:sz w:val="22"/>
        </w:rPr>
        <w:t>La Joya de los Sachas</w:t>
      </w:r>
      <w:r w:rsidR="00B842DD">
        <w:rPr>
          <w:rFonts w:asciiTheme="majorHAnsi" w:hAnsiTheme="majorHAnsi" w:cstheme="majorHAnsi"/>
          <w:color w:val="000000"/>
          <w:sz w:val="22"/>
        </w:rPr>
        <w:t xml:space="preserve"> </w:t>
      </w:r>
      <w:r w:rsidR="005B4D53">
        <w:rPr>
          <w:rFonts w:asciiTheme="majorHAnsi" w:hAnsiTheme="majorHAnsi" w:cstheme="majorHAnsi"/>
          <w:color w:val="000000"/>
          <w:sz w:val="22"/>
        </w:rPr>
        <w:t>(</w:t>
      </w:r>
      <w:r w:rsidR="00B842DD" w:rsidRPr="005B4D53">
        <w:rPr>
          <w:rFonts w:asciiTheme="majorHAnsi" w:hAnsiTheme="majorHAnsi" w:cstheme="majorHAnsi"/>
          <w:sz w:val="22"/>
        </w:rPr>
        <w:t>código l</w:t>
      </w:r>
      <w:r w:rsidR="003B0442" w:rsidRPr="005B4D53">
        <w:rPr>
          <w:rFonts w:asciiTheme="majorHAnsi" w:hAnsiTheme="majorHAnsi" w:cstheme="majorHAnsi"/>
          <w:sz w:val="22"/>
        </w:rPr>
        <w:t>PR-27</w:t>
      </w:r>
      <w:r w:rsidR="005B4D53">
        <w:rPr>
          <w:rFonts w:asciiTheme="majorHAnsi" w:hAnsiTheme="majorHAnsi" w:cstheme="majorHAnsi"/>
          <w:sz w:val="22"/>
        </w:rPr>
        <w:t>)</w:t>
      </w:r>
    </w:p>
    <w:p w14:paraId="13E6EC75" w14:textId="5921F664" w:rsidR="0014562E" w:rsidRPr="00B24A80" w:rsidRDefault="007306B0"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i/>
          <w:sz w:val="22"/>
        </w:rPr>
        <w:t>Ver laminas</w:t>
      </w:r>
      <w:r w:rsidR="0014562E" w:rsidRPr="00B24A80">
        <w:rPr>
          <w:rFonts w:asciiTheme="majorHAnsi" w:hAnsiTheme="majorHAnsi" w:cstheme="majorHAnsi"/>
          <w:i/>
          <w:sz w:val="22"/>
        </w:rPr>
        <w:t xml:space="preserve">: </w:t>
      </w:r>
      <w:r w:rsidR="00044A65" w:rsidRPr="00B24A80">
        <w:rPr>
          <w:rFonts w:asciiTheme="majorHAnsi" w:hAnsiTheme="majorHAnsi" w:cstheme="majorHAnsi"/>
          <w:i/>
          <w:sz w:val="22"/>
        </w:rPr>
        <w:t xml:space="preserve">Propuesta </w:t>
      </w:r>
      <w:r w:rsidR="0014562E" w:rsidRPr="00B24A80">
        <w:rPr>
          <w:rFonts w:asciiTheme="majorHAnsi" w:hAnsiTheme="majorHAnsi" w:cstheme="majorHAnsi"/>
          <w:i/>
          <w:sz w:val="22"/>
        </w:rPr>
        <w:t>Tratamiento del suelo</w:t>
      </w:r>
      <w:r w:rsidR="00044A65" w:rsidRPr="00B24A80">
        <w:rPr>
          <w:rFonts w:asciiTheme="majorHAnsi" w:hAnsiTheme="majorHAnsi" w:cstheme="majorHAnsi"/>
          <w:i/>
          <w:sz w:val="22"/>
        </w:rPr>
        <w:t xml:space="preserve"> urbano </w:t>
      </w:r>
      <w:r w:rsidR="0014562E" w:rsidRPr="00B24A80">
        <w:rPr>
          <w:rFonts w:asciiTheme="majorHAnsi" w:hAnsiTheme="majorHAnsi" w:cstheme="majorHAnsi"/>
          <w:i/>
          <w:sz w:val="22"/>
        </w:rPr>
        <w:t>-</w:t>
      </w:r>
      <w:r w:rsidR="00044A65" w:rsidRPr="00B24A80">
        <w:rPr>
          <w:rFonts w:asciiTheme="majorHAnsi" w:hAnsiTheme="majorHAnsi" w:cstheme="majorHAnsi"/>
          <w:i/>
          <w:sz w:val="22"/>
        </w:rPr>
        <w:t xml:space="preserve"> </w:t>
      </w:r>
      <w:r w:rsidR="0014562E" w:rsidRPr="00B24A80">
        <w:rPr>
          <w:rFonts w:asciiTheme="majorHAnsi" w:hAnsiTheme="majorHAnsi" w:cstheme="majorHAnsi"/>
          <w:i/>
          <w:sz w:val="22"/>
        </w:rPr>
        <w:t xml:space="preserve">cantón </w:t>
      </w:r>
      <w:r w:rsidR="00E30701" w:rsidRPr="00B24A80">
        <w:rPr>
          <w:rFonts w:asciiTheme="majorHAnsi" w:hAnsiTheme="majorHAnsi" w:cstheme="majorHAnsi"/>
          <w:color w:val="000000"/>
          <w:sz w:val="22"/>
        </w:rPr>
        <w:t>La Joya de los Sachas</w:t>
      </w:r>
      <w:r w:rsidR="00044A65" w:rsidRPr="00B24A80">
        <w:rPr>
          <w:rFonts w:asciiTheme="majorHAnsi" w:hAnsiTheme="majorHAnsi" w:cstheme="majorHAnsi"/>
          <w:i/>
          <w:sz w:val="22"/>
        </w:rPr>
        <w:t>- parroquia</w:t>
      </w:r>
      <w:r w:rsidR="0014562E" w:rsidRPr="00B24A80">
        <w:rPr>
          <w:rFonts w:asciiTheme="majorHAnsi" w:hAnsiTheme="majorHAnsi" w:cstheme="majorHAnsi"/>
          <w:i/>
          <w:sz w:val="22"/>
        </w:rPr>
        <w:t xml:space="preserve"> (para cada una de las parroquias del Cantón).</w:t>
      </w:r>
      <w:r w:rsidR="008D637D">
        <w:rPr>
          <w:rFonts w:asciiTheme="majorHAnsi" w:hAnsiTheme="majorHAnsi" w:cstheme="majorHAnsi"/>
          <w:i/>
          <w:sz w:val="22"/>
        </w:rPr>
        <w:t xml:space="preserve"> </w:t>
      </w:r>
      <w:r w:rsidR="005B4D53">
        <w:rPr>
          <w:rFonts w:asciiTheme="majorHAnsi" w:hAnsiTheme="majorHAnsi" w:cstheme="majorHAnsi"/>
          <w:i/>
          <w:sz w:val="22"/>
        </w:rPr>
        <w:t>(</w:t>
      </w:r>
      <w:r w:rsidR="005B4D53" w:rsidRPr="005B4D53">
        <w:rPr>
          <w:rFonts w:asciiTheme="majorHAnsi" w:hAnsiTheme="majorHAnsi" w:cstheme="majorHAnsi"/>
          <w:i/>
          <w:sz w:val="22"/>
        </w:rPr>
        <w:t>código</w:t>
      </w:r>
      <w:r w:rsidR="008D637D" w:rsidRPr="005B4D53">
        <w:rPr>
          <w:rFonts w:asciiTheme="majorHAnsi" w:hAnsiTheme="majorHAnsi" w:cstheme="majorHAnsi"/>
          <w:i/>
          <w:sz w:val="22"/>
        </w:rPr>
        <w:t xml:space="preserve"> U1.1</w:t>
      </w:r>
      <w:r w:rsidR="005B4D53">
        <w:rPr>
          <w:rFonts w:asciiTheme="majorHAnsi" w:hAnsiTheme="majorHAnsi" w:cstheme="majorHAnsi"/>
          <w:i/>
          <w:sz w:val="22"/>
        </w:rPr>
        <w:t>)</w:t>
      </w:r>
    </w:p>
    <w:p w14:paraId="1D0A0CD0" w14:textId="77777777" w:rsidR="0014562E" w:rsidRPr="00B24A80" w:rsidRDefault="0014562E" w:rsidP="0014562E">
      <w:pPr>
        <w:pStyle w:val="Sinespaciado"/>
        <w:ind w:left="720"/>
        <w:rPr>
          <w:rFonts w:asciiTheme="majorHAnsi" w:hAnsiTheme="majorHAnsi" w:cstheme="majorHAnsi"/>
          <w:color w:val="000000"/>
          <w:sz w:val="22"/>
        </w:rPr>
      </w:pPr>
    </w:p>
    <w:p w14:paraId="259A45E8" w14:textId="77777777" w:rsidR="00414BC3" w:rsidRPr="00B24A80" w:rsidRDefault="00414BC3" w:rsidP="00414BC3">
      <w:pPr>
        <w:pBdr>
          <w:top w:val="nil"/>
          <w:left w:val="nil"/>
          <w:bottom w:val="nil"/>
          <w:right w:val="nil"/>
          <w:between w:val="nil"/>
        </w:pBdr>
        <w:spacing w:before="240"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Los tratamientos urbanísticos para las cabeceras parroquiales se detallan a continuación:</w:t>
      </w:r>
    </w:p>
    <w:p w14:paraId="2A788D8E"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 xml:space="preserve">Suelo Urbano Consolidado. </w:t>
      </w:r>
      <w:r w:rsidR="00414BC3" w:rsidRPr="00B24A80">
        <w:rPr>
          <w:rFonts w:asciiTheme="majorHAnsi" w:eastAsia="Calibri" w:hAnsiTheme="majorHAnsi" w:cstheme="majorHAnsi"/>
          <w:b/>
          <w:sz w:val="22"/>
          <w:szCs w:val="22"/>
        </w:rPr>
        <w:t>–</w:t>
      </w:r>
      <w:r w:rsidRPr="00B24A80">
        <w:rPr>
          <w:rFonts w:asciiTheme="majorHAnsi" w:eastAsia="Calibri" w:hAnsiTheme="majorHAnsi" w:cstheme="majorHAnsi"/>
          <w:b/>
          <w:sz w:val="22"/>
          <w:szCs w:val="22"/>
        </w:rPr>
        <w:t xml:space="preserve"> </w:t>
      </w:r>
      <w:r w:rsidR="00414BC3" w:rsidRPr="00B24A80">
        <w:rPr>
          <w:rFonts w:asciiTheme="majorHAnsi" w:eastAsia="Calibri" w:hAnsiTheme="majorHAnsi" w:cstheme="majorHAnsi"/>
          <w:sz w:val="22"/>
          <w:szCs w:val="22"/>
        </w:rPr>
        <w:t xml:space="preserve"> Conforme el presente Plan de Uso y Gestión de Suelo se contemplan</w:t>
      </w:r>
      <w:r w:rsidRPr="00B24A80">
        <w:rPr>
          <w:rFonts w:asciiTheme="majorHAnsi" w:eastAsia="Calibri" w:hAnsiTheme="majorHAnsi" w:cstheme="majorHAnsi"/>
          <w:sz w:val="22"/>
          <w:szCs w:val="22"/>
        </w:rPr>
        <w:t xml:space="preserve"> los siguientes tratamientos:</w:t>
      </w:r>
    </w:p>
    <w:p w14:paraId="6DDB43DE" w14:textId="77777777" w:rsidR="00DC27E8" w:rsidRPr="00B24A80" w:rsidRDefault="007F5505" w:rsidP="009F132D">
      <w:pPr>
        <w:widowControl/>
        <w:numPr>
          <w:ilvl w:val="0"/>
          <w:numId w:val="18"/>
        </w:numPr>
        <w:pBdr>
          <w:top w:val="nil"/>
          <w:left w:val="nil"/>
          <w:bottom w:val="nil"/>
          <w:right w:val="nil"/>
          <w:between w:val="nil"/>
        </w:pBdr>
        <w:spacing w:before="240" w:line="276" w:lineRule="auto"/>
        <w:ind w:left="851" w:hanging="425"/>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conservación. </w:t>
      </w:r>
      <w:r w:rsidRPr="00B24A80">
        <w:rPr>
          <w:rFonts w:asciiTheme="majorHAnsi" w:eastAsia="Calibri" w:hAnsiTheme="majorHAnsi" w:cstheme="majorHAnsi"/>
          <w:color w:val="000000"/>
          <w:sz w:val="22"/>
          <w:szCs w:val="22"/>
        </w:rPr>
        <w:t>Se aplica a aquellas zonas urbanas que posean un alto valor histórico, cultural, urbanístico, paisajístico o ambiental, con el fin de orientar acciones que permitan la conservación y valoración de sus características, de conformidad con la legislación ambiental o patrimonial, según corresponda.</w:t>
      </w:r>
    </w:p>
    <w:p w14:paraId="0FC7A033" w14:textId="77777777" w:rsidR="00DC27E8" w:rsidRPr="00B24A80" w:rsidRDefault="007F5505" w:rsidP="009F132D">
      <w:pPr>
        <w:widowControl/>
        <w:numPr>
          <w:ilvl w:val="0"/>
          <w:numId w:val="18"/>
        </w:numPr>
        <w:pBdr>
          <w:top w:val="nil"/>
          <w:left w:val="nil"/>
          <w:bottom w:val="nil"/>
          <w:right w:val="nil"/>
          <w:between w:val="nil"/>
        </w:pBdr>
        <w:spacing w:line="276" w:lineRule="auto"/>
        <w:ind w:left="851" w:hanging="425"/>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sostenimiento. </w:t>
      </w:r>
      <w:r w:rsidRPr="00B24A80">
        <w:rPr>
          <w:rFonts w:asciiTheme="majorHAnsi" w:eastAsia="Calibri" w:hAnsiTheme="majorHAnsi" w:cstheme="majorHAnsi"/>
          <w:color w:val="000000"/>
          <w:sz w:val="22"/>
          <w:szCs w:val="22"/>
        </w:rPr>
        <w:t>Se aplica en áreas que se caracterizan por un alto grado de homogeneidad morfológica, coherencia entre el uso y la edificación y una relación de equilibrio entre la capacidad máxima de utilización de los sistemas públicos de soporte y los espacios edificados que no requiere de la intervención en la infraestructura y equipamientos públicos, sino de la definición de una normativa urbanística destinada a mantener el equilibrio orientado.</w:t>
      </w:r>
    </w:p>
    <w:p w14:paraId="78598470" w14:textId="77777777" w:rsidR="00DC27E8" w:rsidRPr="00B24A80" w:rsidRDefault="007F5505" w:rsidP="009F132D">
      <w:pPr>
        <w:widowControl/>
        <w:numPr>
          <w:ilvl w:val="0"/>
          <w:numId w:val="18"/>
        </w:numPr>
        <w:pBdr>
          <w:top w:val="nil"/>
          <w:left w:val="nil"/>
          <w:bottom w:val="nil"/>
          <w:right w:val="nil"/>
          <w:between w:val="nil"/>
        </w:pBdr>
        <w:spacing w:after="240" w:line="276" w:lineRule="auto"/>
        <w:ind w:left="851" w:hanging="425"/>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renovación. </w:t>
      </w:r>
      <w:r w:rsidRPr="00B24A80">
        <w:rPr>
          <w:rFonts w:asciiTheme="majorHAnsi" w:eastAsia="Calibri" w:hAnsiTheme="majorHAnsi" w:cstheme="majorHAnsi"/>
          <w:color w:val="000000"/>
          <w:sz w:val="22"/>
          <w:szCs w:val="22"/>
        </w:rPr>
        <w:t>Se aplica en áreas en suelo urbano que, por su estado de deterioro físico, ambiental y/o baja intensidad de uso y la pérdida de unidad morfológica, necesitan ser reemplazadas por una nueva estructura que se integre física y socialmente al conjunto urbano. El aprovechamiento de estos potenciales depende de la capacidad máxima de utilización de los sistemas públicos de soporte.</w:t>
      </w:r>
    </w:p>
    <w:p w14:paraId="1D3ABA92" w14:textId="77777777" w:rsidR="00DC27E8" w:rsidRPr="00B24A80" w:rsidRDefault="007F5505">
      <w:pPr>
        <w:spacing w:before="240" w:after="240"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 xml:space="preserve">Suelo Urbano No Consolidado. - </w:t>
      </w:r>
      <w:r w:rsidR="00414BC3" w:rsidRPr="00B24A80">
        <w:rPr>
          <w:rFonts w:asciiTheme="majorHAnsi" w:eastAsia="Calibri" w:hAnsiTheme="majorHAnsi" w:cstheme="majorHAnsi"/>
          <w:sz w:val="22"/>
          <w:szCs w:val="22"/>
        </w:rPr>
        <w:t>Conforme el presente Plan de Uso y Gestión de Suelo se contemplan los siguientes tratamientos</w:t>
      </w:r>
      <w:r w:rsidRPr="00B24A80">
        <w:rPr>
          <w:rFonts w:asciiTheme="majorHAnsi" w:eastAsia="Calibri" w:hAnsiTheme="majorHAnsi" w:cstheme="majorHAnsi"/>
          <w:sz w:val="22"/>
          <w:szCs w:val="22"/>
        </w:rPr>
        <w:t>:</w:t>
      </w:r>
    </w:p>
    <w:p w14:paraId="71142C82" w14:textId="77777777" w:rsidR="00DC27E8" w:rsidRPr="00B24A80" w:rsidRDefault="007F5505" w:rsidP="009F132D">
      <w:pPr>
        <w:widowControl/>
        <w:numPr>
          <w:ilvl w:val="0"/>
          <w:numId w:val="19"/>
        </w:numPr>
        <w:pBdr>
          <w:top w:val="nil"/>
          <w:left w:val="nil"/>
          <w:bottom w:val="nil"/>
          <w:right w:val="nil"/>
          <w:between w:val="nil"/>
        </w:pBdr>
        <w:spacing w:before="240" w:line="276" w:lineRule="auto"/>
        <w:ind w:left="851" w:hanging="425"/>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consolidación. </w:t>
      </w:r>
      <w:r w:rsidRPr="00B24A80">
        <w:rPr>
          <w:rFonts w:asciiTheme="majorHAnsi" w:eastAsia="Calibri" w:hAnsiTheme="majorHAnsi" w:cstheme="majorHAnsi"/>
          <w:color w:val="000000"/>
          <w:sz w:val="22"/>
          <w:szCs w:val="22"/>
        </w:rPr>
        <w:t>Se aplica a aquellas áreas con déficit de espacio público, infraestructura y equipamiento público que requieren ser mejoradas, condición de la cual depende el potencial de consolidación y redensificación.</w:t>
      </w:r>
    </w:p>
    <w:p w14:paraId="2DFC5D48" w14:textId="77777777" w:rsidR="00DC27E8" w:rsidRPr="00B24A80" w:rsidRDefault="00DC27E8">
      <w:pPr>
        <w:pBdr>
          <w:top w:val="nil"/>
          <w:left w:val="nil"/>
          <w:bottom w:val="nil"/>
          <w:right w:val="nil"/>
          <w:between w:val="nil"/>
        </w:pBdr>
        <w:spacing w:line="276" w:lineRule="auto"/>
        <w:ind w:left="851"/>
        <w:rPr>
          <w:rFonts w:asciiTheme="majorHAnsi" w:eastAsia="Calibri" w:hAnsiTheme="majorHAnsi" w:cstheme="majorHAnsi"/>
          <w:b/>
          <w:color w:val="000000"/>
          <w:sz w:val="22"/>
          <w:szCs w:val="22"/>
        </w:rPr>
      </w:pPr>
    </w:p>
    <w:p w14:paraId="459355EB" w14:textId="77777777" w:rsidR="00DC27E8" w:rsidRPr="00B24A80" w:rsidRDefault="007F5505" w:rsidP="009F132D">
      <w:pPr>
        <w:widowControl/>
        <w:numPr>
          <w:ilvl w:val="0"/>
          <w:numId w:val="19"/>
        </w:numPr>
        <w:pBdr>
          <w:top w:val="nil"/>
          <w:left w:val="nil"/>
          <w:bottom w:val="nil"/>
          <w:right w:val="nil"/>
          <w:between w:val="nil"/>
        </w:pBdr>
        <w:spacing w:line="276" w:lineRule="auto"/>
        <w:ind w:left="851" w:hanging="425"/>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mejoramiento integral. </w:t>
      </w:r>
      <w:r w:rsidRPr="00B24A80">
        <w:rPr>
          <w:rFonts w:asciiTheme="majorHAnsi" w:eastAsia="Calibri" w:hAnsiTheme="majorHAnsi" w:cstheme="majorHAnsi"/>
          <w:color w:val="000000"/>
          <w:sz w:val="22"/>
          <w:szCs w:val="22"/>
        </w:rPr>
        <w:t>Se aplica a aquellas zonas caracterizadas por la presencia de asentamientos humanos con alta necesidad de intervención para mejorar la infraestructura vial, servicios públicos, equipamientos y espacio público y mitigar riesgos, en zonas producto del desarrollo informal con capacidad de integración urbana o procesos de redensificación en urbanizaciones formales que deban ser objeto de procesos de reordenamiento físico-espacial, regularización predial o urbanización.</w:t>
      </w:r>
    </w:p>
    <w:p w14:paraId="4053EC24" w14:textId="77777777" w:rsidR="00DC27E8" w:rsidRPr="00B24A80" w:rsidRDefault="00DC27E8">
      <w:pPr>
        <w:pBdr>
          <w:top w:val="nil"/>
          <w:left w:val="nil"/>
          <w:bottom w:val="nil"/>
          <w:right w:val="nil"/>
          <w:between w:val="nil"/>
        </w:pBdr>
        <w:ind w:left="720"/>
        <w:rPr>
          <w:rFonts w:asciiTheme="majorHAnsi" w:eastAsia="Calibri" w:hAnsiTheme="majorHAnsi" w:cstheme="majorHAnsi"/>
          <w:b/>
          <w:color w:val="000000"/>
          <w:sz w:val="22"/>
          <w:szCs w:val="22"/>
        </w:rPr>
      </w:pPr>
    </w:p>
    <w:p w14:paraId="6E96FDC3" w14:textId="77777777" w:rsidR="00DC27E8" w:rsidRPr="00B24A80" w:rsidRDefault="007F5505" w:rsidP="009F132D">
      <w:pPr>
        <w:widowControl/>
        <w:numPr>
          <w:ilvl w:val="0"/>
          <w:numId w:val="19"/>
        </w:numPr>
        <w:pBdr>
          <w:top w:val="nil"/>
          <w:left w:val="nil"/>
          <w:bottom w:val="nil"/>
          <w:right w:val="nil"/>
          <w:between w:val="nil"/>
        </w:pBdr>
        <w:spacing w:after="240" w:line="276" w:lineRule="auto"/>
        <w:ind w:left="851" w:hanging="425"/>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desarrollo. </w:t>
      </w:r>
      <w:r w:rsidRPr="00B24A80">
        <w:rPr>
          <w:rFonts w:asciiTheme="majorHAnsi" w:eastAsia="Calibri" w:hAnsiTheme="majorHAnsi" w:cstheme="majorHAnsi"/>
          <w:color w:val="000000"/>
          <w:sz w:val="22"/>
          <w:szCs w:val="22"/>
        </w:rPr>
        <w:t>Se aplican a zonas que no presenten procesos previos de urbanización y que deban ser transformadas para su incorporación a la estructura urbana existente, alcanzando todos los atributos de infraestructuras, servicios y equipamientos públicos necesarios.</w:t>
      </w:r>
    </w:p>
    <w:p w14:paraId="31921621" w14:textId="77777777" w:rsidR="00DC27E8" w:rsidRPr="00B24A80" w:rsidRDefault="007F5505">
      <w:pPr>
        <w:spacing w:before="240" w:after="240"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 xml:space="preserve">Suelo Urbano de Protección. - </w:t>
      </w:r>
      <w:r w:rsidR="00414BC3" w:rsidRPr="00B24A80">
        <w:rPr>
          <w:rFonts w:asciiTheme="majorHAnsi" w:eastAsia="Calibri" w:hAnsiTheme="majorHAnsi" w:cstheme="majorHAnsi"/>
          <w:sz w:val="22"/>
          <w:szCs w:val="22"/>
        </w:rPr>
        <w:t>Conforme el presente Plan de Uso y Gestión de Suelo se contemplan los siguientes tratamientos</w:t>
      </w:r>
      <w:r w:rsidRPr="00B24A80">
        <w:rPr>
          <w:rFonts w:asciiTheme="majorHAnsi" w:eastAsia="Calibri" w:hAnsiTheme="majorHAnsi" w:cstheme="majorHAnsi"/>
          <w:sz w:val="22"/>
          <w:szCs w:val="22"/>
        </w:rPr>
        <w:t>:</w:t>
      </w:r>
    </w:p>
    <w:p w14:paraId="4C67C63B" w14:textId="77777777" w:rsidR="00DC27E8" w:rsidRPr="00B24A80" w:rsidRDefault="007F5505" w:rsidP="009F132D">
      <w:pPr>
        <w:widowControl/>
        <w:numPr>
          <w:ilvl w:val="0"/>
          <w:numId w:val="43"/>
        </w:numPr>
        <w:pBdr>
          <w:top w:val="nil"/>
          <w:left w:val="nil"/>
          <w:bottom w:val="nil"/>
          <w:right w:val="nil"/>
          <w:between w:val="nil"/>
        </w:pBdr>
        <w:spacing w:before="240" w:line="276" w:lineRule="auto"/>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lastRenderedPageBreak/>
        <w:t xml:space="preserve">Tratamiento de conservación. </w:t>
      </w:r>
      <w:r w:rsidRPr="00B24A80">
        <w:rPr>
          <w:rFonts w:asciiTheme="majorHAnsi" w:eastAsia="Calibri" w:hAnsiTheme="majorHAnsi" w:cstheme="majorHAnsi"/>
          <w:color w:val="000000"/>
          <w:sz w:val="22"/>
          <w:szCs w:val="22"/>
        </w:rPr>
        <w:t>Se aplica a aquellas zonas urbanas que posean un alto valor histórico, cultural, urbanístico, paisajístico o ambiental, con el fin de orientar acciones que permitan la conservación y valoración de sus características, de conformidad con la legislación ambiental o patrimonial, según corresponda.</w:t>
      </w:r>
    </w:p>
    <w:p w14:paraId="442CA1E5" w14:textId="77777777" w:rsidR="00DC27E8" w:rsidRPr="00B24A80" w:rsidRDefault="00DC27E8">
      <w:pPr>
        <w:pBdr>
          <w:top w:val="nil"/>
          <w:left w:val="nil"/>
          <w:bottom w:val="nil"/>
          <w:right w:val="nil"/>
          <w:between w:val="nil"/>
        </w:pBdr>
        <w:spacing w:line="276" w:lineRule="auto"/>
        <w:ind w:left="426"/>
        <w:rPr>
          <w:rFonts w:asciiTheme="majorHAnsi" w:eastAsia="Calibri" w:hAnsiTheme="majorHAnsi" w:cstheme="majorHAnsi"/>
          <w:b/>
          <w:color w:val="000000"/>
          <w:sz w:val="22"/>
          <w:szCs w:val="22"/>
        </w:rPr>
      </w:pPr>
    </w:p>
    <w:p w14:paraId="154EC303" w14:textId="6C76A4C9" w:rsidR="0014562E" w:rsidRPr="00B24A80" w:rsidRDefault="007F5505" w:rsidP="0077496C">
      <w:pPr>
        <w:widowControl/>
        <w:numPr>
          <w:ilvl w:val="0"/>
          <w:numId w:val="43"/>
        </w:numPr>
        <w:pBdr>
          <w:top w:val="nil"/>
          <w:left w:val="nil"/>
          <w:bottom w:val="nil"/>
          <w:right w:val="nil"/>
          <w:between w:val="nil"/>
        </w:pBdr>
        <w:spacing w:after="240" w:line="276" w:lineRule="auto"/>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Tratamiento de Recuperación. - </w:t>
      </w:r>
      <w:r w:rsidRPr="00B24A80">
        <w:rPr>
          <w:rFonts w:asciiTheme="majorHAnsi" w:eastAsia="Calibri" w:hAnsiTheme="majorHAnsi" w:cstheme="majorHAnsi"/>
          <w:color w:val="000000"/>
          <w:sz w:val="22"/>
          <w:szCs w:val="22"/>
        </w:rPr>
        <w:t>Para aquellas áreas urbanas o en su momento áreas rurales de aprovechamiento extractivo o de producción que han sufrido proceso de deterioro ambiental y/o paisajístico, debido al desarrollo de las actividades productivas o extractivas y cuya recuperación es necesaria para mantener el equilibrio de los ecosistemas naturales, según lo establecido en la legislación ambiental.</w:t>
      </w:r>
    </w:p>
    <w:p w14:paraId="099BFF11" w14:textId="6FA11BFE" w:rsidR="0014562E" w:rsidRPr="00B24A80" w:rsidRDefault="006879E7" w:rsidP="009F132D">
      <w:pPr>
        <w:pStyle w:val="Sinespaciado"/>
        <w:numPr>
          <w:ilvl w:val="0"/>
          <w:numId w:val="55"/>
        </w:numPr>
        <w:rPr>
          <w:rFonts w:asciiTheme="majorHAnsi" w:hAnsiTheme="majorHAnsi" w:cstheme="majorHAnsi"/>
          <w:b/>
          <w:color w:val="000000"/>
          <w:sz w:val="22"/>
        </w:rPr>
      </w:pPr>
      <w:r w:rsidRPr="00B24A80">
        <w:rPr>
          <w:rFonts w:asciiTheme="majorHAnsi" w:hAnsiTheme="majorHAnsi" w:cstheme="majorHAnsi"/>
          <w:i/>
          <w:sz w:val="22"/>
        </w:rPr>
        <w:t>Ver laminas</w:t>
      </w:r>
      <w:r w:rsidR="0014562E" w:rsidRPr="00B24A80">
        <w:rPr>
          <w:rFonts w:asciiTheme="majorHAnsi" w:hAnsiTheme="majorHAnsi" w:cstheme="majorHAnsi"/>
          <w:i/>
          <w:sz w:val="22"/>
        </w:rPr>
        <w:t>: Propuesta Polígonos de intervención territorial- asentamiento (por cada una de las áreas urbanas d</w:t>
      </w:r>
      <w:r w:rsidR="00A17FAB" w:rsidRPr="00B24A80">
        <w:rPr>
          <w:rFonts w:asciiTheme="majorHAnsi" w:hAnsiTheme="majorHAnsi" w:cstheme="majorHAnsi"/>
          <w:i/>
          <w:sz w:val="22"/>
        </w:rPr>
        <w:t>e</w:t>
      </w:r>
      <w:r w:rsidR="0014562E" w:rsidRPr="00B24A80">
        <w:rPr>
          <w:rFonts w:asciiTheme="majorHAnsi" w:hAnsiTheme="majorHAnsi" w:cstheme="majorHAnsi"/>
          <w:i/>
          <w:sz w:val="22"/>
        </w:rPr>
        <w:t xml:space="preserve"> </w:t>
      </w:r>
      <w:r w:rsidR="00E30701" w:rsidRPr="00B24A80">
        <w:rPr>
          <w:rFonts w:asciiTheme="majorHAnsi" w:hAnsiTheme="majorHAnsi" w:cstheme="majorHAnsi"/>
          <w:color w:val="000000"/>
          <w:sz w:val="22"/>
        </w:rPr>
        <w:t>La Joya de los Sachas</w:t>
      </w:r>
      <w:r w:rsidR="0014562E" w:rsidRPr="00B24A80">
        <w:rPr>
          <w:rFonts w:asciiTheme="majorHAnsi" w:hAnsiTheme="majorHAnsi" w:cstheme="majorHAnsi"/>
          <w:i/>
          <w:sz w:val="22"/>
        </w:rPr>
        <w:t>)</w:t>
      </w:r>
      <w:r w:rsidR="0014562E" w:rsidRPr="00B24A80">
        <w:rPr>
          <w:rFonts w:asciiTheme="majorHAnsi" w:hAnsiTheme="majorHAnsi" w:cstheme="majorHAnsi"/>
          <w:b/>
          <w:color w:val="000000"/>
          <w:sz w:val="22"/>
        </w:rPr>
        <w:t xml:space="preserve"> </w:t>
      </w:r>
    </w:p>
    <w:p w14:paraId="12BBCA20" w14:textId="77777777" w:rsidR="0077496C" w:rsidRPr="00B24A80" w:rsidRDefault="0077496C" w:rsidP="0077496C">
      <w:pPr>
        <w:pStyle w:val="Sinespaciado"/>
        <w:ind w:left="720"/>
        <w:rPr>
          <w:rFonts w:asciiTheme="majorHAnsi" w:hAnsiTheme="majorHAnsi" w:cstheme="majorHAnsi"/>
          <w:b/>
          <w:color w:val="000000"/>
          <w:sz w:val="22"/>
        </w:rPr>
      </w:pPr>
    </w:p>
    <w:p w14:paraId="4094F2C3" w14:textId="2B41E30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Aprovechamientos Urbanísticos. – </w:t>
      </w:r>
      <w:r w:rsidRPr="00B24A80">
        <w:rPr>
          <w:rFonts w:asciiTheme="majorHAnsi" w:eastAsia="Calibri" w:hAnsiTheme="majorHAnsi" w:cstheme="majorHAnsi"/>
          <w:color w:val="000000"/>
          <w:szCs w:val="22"/>
        </w:rPr>
        <w:t>Los aprovechamientos urbanísticos se signan mediante una nomenclatura definida por los siguientes códigos:</w:t>
      </w:r>
    </w:p>
    <w:p w14:paraId="2D31F689" w14:textId="77777777" w:rsidR="00DC27E8" w:rsidRPr="00B24A80" w:rsidRDefault="007F5505">
      <w:pPr>
        <w:tabs>
          <w:tab w:val="left" w:pos="3052"/>
        </w:tabs>
        <w:spacing w:line="276" w:lineRule="auto"/>
        <w:jc w:val="center"/>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Clase de suelo urbano.: </w:t>
      </w:r>
      <w:r w:rsidRPr="00B24A80">
        <w:rPr>
          <w:rFonts w:asciiTheme="majorHAnsi" w:eastAsia="Calibri" w:hAnsiTheme="majorHAnsi" w:cstheme="majorHAnsi"/>
          <w:sz w:val="22"/>
          <w:szCs w:val="22"/>
        </w:rPr>
        <w:tab/>
      </w:r>
      <w:r w:rsidRPr="00B24A80">
        <w:rPr>
          <w:rFonts w:asciiTheme="majorHAnsi" w:eastAsia="Calibri" w:hAnsiTheme="majorHAnsi" w:cstheme="majorHAnsi"/>
          <w:b/>
          <w:sz w:val="22"/>
          <w:szCs w:val="22"/>
        </w:rPr>
        <w:t>2 dígitos</w:t>
      </w:r>
    </w:p>
    <w:p w14:paraId="52E47C75" w14:textId="15AC2B82" w:rsidR="00DC27E8" w:rsidRPr="00B24A80" w:rsidRDefault="007F5505" w:rsidP="0077496C">
      <w:pPr>
        <w:tabs>
          <w:tab w:val="left" w:pos="3052"/>
        </w:tabs>
        <w:spacing w:line="276" w:lineRule="auto"/>
        <w:jc w:val="center"/>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Polígono de intervención: </w:t>
      </w:r>
      <w:r w:rsidRPr="00B24A80">
        <w:rPr>
          <w:rFonts w:asciiTheme="majorHAnsi" w:eastAsia="Calibri" w:hAnsiTheme="majorHAnsi" w:cstheme="majorHAnsi"/>
          <w:sz w:val="22"/>
          <w:szCs w:val="22"/>
        </w:rPr>
        <w:tab/>
      </w:r>
      <w:r w:rsidRPr="00B24A80">
        <w:rPr>
          <w:rFonts w:asciiTheme="majorHAnsi" w:eastAsia="Calibri" w:hAnsiTheme="majorHAnsi" w:cstheme="majorHAnsi"/>
          <w:b/>
          <w:sz w:val="22"/>
          <w:szCs w:val="22"/>
        </w:rPr>
        <w:t>2 dígitos</w:t>
      </w:r>
    </w:p>
    <w:p w14:paraId="22876A73" w14:textId="77777777" w:rsidR="00DC27E8" w:rsidRPr="00B24A80" w:rsidRDefault="007F5505">
      <w:pPr>
        <w:tabs>
          <w:tab w:val="left" w:pos="3052"/>
        </w:tabs>
        <w:spacing w:line="276" w:lineRule="auto"/>
        <w:jc w:val="center"/>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Tratamiento: </w:t>
      </w:r>
      <w:r w:rsidRPr="00B24A80">
        <w:rPr>
          <w:rFonts w:asciiTheme="majorHAnsi" w:eastAsia="Calibri" w:hAnsiTheme="majorHAnsi" w:cstheme="majorHAnsi"/>
          <w:sz w:val="22"/>
          <w:szCs w:val="22"/>
        </w:rPr>
        <w:tab/>
      </w:r>
      <w:r w:rsidRPr="00B24A80">
        <w:rPr>
          <w:rFonts w:asciiTheme="majorHAnsi" w:eastAsia="Calibri" w:hAnsiTheme="majorHAnsi" w:cstheme="majorHAnsi"/>
          <w:b/>
          <w:sz w:val="22"/>
          <w:szCs w:val="22"/>
        </w:rPr>
        <w:t>2 dígitos</w:t>
      </w:r>
    </w:p>
    <w:p w14:paraId="400B7E5E" w14:textId="77777777" w:rsidR="00DC27E8" w:rsidRPr="00B24A80" w:rsidRDefault="007F5505">
      <w:pPr>
        <w:tabs>
          <w:tab w:val="left" w:pos="3052"/>
        </w:tabs>
        <w:spacing w:line="276" w:lineRule="auto"/>
        <w:jc w:val="center"/>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Uso Principal: </w:t>
      </w:r>
      <w:r w:rsidRPr="00B24A80">
        <w:rPr>
          <w:rFonts w:asciiTheme="majorHAnsi" w:eastAsia="Calibri" w:hAnsiTheme="majorHAnsi" w:cstheme="majorHAnsi"/>
          <w:sz w:val="22"/>
          <w:szCs w:val="22"/>
        </w:rPr>
        <w:tab/>
      </w:r>
      <w:r w:rsidR="00365928" w:rsidRPr="00B24A80">
        <w:rPr>
          <w:rFonts w:asciiTheme="majorHAnsi" w:eastAsia="Calibri" w:hAnsiTheme="majorHAnsi" w:cstheme="majorHAnsi"/>
          <w:b/>
          <w:sz w:val="22"/>
          <w:szCs w:val="22"/>
        </w:rPr>
        <w:t>3</w:t>
      </w:r>
      <w:r w:rsidRPr="00B24A80">
        <w:rPr>
          <w:rFonts w:asciiTheme="majorHAnsi" w:eastAsia="Calibri" w:hAnsiTheme="majorHAnsi" w:cstheme="majorHAnsi"/>
          <w:b/>
          <w:sz w:val="22"/>
          <w:szCs w:val="22"/>
        </w:rPr>
        <w:t xml:space="preserve"> dígitos</w:t>
      </w:r>
    </w:p>
    <w:p w14:paraId="13FBA5A8" w14:textId="65CAB759" w:rsidR="00DC27E8" w:rsidRPr="00B24A80" w:rsidRDefault="00365928">
      <w:pPr>
        <w:tabs>
          <w:tab w:val="left" w:pos="3052"/>
        </w:tabs>
        <w:spacing w:line="276" w:lineRule="auto"/>
        <w:jc w:val="center"/>
        <w:rPr>
          <w:rFonts w:asciiTheme="majorHAnsi" w:eastAsia="Calibri" w:hAnsiTheme="majorHAnsi" w:cstheme="majorHAnsi"/>
          <w:b/>
          <w:sz w:val="22"/>
          <w:szCs w:val="22"/>
        </w:rPr>
      </w:pPr>
      <w:r w:rsidRPr="00B24A80">
        <w:rPr>
          <w:rFonts w:asciiTheme="majorHAnsi" w:eastAsia="Calibri" w:hAnsiTheme="majorHAnsi" w:cstheme="majorHAnsi"/>
          <w:sz w:val="22"/>
          <w:szCs w:val="22"/>
        </w:rPr>
        <w:t>Forma de ocupación</w:t>
      </w:r>
      <w:r w:rsidR="007F5505" w:rsidRPr="00B24A80">
        <w:rPr>
          <w:rFonts w:asciiTheme="majorHAnsi" w:eastAsia="Calibri" w:hAnsiTheme="majorHAnsi" w:cstheme="majorHAnsi"/>
          <w:sz w:val="22"/>
          <w:szCs w:val="22"/>
        </w:rPr>
        <w:t>:</w:t>
      </w:r>
      <w:r w:rsidR="007F5505" w:rsidRPr="00B24A80">
        <w:rPr>
          <w:rFonts w:asciiTheme="majorHAnsi" w:eastAsia="Calibri" w:hAnsiTheme="majorHAnsi" w:cstheme="majorHAnsi"/>
          <w:sz w:val="22"/>
          <w:szCs w:val="22"/>
        </w:rPr>
        <w:tab/>
      </w:r>
      <w:r w:rsidRPr="00B24A80">
        <w:rPr>
          <w:rFonts w:asciiTheme="majorHAnsi" w:eastAsia="Calibri" w:hAnsiTheme="majorHAnsi" w:cstheme="majorHAnsi"/>
          <w:b/>
          <w:sz w:val="22"/>
          <w:szCs w:val="22"/>
        </w:rPr>
        <w:t>2</w:t>
      </w:r>
      <w:r w:rsidR="007F5505" w:rsidRPr="00B24A80">
        <w:rPr>
          <w:rFonts w:asciiTheme="majorHAnsi" w:eastAsia="Calibri" w:hAnsiTheme="majorHAnsi" w:cstheme="majorHAnsi"/>
          <w:b/>
          <w:sz w:val="22"/>
          <w:szCs w:val="22"/>
        </w:rPr>
        <w:t xml:space="preserve"> dígitos</w:t>
      </w:r>
    </w:p>
    <w:p w14:paraId="220B3CBE" w14:textId="35D38756" w:rsidR="008F5B10" w:rsidRPr="00B24A80" w:rsidRDefault="008F5B10">
      <w:pPr>
        <w:pBdr>
          <w:top w:val="nil"/>
          <w:left w:val="nil"/>
          <w:bottom w:val="nil"/>
          <w:right w:val="nil"/>
          <w:between w:val="nil"/>
        </w:pBdr>
        <w:spacing w:after="200"/>
        <w:rPr>
          <w:rFonts w:asciiTheme="majorHAnsi" w:eastAsia="Calibri" w:hAnsiTheme="majorHAnsi" w:cstheme="majorHAnsi"/>
          <w:b/>
          <w:color w:val="000000"/>
          <w:sz w:val="22"/>
          <w:szCs w:val="22"/>
        </w:rPr>
      </w:pPr>
      <w:bookmarkStart w:id="78" w:name="_heading=h.ihv636" w:colFirst="0" w:colLast="0"/>
      <w:bookmarkEnd w:id="78"/>
    </w:p>
    <w:p w14:paraId="634F7129" w14:textId="16067FF8" w:rsidR="008F5B10" w:rsidRPr="00B24A80" w:rsidRDefault="008F5B10" w:rsidP="008F5B10">
      <w:pPr>
        <w:pStyle w:val="Descripcin"/>
        <w:rPr>
          <w:rFonts w:cstheme="majorHAnsi"/>
          <w:sz w:val="22"/>
          <w:szCs w:val="22"/>
        </w:rPr>
      </w:pPr>
      <w:bookmarkStart w:id="79" w:name="_Toc81085715"/>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1</w:t>
      </w:r>
      <w:r w:rsidR="00203216" w:rsidRPr="00B24A80">
        <w:rPr>
          <w:rFonts w:cstheme="majorHAnsi"/>
          <w:noProof/>
          <w:sz w:val="22"/>
          <w:szCs w:val="22"/>
        </w:rPr>
        <w:fldChar w:fldCharType="end"/>
      </w:r>
      <w:r w:rsidRPr="00B24A80">
        <w:rPr>
          <w:rFonts w:cstheme="majorHAnsi"/>
          <w:sz w:val="22"/>
          <w:szCs w:val="22"/>
        </w:rPr>
        <w:t>. Codificación.</w:t>
      </w:r>
      <w:bookmarkEnd w:id="79"/>
    </w:p>
    <w:tbl>
      <w:tblPr>
        <w:tblStyle w:val="af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08"/>
        <w:gridCol w:w="3626"/>
        <w:gridCol w:w="1154"/>
      </w:tblGrid>
      <w:tr w:rsidR="00DC27E8" w:rsidRPr="00B24A80" w14:paraId="083546D0" w14:textId="77777777" w:rsidTr="0080438B">
        <w:trPr>
          <w:trHeight w:val="20"/>
        </w:trPr>
        <w:tc>
          <w:tcPr>
            <w:tcW w:w="5000" w:type="pct"/>
            <w:gridSpan w:val="3"/>
            <w:shd w:val="clear" w:color="auto" w:fill="auto"/>
            <w:vAlign w:val="center"/>
          </w:tcPr>
          <w:p w14:paraId="6CD02556" w14:textId="77777777" w:rsidR="00DC27E8" w:rsidRPr="00B24A80" w:rsidRDefault="007F5505" w:rsidP="0080438B">
            <w:pPr>
              <w:spacing w:after="0" w:line="276" w:lineRule="auto"/>
              <w:jc w:val="center"/>
              <w:rPr>
                <w:rFonts w:asciiTheme="majorHAnsi" w:eastAsia="Calibri" w:hAnsiTheme="majorHAnsi" w:cstheme="majorHAnsi"/>
                <w:b/>
              </w:rPr>
            </w:pPr>
            <w:r w:rsidRPr="00B24A80">
              <w:rPr>
                <w:rFonts w:asciiTheme="majorHAnsi" w:eastAsia="Calibri" w:hAnsiTheme="majorHAnsi" w:cstheme="majorHAnsi"/>
                <w:b/>
              </w:rPr>
              <w:t>CODIFICACIÓN DE ZONIFICACIÓN Y USO DE SUELO</w:t>
            </w:r>
          </w:p>
        </w:tc>
      </w:tr>
      <w:tr w:rsidR="00DC27E8" w:rsidRPr="00B24A80" w14:paraId="0D0B50E4" w14:textId="77777777" w:rsidTr="0080438B">
        <w:trPr>
          <w:trHeight w:val="20"/>
        </w:trPr>
        <w:tc>
          <w:tcPr>
            <w:tcW w:w="2184" w:type="pct"/>
            <w:vMerge w:val="restart"/>
            <w:shd w:val="clear" w:color="auto" w:fill="auto"/>
          </w:tcPr>
          <w:p w14:paraId="7EEA42B2"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SUBCLASIFICACIÓN DEL SUELO</w:t>
            </w:r>
          </w:p>
        </w:tc>
        <w:tc>
          <w:tcPr>
            <w:tcW w:w="2136" w:type="pct"/>
            <w:shd w:val="clear" w:color="auto" w:fill="auto"/>
          </w:tcPr>
          <w:p w14:paraId="7C0D9C26"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Suelo Urbano Consolidado</w:t>
            </w:r>
          </w:p>
        </w:tc>
        <w:tc>
          <w:tcPr>
            <w:tcW w:w="680" w:type="pct"/>
            <w:shd w:val="clear" w:color="auto" w:fill="auto"/>
          </w:tcPr>
          <w:p w14:paraId="312C56D1"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CO</w:t>
            </w:r>
          </w:p>
        </w:tc>
      </w:tr>
      <w:tr w:rsidR="00DC27E8" w:rsidRPr="00B24A80" w14:paraId="401C3535" w14:textId="77777777" w:rsidTr="0080438B">
        <w:trPr>
          <w:trHeight w:val="20"/>
        </w:trPr>
        <w:tc>
          <w:tcPr>
            <w:tcW w:w="2184" w:type="pct"/>
            <w:vMerge/>
            <w:shd w:val="clear" w:color="auto" w:fill="auto"/>
          </w:tcPr>
          <w:p w14:paraId="062B00D1"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ACAF811"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Suelo Urbano No Consolidado</w:t>
            </w:r>
          </w:p>
        </w:tc>
        <w:tc>
          <w:tcPr>
            <w:tcW w:w="680" w:type="pct"/>
            <w:shd w:val="clear" w:color="auto" w:fill="auto"/>
          </w:tcPr>
          <w:p w14:paraId="179B691D"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NC</w:t>
            </w:r>
          </w:p>
        </w:tc>
      </w:tr>
      <w:tr w:rsidR="00DC27E8" w:rsidRPr="00B24A80" w14:paraId="2C1FA3D0" w14:textId="77777777" w:rsidTr="0080438B">
        <w:trPr>
          <w:trHeight w:val="20"/>
        </w:trPr>
        <w:tc>
          <w:tcPr>
            <w:tcW w:w="2184" w:type="pct"/>
            <w:vMerge/>
            <w:shd w:val="clear" w:color="auto" w:fill="auto"/>
          </w:tcPr>
          <w:p w14:paraId="15320A86"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BCA691B"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Suelo Urbano de Protección</w:t>
            </w:r>
          </w:p>
        </w:tc>
        <w:tc>
          <w:tcPr>
            <w:tcW w:w="680" w:type="pct"/>
            <w:shd w:val="clear" w:color="auto" w:fill="auto"/>
          </w:tcPr>
          <w:p w14:paraId="5F2F1403"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PR</w:t>
            </w:r>
          </w:p>
        </w:tc>
      </w:tr>
      <w:tr w:rsidR="00DC27E8" w:rsidRPr="00B24A80" w14:paraId="447D63FD" w14:textId="77777777" w:rsidTr="0080438B">
        <w:trPr>
          <w:trHeight w:val="20"/>
        </w:trPr>
        <w:tc>
          <w:tcPr>
            <w:tcW w:w="2184" w:type="pct"/>
            <w:vMerge w:val="restart"/>
            <w:shd w:val="clear" w:color="auto" w:fill="auto"/>
          </w:tcPr>
          <w:p w14:paraId="54DC2B8B" w14:textId="36C6ACBB" w:rsidR="00DC27E8" w:rsidRPr="00B24A80" w:rsidRDefault="00DC3609"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ZONA</w:t>
            </w:r>
          </w:p>
        </w:tc>
        <w:tc>
          <w:tcPr>
            <w:tcW w:w="2136" w:type="pct"/>
            <w:shd w:val="clear" w:color="auto" w:fill="auto"/>
          </w:tcPr>
          <w:p w14:paraId="1D7F4A31"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Polígono 01</w:t>
            </w:r>
          </w:p>
        </w:tc>
        <w:tc>
          <w:tcPr>
            <w:tcW w:w="680" w:type="pct"/>
            <w:shd w:val="clear" w:color="auto" w:fill="auto"/>
          </w:tcPr>
          <w:p w14:paraId="374DF359"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01</w:t>
            </w:r>
          </w:p>
        </w:tc>
      </w:tr>
      <w:tr w:rsidR="00DC27E8" w:rsidRPr="00B24A80" w14:paraId="005DEF29" w14:textId="77777777" w:rsidTr="0080438B">
        <w:trPr>
          <w:trHeight w:val="20"/>
        </w:trPr>
        <w:tc>
          <w:tcPr>
            <w:tcW w:w="2184" w:type="pct"/>
            <w:vMerge/>
            <w:shd w:val="clear" w:color="auto" w:fill="auto"/>
          </w:tcPr>
          <w:p w14:paraId="1971C5C4"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CBCB669"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Polígono 02</w:t>
            </w:r>
          </w:p>
        </w:tc>
        <w:tc>
          <w:tcPr>
            <w:tcW w:w="680" w:type="pct"/>
            <w:shd w:val="clear" w:color="auto" w:fill="auto"/>
          </w:tcPr>
          <w:p w14:paraId="2EAEBB8D"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02</w:t>
            </w:r>
          </w:p>
        </w:tc>
      </w:tr>
      <w:tr w:rsidR="00DC27E8" w:rsidRPr="00B24A80" w14:paraId="450DF205" w14:textId="77777777" w:rsidTr="0080438B">
        <w:trPr>
          <w:trHeight w:val="20"/>
        </w:trPr>
        <w:tc>
          <w:tcPr>
            <w:tcW w:w="2184" w:type="pct"/>
            <w:vMerge/>
            <w:shd w:val="clear" w:color="auto" w:fill="auto"/>
          </w:tcPr>
          <w:p w14:paraId="2EACB0B1"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2034401"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Polígono 03….(n)</w:t>
            </w:r>
          </w:p>
        </w:tc>
        <w:tc>
          <w:tcPr>
            <w:tcW w:w="680" w:type="pct"/>
            <w:shd w:val="clear" w:color="auto" w:fill="auto"/>
          </w:tcPr>
          <w:p w14:paraId="4254AA16"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03….(n)</w:t>
            </w:r>
          </w:p>
        </w:tc>
      </w:tr>
      <w:tr w:rsidR="00DC27E8" w:rsidRPr="00B24A80" w14:paraId="7B87B0C6" w14:textId="77777777" w:rsidTr="0080438B">
        <w:trPr>
          <w:trHeight w:val="20"/>
        </w:trPr>
        <w:tc>
          <w:tcPr>
            <w:tcW w:w="2184" w:type="pct"/>
            <w:vMerge w:val="restart"/>
            <w:shd w:val="clear" w:color="auto" w:fill="auto"/>
          </w:tcPr>
          <w:p w14:paraId="430A9676"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TRATAMIENTOS</w:t>
            </w:r>
          </w:p>
        </w:tc>
        <w:tc>
          <w:tcPr>
            <w:tcW w:w="2136" w:type="pct"/>
            <w:shd w:val="clear" w:color="auto" w:fill="auto"/>
          </w:tcPr>
          <w:p w14:paraId="083B153F"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Conservación</w:t>
            </w:r>
          </w:p>
        </w:tc>
        <w:tc>
          <w:tcPr>
            <w:tcW w:w="680" w:type="pct"/>
            <w:shd w:val="clear" w:color="auto" w:fill="auto"/>
          </w:tcPr>
          <w:p w14:paraId="5DAAC656"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CO</w:t>
            </w:r>
          </w:p>
        </w:tc>
      </w:tr>
      <w:tr w:rsidR="00DC27E8" w:rsidRPr="00B24A80" w14:paraId="495931AB" w14:textId="77777777" w:rsidTr="0080438B">
        <w:trPr>
          <w:trHeight w:val="20"/>
        </w:trPr>
        <w:tc>
          <w:tcPr>
            <w:tcW w:w="2184" w:type="pct"/>
            <w:vMerge/>
            <w:shd w:val="clear" w:color="auto" w:fill="auto"/>
          </w:tcPr>
          <w:p w14:paraId="1F958C79"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473AD134"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Renovación</w:t>
            </w:r>
          </w:p>
        </w:tc>
        <w:tc>
          <w:tcPr>
            <w:tcW w:w="680" w:type="pct"/>
            <w:shd w:val="clear" w:color="auto" w:fill="auto"/>
          </w:tcPr>
          <w:p w14:paraId="36788A2A"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RN</w:t>
            </w:r>
          </w:p>
        </w:tc>
      </w:tr>
      <w:tr w:rsidR="00DC27E8" w:rsidRPr="00B24A80" w14:paraId="4DC4AD72" w14:textId="77777777" w:rsidTr="0080438B">
        <w:trPr>
          <w:trHeight w:val="20"/>
        </w:trPr>
        <w:tc>
          <w:tcPr>
            <w:tcW w:w="2184" w:type="pct"/>
            <w:vMerge/>
            <w:shd w:val="clear" w:color="auto" w:fill="auto"/>
          </w:tcPr>
          <w:p w14:paraId="7DD340BD"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2C6787C6"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Sostenimiento</w:t>
            </w:r>
          </w:p>
        </w:tc>
        <w:tc>
          <w:tcPr>
            <w:tcW w:w="680" w:type="pct"/>
            <w:shd w:val="clear" w:color="auto" w:fill="auto"/>
          </w:tcPr>
          <w:p w14:paraId="1AD08D2D"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SO</w:t>
            </w:r>
          </w:p>
        </w:tc>
      </w:tr>
      <w:tr w:rsidR="00DC27E8" w:rsidRPr="00B24A80" w14:paraId="327C1BE0" w14:textId="77777777" w:rsidTr="0080438B">
        <w:trPr>
          <w:trHeight w:val="20"/>
        </w:trPr>
        <w:tc>
          <w:tcPr>
            <w:tcW w:w="2184" w:type="pct"/>
            <w:vMerge/>
            <w:shd w:val="clear" w:color="auto" w:fill="auto"/>
          </w:tcPr>
          <w:p w14:paraId="0D3ECDCD"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D69EDB7"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Mejoramiento Integral</w:t>
            </w:r>
          </w:p>
        </w:tc>
        <w:tc>
          <w:tcPr>
            <w:tcW w:w="680" w:type="pct"/>
            <w:shd w:val="clear" w:color="auto" w:fill="auto"/>
          </w:tcPr>
          <w:p w14:paraId="23D160D2"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MI</w:t>
            </w:r>
          </w:p>
        </w:tc>
      </w:tr>
      <w:tr w:rsidR="00DC27E8" w:rsidRPr="00B24A80" w14:paraId="0BEAA60D" w14:textId="77777777" w:rsidTr="0080438B">
        <w:trPr>
          <w:trHeight w:val="20"/>
        </w:trPr>
        <w:tc>
          <w:tcPr>
            <w:tcW w:w="2184" w:type="pct"/>
            <w:vMerge/>
            <w:shd w:val="clear" w:color="auto" w:fill="auto"/>
          </w:tcPr>
          <w:p w14:paraId="5E463412"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46486C42"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 xml:space="preserve">Consolidación </w:t>
            </w:r>
          </w:p>
        </w:tc>
        <w:tc>
          <w:tcPr>
            <w:tcW w:w="680" w:type="pct"/>
            <w:shd w:val="clear" w:color="auto" w:fill="auto"/>
          </w:tcPr>
          <w:p w14:paraId="636DF205"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CS</w:t>
            </w:r>
          </w:p>
        </w:tc>
      </w:tr>
      <w:tr w:rsidR="00DC27E8" w:rsidRPr="00B24A80" w14:paraId="2124893A" w14:textId="77777777" w:rsidTr="0080438B">
        <w:trPr>
          <w:trHeight w:val="20"/>
        </w:trPr>
        <w:tc>
          <w:tcPr>
            <w:tcW w:w="2184" w:type="pct"/>
            <w:vMerge/>
            <w:shd w:val="clear" w:color="auto" w:fill="auto"/>
          </w:tcPr>
          <w:p w14:paraId="43F0FA58"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0EC0CF99"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Desarrollo</w:t>
            </w:r>
          </w:p>
        </w:tc>
        <w:tc>
          <w:tcPr>
            <w:tcW w:w="680" w:type="pct"/>
            <w:shd w:val="clear" w:color="auto" w:fill="auto"/>
          </w:tcPr>
          <w:p w14:paraId="15E8DAF4"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DE</w:t>
            </w:r>
          </w:p>
        </w:tc>
      </w:tr>
      <w:tr w:rsidR="00DC27E8" w:rsidRPr="00B24A80" w14:paraId="17955649" w14:textId="77777777" w:rsidTr="0080438B">
        <w:trPr>
          <w:trHeight w:val="20"/>
        </w:trPr>
        <w:tc>
          <w:tcPr>
            <w:tcW w:w="2184" w:type="pct"/>
            <w:vMerge/>
            <w:shd w:val="clear" w:color="auto" w:fill="auto"/>
          </w:tcPr>
          <w:p w14:paraId="11B12D98"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552EEA8C"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Recuperación</w:t>
            </w:r>
          </w:p>
        </w:tc>
        <w:tc>
          <w:tcPr>
            <w:tcW w:w="680" w:type="pct"/>
            <w:shd w:val="clear" w:color="auto" w:fill="auto"/>
          </w:tcPr>
          <w:p w14:paraId="03E8DDE5"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RE</w:t>
            </w:r>
          </w:p>
        </w:tc>
      </w:tr>
      <w:tr w:rsidR="00DC27E8" w:rsidRPr="00B24A80" w14:paraId="009943BE" w14:textId="77777777" w:rsidTr="0080438B">
        <w:trPr>
          <w:trHeight w:val="20"/>
        </w:trPr>
        <w:tc>
          <w:tcPr>
            <w:tcW w:w="2184" w:type="pct"/>
            <w:vMerge w:val="restart"/>
            <w:shd w:val="clear" w:color="auto" w:fill="auto"/>
          </w:tcPr>
          <w:p w14:paraId="571BFBEB"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USO DE SUELO</w:t>
            </w:r>
          </w:p>
        </w:tc>
        <w:tc>
          <w:tcPr>
            <w:tcW w:w="2136" w:type="pct"/>
            <w:shd w:val="clear" w:color="auto" w:fill="auto"/>
          </w:tcPr>
          <w:p w14:paraId="679C588F"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Residencial</w:t>
            </w:r>
          </w:p>
        </w:tc>
        <w:tc>
          <w:tcPr>
            <w:tcW w:w="680" w:type="pct"/>
            <w:shd w:val="clear" w:color="auto" w:fill="auto"/>
          </w:tcPr>
          <w:p w14:paraId="73FE5F41"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RES</w:t>
            </w:r>
          </w:p>
        </w:tc>
      </w:tr>
      <w:tr w:rsidR="00DC27E8" w:rsidRPr="00B24A80" w14:paraId="6BF8FC45" w14:textId="77777777" w:rsidTr="0080438B">
        <w:trPr>
          <w:trHeight w:val="20"/>
        </w:trPr>
        <w:tc>
          <w:tcPr>
            <w:tcW w:w="2184" w:type="pct"/>
            <w:vMerge/>
            <w:shd w:val="clear" w:color="auto" w:fill="auto"/>
          </w:tcPr>
          <w:p w14:paraId="12C87EB5"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0B19F73"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Comercio y Servicios</w:t>
            </w:r>
          </w:p>
        </w:tc>
        <w:tc>
          <w:tcPr>
            <w:tcW w:w="680" w:type="pct"/>
            <w:shd w:val="clear" w:color="auto" w:fill="auto"/>
          </w:tcPr>
          <w:p w14:paraId="293EDEE0"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CIS</w:t>
            </w:r>
          </w:p>
        </w:tc>
      </w:tr>
      <w:tr w:rsidR="00DC27E8" w:rsidRPr="00B24A80" w14:paraId="4FC6F8CE" w14:textId="77777777" w:rsidTr="0080438B">
        <w:trPr>
          <w:trHeight w:val="20"/>
        </w:trPr>
        <w:tc>
          <w:tcPr>
            <w:tcW w:w="2184" w:type="pct"/>
            <w:vMerge/>
            <w:shd w:val="clear" w:color="auto" w:fill="auto"/>
          </w:tcPr>
          <w:p w14:paraId="49F2D0CC"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03410FBC"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Múltiple</w:t>
            </w:r>
          </w:p>
        </w:tc>
        <w:tc>
          <w:tcPr>
            <w:tcW w:w="680" w:type="pct"/>
            <w:shd w:val="clear" w:color="auto" w:fill="auto"/>
          </w:tcPr>
          <w:p w14:paraId="720548CE"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MUL</w:t>
            </w:r>
          </w:p>
        </w:tc>
      </w:tr>
      <w:tr w:rsidR="00DC27E8" w:rsidRPr="00B24A80" w14:paraId="350A6A01" w14:textId="77777777" w:rsidTr="0080438B">
        <w:trPr>
          <w:trHeight w:val="20"/>
        </w:trPr>
        <w:tc>
          <w:tcPr>
            <w:tcW w:w="2184" w:type="pct"/>
            <w:vMerge/>
            <w:shd w:val="clear" w:color="auto" w:fill="auto"/>
          </w:tcPr>
          <w:p w14:paraId="1F43CBE2"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06F156CD"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Industrial</w:t>
            </w:r>
          </w:p>
        </w:tc>
        <w:tc>
          <w:tcPr>
            <w:tcW w:w="680" w:type="pct"/>
            <w:shd w:val="clear" w:color="auto" w:fill="auto"/>
          </w:tcPr>
          <w:p w14:paraId="739BA4B3"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IND</w:t>
            </w:r>
          </w:p>
        </w:tc>
      </w:tr>
      <w:tr w:rsidR="00DC27E8" w:rsidRPr="00B24A80" w14:paraId="1F803343" w14:textId="77777777" w:rsidTr="0080438B">
        <w:trPr>
          <w:trHeight w:val="20"/>
        </w:trPr>
        <w:tc>
          <w:tcPr>
            <w:tcW w:w="2184" w:type="pct"/>
            <w:vMerge/>
            <w:shd w:val="clear" w:color="auto" w:fill="auto"/>
          </w:tcPr>
          <w:p w14:paraId="6B916F51"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45687727"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Equipamientos</w:t>
            </w:r>
          </w:p>
        </w:tc>
        <w:tc>
          <w:tcPr>
            <w:tcW w:w="680" w:type="pct"/>
            <w:shd w:val="clear" w:color="auto" w:fill="auto"/>
          </w:tcPr>
          <w:p w14:paraId="53AFEF67"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EQ</w:t>
            </w:r>
          </w:p>
        </w:tc>
      </w:tr>
      <w:tr w:rsidR="00DC27E8" w:rsidRPr="00B24A80" w14:paraId="2F6C34DD" w14:textId="77777777" w:rsidTr="0080438B">
        <w:trPr>
          <w:trHeight w:val="20"/>
        </w:trPr>
        <w:tc>
          <w:tcPr>
            <w:tcW w:w="2184" w:type="pct"/>
            <w:vMerge/>
            <w:shd w:val="clear" w:color="auto" w:fill="auto"/>
          </w:tcPr>
          <w:p w14:paraId="143B59F3"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43F67321"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Gestión</w:t>
            </w:r>
          </w:p>
        </w:tc>
        <w:tc>
          <w:tcPr>
            <w:tcW w:w="680" w:type="pct"/>
            <w:shd w:val="clear" w:color="auto" w:fill="auto"/>
          </w:tcPr>
          <w:p w14:paraId="60AB8723"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GES</w:t>
            </w:r>
          </w:p>
        </w:tc>
      </w:tr>
      <w:tr w:rsidR="00DC27E8" w:rsidRPr="00B24A80" w14:paraId="5DCDCDDD" w14:textId="77777777" w:rsidTr="0080438B">
        <w:trPr>
          <w:trHeight w:val="20"/>
        </w:trPr>
        <w:tc>
          <w:tcPr>
            <w:tcW w:w="2184" w:type="pct"/>
            <w:vMerge/>
            <w:shd w:val="clear" w:color="auto" w:fill="auto"/>
          </w:tcPr>
          <w:p w14:paraId="6534D262"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677DA1C"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Protección Medio Ambiente</w:t>
            </w:r>
          </w:p>
        </w:tc>
        <w:tc>
          <w:tcPr>
            <w:tcW w:w="680" w:type="pct"/>
            <w:shd w:val="clear" w:color="auto" w:fill="auto"/>
          </w:tcPr>
          <w:p w14:paraId="2EF73C37"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ZPA</w:t>
            </w:r>
          </w:p>
        </w:tc>
      </w:tr>
      <w:tr w:rsidR="00DC27E8" w:rsidRPr="00B24A80" w14:paraId="093E4C08" w14:textId="77777777" w:rsidTr="0080438B">
        <w:trPr>
          <w:trHeight w:val="20"/>
        </w:trPr>
        <w:tc>
          <w:tcPr>
            <w:tcW w:w="2184" w:type="pct"/>
            <w:vMerge/>
            <w:shd w:val="clear" w:color="auto" w:fill="auto"/>
          </w:tcPr>
          <w:p w14:paraId="3B5F86DB"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5AC544CB"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Protección del Patrimonio</w:t>
            </w:r>
          </w:p>
        </w:tc>
        <w:tc>
          <w:tcPr>
            <w:tcW w:w="680" w:type="pct"/>
            <w:shd w:val="clear" w:color="auto" w:fill="auto"/>
          </w:tcPr>
          <w:p w14:paraId="5CECF34A"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ZPP</w:t>
            </w:r>
          </w:p>
        </w:tc>
      </w:tr>
      <w:tr w:rsidR="007658BC" w:rsidRPr="00B24A80" w14:paraId="1CC4AC9D" w14:textId="77777777" w:rsidTr="0080438B">
        <w:trPr>
          <w:trHeight w:val="20"/>
        </w:trPr>
        <w:tc>
          <w:tcPr>
            <w:tcW w:w="2184" w:type="pct"/>
            <w:vMerge w:val="restart"/>
            <w:shd w:val="clear" w:color="auto" w:fill="auto"/>
          </w:tcPr>
          <w:p w14:paraId="393F85F4" w14:textId="515E8C91" w:rsidR="007658BC" w:rsidRPr="00B24A80" w:rsidRDefault="007658BC"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FORMA DE OCUPACION</w:t>
            </w:r>
          </w:p>
        </w:tc>
        <w:tc>
          <w:tcPr>
            <w:tcW w:w="2136" w:type="pct"/>
            <w:shd w:val="clear" w:color="auto" w:fill="auto"/>
          </w:tcPr>
          <w:p w14:paraId="5502A620" w14:textId="3F277793" w:rsidR="007658BC" w:rsidRPr="00B24A80" w:rsidRDefault="007658BC"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Aislada</w:t>
            </w:r>
          </w:p>
        </w:tc>
        <w:tc>
          <w:tcPr>
            <w:tcW w:w="680" w:type="pct"/>
            <w:shd w:val="clear" w:color="auto" w:fill="auto"/>
          </w:tcPr>
          <w:p w14:paraId="61ABF436" w14:textId="01BB6DFE" w:rsidR="007658BC" w:rsidRPr="00B24A80" w:rsidRDefault="007658BC"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AI</w:t>
            </w:r>
          </w:p>
        </w:tc>
      </w:tr>
      <w:tr w:rsidR="007658BC" w:rsidRPr="00B24A80" w14:paraId="568A94DE" w14:textId="77777777" w:rsidTr="0080438B">
        <w:trPr>
          <w:trHeight w:val="20"/>
        </w:trPr>
        <w:tc>
          <w:tcPr>
            <w:tcW w:w="2184" w:type="pct"/>
            <w:vMerge/>
            <w:shd w:val="clear" w:color="auto" w:fill="auto"/>
          </w:tcPr>
          <w:p w14:paraId="1B3A4FDC" w14:textId="77777777" w:rsidR="007658BC" w:rsidRPr="00B24A80" w:rsidRDefault="007658BC" w:rsidP="0080438B">
            <w:pPr>
              <w:spacing w:after="0" w:line="276" w:lineRule="auto"/>
              <w:rPr>
                <w:rFonts w:asciiTheme="majorHAnsi" w:eastAsia="Calibri" w:hAnsiTheme="majorHAnsi" w:cstheme="majorHAnsi"/>
              </w:rPr>
            </w:pPr>
          </w:p>
        </w:tc>
        <w:tc>
          <w:tcPr>
            <w:tcW w:w="2136" w:type="pct"/>
            <w:shd w:val="clear" w:color="auto" w:fill="auto"/>
          </w:tcPr>
          <w:p w14:paraId="271663F2" w14:textId="6E3E86A3" w:rsidR="007658BC" w:rsidRPr="00B24A80" w:rsidRDefault="007658BC"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Adosada</w:t>
            </w:r>
          </w:p>
        </w:tc>
        <w:tc>
          <w:tcPr>
            <w:tcW w:w="680" w:type="pct"/>
            <w:shd w:val="clear" w:color="auto" w:fill="auto"/>
          </w:tcPr>
          <w:p w14:paraId="2104F729" w14:textId="12CF5334" w:rsidR="007658BC" w:rsidRPr="00B24A80" w:rsidRDefault="007658BC"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AD</w:t>
            </w:r>
          </w:p>
        </w:tc>
      </w:tr>
      <w:tr w:rsidR="007658BC" w:rsidRPr="00B24A80" w14:paraId="63B2B8CA" w14:textId="77777777" w:rsidTr="0080438B">
        <w:trPr>
          <w:trHeight w:val="20"/>
        </w:trPr>
        <w:tc>
          <w:tcPr>
            <w:tcW w:w="2184" w:type="pct"/>
            <w:vMerge/>
            <w:shd w:val="clear" w:color="auto" w:fill="auto"/>
          </w:tcPr>
          <w:p w14:paraId="4D7B9F2A" w14:textId="77777777" w:rsidR="007658BC" w:rsidRPr="00B24A80" w:rsidRDefault="007658BC" w:rsidP="0080438B">
            <w:pPr>
              <w:spacing w:after="0" w:line="276" w:lineRule="auto"/>
              <w:rPr>
                <w:rFonts w:asciiTheme="majorHAnsi" w:eastAsia="Calibri" w:hAnsiTheme="majorHAnsi" w:cstheme="majorHAnsi"/>
              </w:rPr>
            </w:pPr>
          </w:p>
        </w:tc>
        <w:tc>
          <w:tcPr>
            <w:tcW w:w="2136" w:type="pct"/>
            <w:shd w:val="clear" w:color="auto" w:fill="auto"/>
          </w:tcPr>
          <w:p w14:paraId="1A95F909" w14:textId="4296982B" w:rsidR="007658BC" w:rsidRPr="00B24A80" w:rsidRDefault="007658BC"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Continua</w:t>
            </w:r>
          </w:p>
        </w:tc>
        <w:tc>
          <w:tcPr>
            <w:tcW w:w="680" w:type="pct"/>
            <w:shd w:val="clear" w:color="auto" w:fill="auto"/>
          </w:tcPr>
          <w:p w14:paraId="067F7B88" w14:textId="424C4AE9" w:rsidR="007658BC" w:rsidRPr="00B24A80" w:rsidRDefault="007658BC"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CO</w:t>
            </w:r>
          </w:p>
        </w:tc>
      </w:tr>
      <w:tr w:rsidR="007658BC" w:rsidRPr="00B24A80" w14:paraId="2FB13774" w14:textId="77777777" w:rsidTr="0080438B">
        <w:trPr>
          <w:trHeight w:val="20"/>
        </w:trPr>
        <w:tc>
          <w:tcPr>
            <w:tcW w:w="2184" w:type="pct"/>
            <w:vMerge/>
            <w:shd w:val="clear" w:color="auto" w:fill="auto"/>
          </w:tcPr>
          <w:p w14:paraId="6F1EDF54" w14:textId="77777777" w:rsidR="007658BC" w:rsidRPr="00B24A80" w:rsidRDefault="007658BC" w:rsidP="0080438B">
            <w:pPr>
              <w:spacing w:after="0" w:line="276" w:lineRule="auto"/>
              <w:rPr>
                <w:rFonts w:asciiTheme="majorHAnsi" w:eastAsia="Calibri" w:hAnsiTheme="majorHAnsi" w:cstheme="majorHAnsi"/>
              </w:rPr>
            </w:pPr>
          </w:p>
        </w:tc>
        <w:tc>
          <w:tcPr>
            <w:tcW w:w="2136" w:type="pct"/>
            <w:shd w:val="clear" w:color="auto" w:fill="auto"/>
          </w:tcPr>
          <w:p w14:paraId="0E6A82F1" w14:textId="246E5EF3" w:rsidR="007658BC" w:rsidRPr="00B24A80" w:rsidRDefault="007658BC"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Ninguna permitida</w:t>
            </w:r>
          </w:p>
        </w:tc>
        <w:tc>
          <w:tcPr>
            <w:tcW w:w="680" w:type="pct"/>
            <w:shd w:val="clear" w:color="auto" w:fill="auto"/>
          </w:tcPr>
          <w:p w14:paraId="272E20E8" w14:textId="03E2A0DE" w:rsidR="007658BC" w:rsidRPr="00B24A80" w:rsidRDefault="007658BC"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N</w:t>
            </w:r>
          </w:p>
        </w:tc>
      </w:tr>
      <w:tr w:rsidR="00DC27E8" w:rsidRPr="00B24A80" w14:paraId="646F38CE" w14:textId="77777777" w:rsidTr="0080438B">
        <w:trPr>
          <w:trHeight w:val="20"/>
        </w:trPr>
        <w:tc>
          <w:tcPr>
            <w:tcW w:w="2184" w:type="pct"/>
            <w:vMerge w:val="restart"/>
            <w:shd w:val="clear" w:color="auto" w:fill="auto"/>
          </w:tcPr>
          <w:p w14:paraId="35F782D5"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DENSIDAD (HAB/ha)</w:t>
            </w:r>
          </w:p>
        </w:tc>
        <w:tc>
          <w:tcPr>
            <w:tcW w:w="2136" w:type="pct"/>
            <w:shd w:val="clear" w:color="auto" w:fill="auto"/>
          </w:tcPr>
          <w:p w14:paraId="7362FA7F"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 xml:space="preserve">0 – 50 </w:t>
            </w:r>
          </w:p>
        </w:tc>
        <w:tc>
          <w:tcPr>
            <w:tcW w:w="680" w:type="pct"/>
            <w:shd w:val="clear" w:color="auto" w:fill="auto"/>
          </w:tcPr>
          <w:p w14:paraId="3730C12A"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Z</w:t>
            </w:r>
          </w:p>
        </w:tc>
      </w:tr>
      <w:tr w:rsidR="00DC27E8" w:rsidRPr="00B24A80" w14:paraId="5479025A" w14:textId="77777777" w:rsidTr="0080438B">
        <w:trPr>
          <w:trHeight w:val="20"/>
        </w:trPr>
        <w:tc>
          <w:tcPr>
            <w:tcW w:w="2184" w:type="pct"/>
            <w:vMerge/>
            <w:shd w:val="clear" w:color="auto" w:fill="auto"/>
          </w:tcPr>
          <w:p w14:paraId="19E31ACB"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38879D10"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50 - 150</w:t>
            </w:r>
          </w:p>
        </w:tc>
        <w:tc>
          <w:tcPr>
            <w:tcW w:w="680" w:type="pct"/>
            <w:shd w:val="clear" w:color="auto" w:fill="auto"/>
          </w:tcPr>
          <w:p w14:paraId="45A134F2"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A</w:t>
            </w:r>
          </w:p>
        </w:tc>
      </w:tr>
      <w:tr w:rsidR="00DC27E8" w:rsidRPr="00B24A80" w14:paraId="2C7A1F38" w14:textId="77777777" w:rsidTr="0080438B">
        <w:trPr>
          <w:trHeight w:val="20"/>
        </w:trPr>
        <w:tc>
          <w:tcPr>
            <w:tcW w:w="2184" w:type="pct"/>
            <w:vMerge/>
            <w:shd w:val="clear" w:color="auto" w:fill="auto"/>
          </w:tcPr>
          <w:p w14:paraId="415C19C0"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0554B98A"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150 - 200</w:t>
            </w:r>
          </w:p>
        </w:tc>
        <w:tc>
          <w:tcPr>
            <w:tcW w:w="680" w:type="pct"/>
            <w:shd w:val="clear" w:color="auto" w:fill="auto"/>
          </w:tcPr>
          <w:p w14:paraId="1E5E8DFF"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B</w:t>
            </w:r>
          </w:p>
        </w:tc>
      </w:tr>
      <w:tr w:rsidR="00DC27E8" w:rsidRPr="00B24A80" w14:paraId="659FE52F" w14:textId="77777777" w:rsidTr="0080438B">
        <w:trPr>
          <w:trHeight w:val="20"/>
        </w:trPr>
        <w:tc>
          <w:tcPr>
            <w:tcW w:w="2184" w:type="pct"/>
            <w:vMerge/>
            <w:shd w:val="clear" w:color="auto" w:fill="auto"/>
          </w:tcPr>
          <w:p w14:paraId="640C67EE"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4AFC0554"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200 - 250</w:t>
            </w:r>
          </w:p>
        </w:tc>
        <w:tc>
          <w:tcPr>
            <w:tcW w:w="680" w:type="pct"/>
            <w:shd w:val="clear" w:color="auto" w:fill="auto"/>
          </w:tcPr>
          <w:p w14:paraId="4165489F"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C</w:t>
            </w:r>
          </w:p>
        </w:tc>
      </w:tr>
      <w:tr w:rsidR="00DC27E8" w:rsidRPr="00B24A80" w14:paraId="39B1A42D" w14:textId="77777777" w:rsidTr="0080438B">
        <w:trPr>
          <w:trHeight w:val="20"/>
        </w:trPr>
        <w:tc>
          <w:tcPr>
            <w:tcW w:w="2184" w:type="pct"/>
            <w:vMerge/>
            <w:shd w:val="clear" w:color="auto" w:fill="auto"/>
          </w:tcPr>
          <w:p w14:paraId="42282BB8" w14:textId="77777777" w:rsidR="00DC27E8" w:rsidRPr="00B24A80" w:rsidRDefault="00DC27E8" w:rsidP="0080438B">
            <w:pPr>
              <w:widowControl w:val="0"/>
              <w:pBdr>
                <w:top w:val="nil"/>
                <w:left w:val="nil"/>
                <w:bottom w:val="nil"/>
                <w:right w:val="nil"/>
                <w:between w:val="nil"/>
              </w:pBdr>
              <w:spacing w:after="0" w:line="276" w:lineRule="auto"/>
              <w:rPr>
                <w:rFonts w:asciiTheme="majorHAnsi" w:eastAsia="Calibri" w:hAnsiTheme="majorHAnsi" w:cstheme="majorHAnsi"/>
                <w:b/>
              </w:rPr>
            </w:pPr>
          </w:p>
        </w:tc>
        <w:tc>
          <w:tcPr>
            <w:tcW w:w="2136" w:type="pct"/>
            <w:shd w:val="clear" w:color="auto" w:fill="auto"/>
          </w:tcPr>
          <w:p w14:paraId="1A21FE0C" w14:textId="77777777" w:rsidR="00DC27E8" w:rsidRPr="00B24A80" w:rsidRDefault="007F5505" w:rsidP="0080438B">
            <w:pPr>
              <w:spacing w:after="0" w:line="276" w:lineRule="auto"/>
              <w:rPr>
                <w:rFonts w:asciiTheme="majorHAnsi" w:eastAsia="Calibri" w:hAnsiTheme="majorHAnsi" w:cstheme="majorHAnsi"/>
              </w:rPr>
            </w:pPr>
            <w:r w:rsidRPr="00B24A80">
              <w:rPr>
                <w:rFonts w:asciiTheme="majorHAnsi" w:eastAsia="Calibri" w:hAnsiTheme="majorHAnsi" w:cstheme="majorHAnsi"/>
              </w:rPr>
              <w:t>&gt;  250</w:t>
            </w:r>
          </w:p>
        </w:tc>
        <w:tc>
          <w:tcPr>
            <w:tcW w:w="680" w:type="pct"/>
            <w:shd w:val="clear" w:color="auto" w:fill="auto"/>
          </w:tcPr>
          <w:p w14:paraId="251BE1C9" w14:textId="77777777" w:rsidR="00DC27E8" w:rsidRPr="00B24A80" w:rsidRDefault="007F5505" w:rsidP="0080438B">
            <w:pPr>
              <w:spacing w:after="0" w:line="276" w:lineRule="auto"/>
              <w:rPr>
                <w:rFonts w:asciiTheme="majorHAnsi" w:eastAsia="Calibri" w:hAnsiTheme="majorHAnsi" w:cstheme="majorHAnsi"/>
                <w:b/>
              </w:rPr>
            </w:pPr>
            <w:r w:rsidRPr="00B24A80">
              <w:rPr>
                <w:rFonts w:asciiTheme="majorHAnsi" w:eastAsia="Calibri" w:hAnsiTheme="majorHAnsi" w:cstheme="majorHAnsi"/>
                <w:b/>
              </w:rPr>
              <w:t>D</w:t>
            </w:r>
          </w:p>
        </w:tc>
      </w:tr>
    </w:tbl>
    <w:p w14:paraId="6EF4291D" w14:textId="77777777" w:rsidR="00DC27E8" w:rsidRPr="00B24A80" w:rsidRDefault="007F5505">
      <w:pPr>
        <w:tabs>
          <w:tab w:val="left" w:pos="3052"/>
        </w:tabs>
        <w:spacing w:line="276" w:lineRule="auto"/>
        <w:rPr>
          <w:rFonts w:asciiTheme="majorHAnsi" w:eastAsia="Calibri" w:hAnsiTheme="majorHAnsi" w:cstheme="majorHAnsi"/>
          <w:i/>
          <w:sz w:val="22"/>
          <w:szCs w:val="22"/>
        </w:rPr>
      </w:pPr>
      <w:r w:rsidRPr="00B24A80">
        <w:rPr>
          <w:rFonts w:asciiTheme="majorHAnsi" w:eastAsia="Calibri" w:hAnsiTheme="majorHAnsi" w:cstheme="majorHAnsi"/>
          <w:b/>
          <w:i/>
          <w:sz w:val="22"/>
          <w:szCs w:val="22"/>
        </w:rPr>
        <w:t>Fuente y Elaboración:</w:t>
      </w:r>
      <w:r w:rsidRPr="00B24A80">
        <w:rPr>
          <w:rFonts w:asciiTheme="majorHAnsi" w:eastAsia="Calibri" w:hAnsiTheme="majorHAnsi" w:cstheme="majorHAnsi"/>
          <w:i/>
          <w:sz w:val="22"/>
          <w:szCs w:val="22"/>
        </w:rPr>
        <w:t xml:space="preserve"> Consultora TEAM SERCONSU S.A.</w:t>
      </w:r>
    </w:p>
    <w:p w14:paraId="27DA246A" w14:textId="63F23CFA"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Por lo tanto, el código de cada polígono de actuación estará conformado </w:t>
      </w:r>
      <w:r w:rsidR="00365928" w:rsidRPr="00B24A80">
        <w:rPr>
          <w:rFonts w:asciiTheme="majorHAnsi" w:eastAsia="Calibri" w:hAnsiTheme="majorHAnsi" w:cstheme="majorHAnsi"/>
          <w:sz w:val="22"/>
          <w:szCs w:val="22"/>
        </w:rPr>
        <w:t xml:space="preserve">hasta </w:t>
      </w:r>
      <w:r w:rsidRPr="00B24A80">
        <w:rPr>
          <w:rFonts w:asciiTheme="majorHAnsi" w:eastAsia="Calibri" w:hAnsiTheme="majorHAnsi" w:cstheme="majorHAnsi"/>
          <w:sz w:val="22"/>
          <w:szCs w:val="22"/>
        </w:rPr>
        <w:t>por</w:t>
      </w:r>
      <w:r w:rsidR="00365928" w:rsidRPr="00B24A80">
        <w:rPr>
          <w:rFonts w:asciiTheme="majorHAnsi" w:eastAsia="Calibri" w:hAnsiTheme="majorHAnsi" w:cstheme="majorHAnsi"/>
          <w:sz w:val="22"/>
          <w:szCs w:val="22"/>
        </w:rPr>
        <w:t xml:space="preserve"> once</w:t>
      </w:r>
      <w:r w:rsidRPr="00B24A80">
        <w:rPr>
          <w:rFonts w:asciiTheme="majorHAnsi" w:eastAsia="Calibri" w:hAnsiTheme="majorHAnsi" w:cstheme="majorHAnsi"/>
          <w:sz w:val="22"/>
          <w:szCs w:val="22"/>
        </w:rPr>
        <w:t xml:space="preserve"> dígitos, así:</w:t>
      </w:r>
    </w:p>
    <w:p w14:paraId="4C40FEF0" w14:textId="22E315BD" w:rsidR="00DC3609" w:rsidRPr="00B24A80" w:rsidRDefault="00DC3609" w:rsidP="00DC3609">
      <w:pPr>
        <w:pStyle w:val="NormalWeb"/>
        <w:jc w:val="center"/>
        <w:rPr>
          <w:sz w:val="22"/>
          <w:szCs w:val="22"/>
        </w:rPr>
      </w:pPr>
      <w:r w:rsidRPr="00B24A80">
        <w:rPr>
          <w:noProof/>
          <w:sz w:val="22"/>
          <w:szCs w:val="22"/>
          <w:lang w:val="es-EC" w:eastAsia="es-EC"/>
        </w:rPr>
        <w:drawing>
          <wp:inline distT="0" distB="0" distL="0" distR="0" wp14:anchorId="1599E709" wp14:editId="6F2B225C">
            <wp:extent cx="4303145" cy="2415496"/>
            <wp:effectExtent l="0" t="0" r="2540" b="4445"/>
            <wp:docPr id="8" name="Imagen 8" descr="C:\Users\Técnico Cospe\Downloads\Imagen de WhatsApp 2024-08-29 a las 00.27.01_0d7d0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écnico Cospe\Downloads\Imagen de WhatsApp 2024-08-29 a las 00.27.01_0d7d0de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2891" cy="2437806"/>
                    </a:xfrm>
                    <a:prstGeom prst="rect">
                      <a:avLst/>
                    </a:prstGeom>
                    <a:noFill/>
                    <a:ln>
                      <a:noFill/>
                    </a:ln>
                  </pic:spPr>
                </pic:pic>
              </a:graphicData>
            </a:graphic>
          </wp:inline>
        </w:drawing>
      </w:r>
    </w:p>
    <w:p w14:paraId="75AAB65F" w14:textId="14CE493B" w:rsidR="00A74B79" w:rsidRPr="00B24A80" w:rsidRDefault="00A74B79">
      <w:pPr>
        <w:spacing w:before="240" w:after="240" w:line="276" w:lineRule="auto"/>
        <w:rPr>
          <w:rFonts w:asciiTheme="majorHAnsi" w:eastAsia="Calibri" w:hAnsiTheme="majorHAnsi" w:cstheme="majorHAnsi"/>
          <w:sz w:val="22"/>
          <w:szCs w:val="22"/>
        </w:rPr>
      </w:pPr>
    </w:p>
    <w:p w14:paraId="76B3B91E" w14:textId="6DC1FE18"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 </w:t>
      </w:r>
    </w:p>
    <w:p w14:paraId="67D1A018" w14:textId="69AAFEFB" w:rsidR="00DC27E8" w:rsidRPr="00B24A80" w:rsidRDefault="007306B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El aprovechamiento urbanístico del</w:t>
      </w:r>
      <w:r w:rsidR="007F5505" w:rsidRPr="00B24A80">
        <w:rPr>
          <w:rFonts w:asciiTheme="majorHAnsi" w:eastAsia="Calibri" w:hAnsiTheme="majorHAnsi" w:cstheme="majorHAnsi"/>
          <w:sz w:val="22"/>
          <w:szCs w:val="22"/>
        </w:rPr>
        <w:t xml:space="preserve"> suelo determina las posibilidades de utilización del suelo en términos de clasificación, uso, ocupación y edificabilidad de acuerdo con los principios rectores de la LOOTUGS, una vez realizad</w:t>
      </w:r>
      <w:r w:rsidR="00C40A0B" w:rsidRPr="00B24A80">
        <w:rPr>
          <w:rFonts w:asciiTheme="majorHAnsi" w:eastAsia="Calibri" w:hAnsiTheme="majorHAnsi" w:cstheme="majorHAnsi"/>
          <w:sz w:val="22"/>
          <w:szCs w:val="22"/>
        </w:rPr>
        <w:t>a</w:t>
      </w:r>
      <w:r w:rsidR="007F5505" w:rsidRPr="00B24A80">
        <w:rPr>
          <w:rFonts w:asciiTheme="majorHAnsi" w:eastAsia="Calibri" w:hAnsiTheme="majorHAnsi" w:cstheme="majorHAnsi"/>
          <w:sz w:val="22"/>
          <w:szCs w:val="22"/>
        </w:rPr>
        <w:t xml:space="preserve"> la delimitación de los polígonos de Intervención territorial y definido el tratamiento urbanístico a aplica</w:t>
      </w:r>
      <w:r w:rsidR="006E675E" w:rsidRPr="006E675E">
        <w:rPr>
          <w:rFonts w:asciiTheme="majorHAnsi" w:eastAsia="Calibri" w:hAnsiTheme="majorHAnsi" w:cstheme="majorHAnsi"/>
          <w:color w:val="FF0000"/>
          <w:sz w:val="22"/>
          <w:szCs w:val="22"/>
        </w:rPr>
        <w:t>r</w:t>
      </w:r>
      <w:r w:rsidR="007F5505" w:rsidRPr="00B24A80">
        <w:rPr>
          <w:rFonts w:asciiTheme="majorHAnsi" w:eastAsia="Calibri" w:hAnsiTheme="majorHAnsi" w:cstheme="majorHAnsi"/>
          <w:sz w:val="22"/>
          <w:szCs w:val="22"/>
        </w:rPr>
        <w:t>se a cada uno de ellos conforme sus características de suelo urbano.</w:t>
      </w:r>
    </w:p>
    <w:p w14:paraId="6FF79DA5" w14:textId="77777777" w:rsidR="00DC27E8" w:rsidRPr="00B24A80" w:rsidRDefault="00DC27E8">
      <w:pPr>
        <w:spacing w:line="276" w:lineRule="auto"/>
        <w:rPr>
          <w:rFonts w:asciiTheme="majorHAnsi" w:eastAsia="Calibri" w:hAnsiTheme="majorHAnsi" w:cstheme="majorHAnsi"/>
          <w:sz w:val="22"/>
          <w:szCs w:val="22"/>
        </w:rPr>
      </w:pPr>
    </w:p>
    <w:p w14:paraId="0967B67C" w14:textId="77777777" w:rsidR="00DC27E8" w:rsidRPr="00B24A80" w:rsidRDefault="007F5505">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definición de aprovechamientos tiene un impacto directo sobre las dinámicas urbanísticas, sociales, económicas, productivas y de movilidad porque en función de estos se posibilita la </w:t>
      </w:r>
      <w:r w:rsidRPr="00B24A80">
        <w:rPr>
          <w:rFonts w:asciiTheme="majorHAnsi" w:eastAsia="Calibri" w:hAnsiTheme="majorHAnsi" w:cstheme="majorHAnsi"/>
          <w:sz w:val="22"/>
          <w:szCs w:val="22"/>
        </w:rPr>
        <w:lastRenderedPageBreak/>
        <w:t>transformación o no de ciertos territorios y, de esta forma, se regula la ocupación, edificabilidad y los usos permitidos y/o prohibidos en cada zona.</w:t>
      </w:r>
    </w:p>
    <w:p w14:paraId="6AD06A1E" w14:textId="77777777" w:rsidR="00DC27E8" w:rsidRPr="00B24A80" w:rsidRDefault="00DC27E8">
      <w:pPr>
        <w:spacing w:line="276" w:lineRule="auto"/>
        <w:rPr>
          <w:rFonts w:asciiTheme="majorHAnsi" w:eastAsia="Calibri" w:hAnsiTheme="majorHAnsi" w:cstheme="majorHAnsi"/>
          <w:sz w:val="22"/>
          <w:szCs w:val="22"/>
        </w:rPr>
      </w:pPr>
    </w:p>
    <w:p w14:paraId="5883EE25" w14:textId="77777777" w:rsidR="00DC27E8" w:rsidRPr="00B24A80" w:rsidRDefault="007F5505">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Para la asignación de la norma de aprovechamientos urbanísticos se tomará en cuenta de manera obligatoria al menos lo siguiente:</w:t>
      </w:r>
    </w:p>
    <w:p w14:paraId="5853D4FC" w14:textId="77777777" w:rsidR="00DC27E8" w:rsidRPr="00B24A80" w:rsidRDefault="00DC27E8">
      <w:pPr>
        <w:spacing w:line="276" w:lineRule="auto"/>
        <w:rPr>
          <w:rFonts w:asciiTheme="majorHAnsi" w:eastAsia="Calibri" w:hAnsiTheme="majorHAnsi" w:cstheme="majorHAnsi"/>
          <w:sz w:val="22"/>
          <w:szCs w:val="22"/>
        </w:rPr>
      </w:pPr>
    </w:p>
    <w:p w14:paraId="231EB5B2" w14:textId="3D59D80D" w:rsidR="00DC27E8"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Capacidad de carga del suelo en función del </w:t>
      </w:r>
      <w:r w:rsidR="00166F1C" w:rsidRPr="00767697">
        <w:rPr>
          <w:rFonts w:asciiTheme="majorHAnsi" w:eastAsia="Calibri" w:hAnsiTheme="majorHAnsi" w:cstheme="majorHAnsi"/>
          <w:sz w:val="22"/>
          <w:szCs w:val="22"/>
        </w:rPr>
        <w:t>análisis</w:t>
      </w:r>
      <w:r w:rsidRPr="00B24A80">
        <w:rPr>
          <w:rFonts w:asciiTheme="majorHAnsi" w:eastAsia="Calibri" w:hAnsiTheme="majorHAnsi" w:cstheme="majorHAnsi"/>
          <w:color w:val="000000"/>
          <w:sz w:val="22"/>
          <w:szCs w:val="22"/>
        </w:rPr>
        <w:t xml:space="preserve"> de riesgos, estructura predial, geomorfología y topografía.</w:t>
      </w:r>
    </w:p>
    <w:p w14:paraId="6C2D2196" w14:textId="77777777" w:rsidR="00DC27E8"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Capacidad de carga en función de capacidad de provisión y ampliación de servicios básicos domiciliarios, en especial agua potable y saneamiento.</w:t>
      </w:r>
    </w:p>
    <w:p w14:paraId="1A6E72FA" w14:textId="77777777" w:rsidR="00DC27E8"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Capacidad de dotación de servicios sociales y equipamientos, áreas verdes y recreativas.</w:t>
      </w:r>
    </w:p>
    <w:p w14:paraId="1A3DA17C" w14:textId="77777777" w:rsidR="00DC27E8"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Características paisajísticas o necesidad de conservación del paisaje o patrimonio urbano-arquitectónico y/o natural.</w:t>
      </w:r>
    </w:p>
    <w:p w14:paraId="4968E285" w14:textId="02AF439C" w:rsidR="00DC27E8"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Movilidad y conectividad interna en el amanzanado urbano y con cada zona del resto del territorio del </w:t>
      </w:r>
      <w:r w:rsidR="00FD07D2" w:rsidRPr="00B24A80">
        <w:rPr>
          <w:rFonts w:asciiTheme="majorHAnsi" w:eastAsia="Calibri" w:hAnsiTheme="majorHAnsi" w:cstheme="majorHAnsi"/>
          <w:color w:val="000000"/>
          <w:sz w:val="22"/>
          <w:szCs w:val="22"/>
        </w:rPr>
        <w:t>C</w:t>
      </w:r>
      <w:r w:rsidRPr="00B24A80">
        <w:rPr>
          <w:rFonts w:asciiTheme="majorHAnsi" w:eastAsia="Calibri" w:hAnsiTheme="majorHAnsi" w:cstheme="majorHAnsi"/>
          <w:color w:val="000000"/>
          <w:sz w:val="22"/>
          <w:szCs w:val="22"/>
        </w:rPr>
        <w:t>antón.</w:t>
      </w:r>
    </w:p>
    <w:p w14:paraId="57C6E54D" w14:textId="77777777" w:rsidR="00DC27E8"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aplicación de instrumentos de gestión de suelo, reparto o distribución equitativa de cargas y beneficios, declaración de desarrollo prioritario, zonas especiales de interés social y concesión onerosa de derechos de edificabilidad o uso y ocupación.</w:t>
      </w:r>
    </w:p>
    <w:p w14:paraId="33E920C1" w14:textId="77777777" w:rsidR="00912895"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Características de la población asentada en el amanzanado urbano y rural, la población flotante y económica local y regional.</w:t>
      </w:r>
    </w:p>
    <w:p w14:paraId="48F0D7AA" w14:textId="5C2C8980" w:rsidR="00912895" w:rsidRPr="00B24A80" w:rsidRDefault="007F5505" w:rsidP="009F132D">
      <w:pPr>
        <w:widowControl/>
        <w:numPr>
          <w:ilvl w:val="0"/>
          <w:numId w:val="4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Identificar aprovechamientos diferenciados para zonas rurales y urbanas, promoviendo la soberanía alimentaria, características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s, ecológicas y productivas de las zonas rurales; garantizando un menor nivel de fraccionamiento y densificación que en las zonas urbanas.</w:t>
      </w:r>
      <w:r w:rsidR="00912895" w:rsidRPr="00B24A80">
        <w:rPr>
          <w:rFonts w:asciiTheme="majorHAnsi" w:eastAsia="Calibri" w:hAnsiTheme="majorHAnsi" w:cstheme="majorHAnsi"/>
          <w:color w:val="000000"/>
          <w:sz w:val="22"/>
          <w:szCs w:val="22"/>
        </w:rPr>
        <w:t xml:space="preserve"> </w:t>
      </w:r>
    </w:p>
    <w:p w14:paraId="315905B0" w14:textId="6C7E9CA9" w:rsidR="00DC27E8" w:rsidRPr="00B24A80" w:rsidRDefault="00912895" w:rsidP="00912895">
      <w:pPr>
        <w:pStyle w:val="Ttulo4"/>
        <w:rPr>
          <w:rFonts w:cstheme="majorHAnsi"/>
          <w:sz w:val="22"/>
          <w:szCs w:val="22"/>
        </w:rPr>
      </w:pPr>
      <w:bookmarkStart w:id="80" w:name="_Toc81085639"/>
      <w:bookmarkStart w:id="81" w:name="_Toc181374077"/>
      <w:r w:rsidRPr="00B24A80">
        <w:rPr>
          <w:rFonts w:cstheme="majorHAnsi"/>
          <w:sz w:val="22"/>
          <w:szCs w:val="22"/>
        </w:rPr>
        <w:t>SECCIÓN IV</w:t>
      </w:r>
      <w:bookmarkStart w:id="82" w:name="_heading=h.1hmsyys" w:colFirst="0" w:colLast="0"/>
      <w:bookmarkEnd w:id="82"/>
      <w:r w:rsidRPr="00B24A80">
        <w:rPr>
          <w:rFonts w:cstheme="majorHAnsi"/>
          <w:sz w:val="22"/>
          <w:szCs w:val="22"/>
        </w:rPr>
        <w:br/>
        <w:t>Usos de Suelo</w:t>
      </w:r>
      <w:bookmarkEnd w:id="80"/>
      <w:bookmarkEnd w:id="81"/>
    </w:p>
    <w:p w14:paraId="7E145ED9" w14:textId="0BD73D9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Usos de Suelo. - </w:t>
      </w:r>
      <w:r w:rsidRPr="00B24A80">
        <w:rPr>
          <w:rFonts w:asciiTheme="majorHAnsi" w:eastAsia="Calibri" w:hAnsiTheme="majorHAnsi" w:cstheme="majorHAnsi"/>
          <w:szCs w:val="22"/>
        </w:rPr>
        <w:t xml:space="preserve">El uso es la destinación asignada al suelo, conforme con su clasificación y subclasificación, previstas en </w:t>
      </w:r>
      <w:r w:rsidR="00E3195C">
        <w:rPr>
          <w:rFonts w:asciiTheme="majorHAnsi" w:eastAsia="Calibri" w:hAnsiTheme="majorHAnsi" w:cstheme="majorHAnsi"/>
          <w:szCs w:val="22"/>
        </w:rPr>
        <w:t xml:space="preserve">la </w:t>
      </w:r>
      <w:r w:rsidR="00307FA7">
        <w:rPr>
          <w:rFonts w:asciiTheme="majorHAnsi" w:eastAsia="Calibri" w:hAnsiTheme="majorHAnsi" w:cstheme="majorHAnsi"/>
          <w:szCs w:val="22"/>
        </w:rPr>
        <w:t>LOOTUGS</w:t>
      </w:r>
      <w:r w:rsidR="00E3195C">
        <w:rPr>
          <w:rFonts w:asciiTheme="majorHAnsi" w:eastAsia="Calibri" w:hAnsiTheme="majorHAnsi" w:cstheme="majorHAnsi"/>
          <w:szCs w:val="22"/>
        </w:rPr>
        <w:t xml:space="preserve"> y esta </w:t>
      </w:r>
      <w:r w:rsidR="00307FA7">
        <w:rPr>
          <w:rFonts w:asciiTheme="majorHAnsi" w:eastAsia="Calibri" w:hAnsiTheme="majorHAnsi" w:cstheme="majorHAnsi"/>
          <w:szCs w:val="22"/>
        </w:rPr>
        <w:t>ordenanza.</w:t>
      </w:r>
      <w:r w:rsidR="001A2D00" w:rsidRPr="00B24A80">
        <w:rPr>
          <w:rFonts w:asciiTheme="majorHAnsi" w:eastAsia="Calibri" w:hAnsiTheme="majorHAnsi" w:cstheme="majorHAnsi"/>
          <w:szCs w:val="22"/>
        </w:rPr>
        <w:t xml:space="preserve"> </w:t>
      </w:r>
      <w:r w:rsidRPr="00B24A80">
        <w:rPr>
          <w:rFonts w:asciiTheme="majorHAnsi" w:eastAsia="Calibri" w:hAnsiTheme="majorHAnsi" w:cstheme="majorHAnsi"/>
          <w:szCs w:val="22"/>
        </w:rPr>
        <w:t xml:space="preserve">Los usos </w:t>
      </w:r>
      <w:r w:rsidR="00C40A0B" w:rsidRPr="00B24A80">
        <w:rPr>
          <w:rFonts w:asciiTheme="majorHAnsi" w:eastAsia="Calibri" w:hAnsiTheme="majorHAnsi" w:cstheme="majorHAnsi"/>
          <w:szCs w:val="22"/>
        </w:rPr>
        <w:t>están</w:t>
      </w:r>
      <w:r w:rsidRPr="00B24A80">
        <w:rPr>
          <w:rFonts w:asciiTheme="majorHAnsi" w:eastAsia="Calibri" w:hAnsiTheme="majorHAnsi" w:cstheme="majorHAnsi"/>
          <w:szCs w:val="22"/>
        </w:rPr>
        <w:t xml:space="preserve"> determinados en los respectivos planes de uso y gestión de suelo y en sus instrumentos complementarios.</w:t>
      </w:r>
    </w:p>
    <w:p w14:paraId="662F24A3" w14:textId="09B06B2B" w:rsidR="00DC27E8" w:rsidRPr="00B24A80" w:rsidRDefault="007F5505">
      <w:pPr>
        <w:spacing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Uso general. -</w:t>
      </w:r>
      <w:r w:rsidRPr="00B24A80">
        <w:rPr>
          <w:rFonts w:asciiTheme="majorHAnsi" w:eastAsia="Calibri" w:hAnsiTheme="majorHAnsi" w:cstheme="majorHAnsi"/>
          <w:sz w:val="22"/>
          <w:szCs w:val="22"/>
        </w:rPr>
        <w:t xml:space="preserve"> </w:t>
      </w:r>
      <w:r w:rsidR="001A2D00" w:rsidRPr="00B24A80">
        <w:rPr>
          <w:rFonts w:asciiTheme="majorHAnsi" w:eastAsia="Calibri" w:hAnsiTheme="majorHAnsi" w:cstheme="majorHAnsi"/>
          <w:sz w:val="22"/>
          <w:szCs w:val="22"/>
        </w:rPr>
        <w:t>Uso general es aquel que caracteriza un determinado ámbito espacial, por ser el dominante y mayoritario</w:t>
      </w:r>
      <w:r w:rsidRPr="00B24A80">
        <w:rPr>
          <w:rFonts w:asciiTheme="majorHAnsi" w:eastAsia="Calibri" w:hAnsiTheme="majorHAnsi" w:cstheme="majorHAnsi"/>
          <w:sz w:val="22"/>
          <w:szCs w:val="22"/>
        </w:rPr>
        <w:t>.</w:t>
      </w:r>
    </w:p>
    <w:p w14:paraId="1C7022AC" w14:textId="7CA2CDC2" w:rsidR="001A2D00" w:rsidRPr="00B24A80" w:rsidRDefault="007F5505" w:rsidP="001A2D0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Usos específicos</w:t>
      </w:r>
      <w:r w:rsidRPr="00B24A80">
        <w:rPr>
          <w:rFonts w:asciiTheme="majorHAnsi" w:eastAsia="Calibri" w:hAnsiTheme="majorHAnsi" w:cstheme="majorHAnsi"/>
          <w:sz w:val="22"/>
          <w:szCs w:val="22"/>
        </w:rPr>
        <w:t xml:space="preserve">. - </w:t>
      </w:r>
      <w:r w:rsidR="001A2D00" w:rsidRPr="00B24A80">
        <w:rPr>
          <w:rFonts w:asciiTheme="majorHAnsi" w:eastAsia="Calibri" w:hAnsiTheme="majorHAnsi" w:cstheme="majorHAnsi"/>
          <w:sz w:val="22"/>
          <w:szCs w:val="22"/>
        </w:rPr>
        <w:t>Usos específicos son aquellos que detallan y particularizan las disposiciones del uso general en un predio concreto, conforme con las categorías de uso principal, complementario, restringido y prohibido.</w:t>
      </w:r>
    </w:p>
    <w:p w14:paraId="681952F5" w14:textId="14EEEB6A" w:rsidR="00DC27E8" w:rsidRPr="00B24A80" w:rsidRDefault="001A2D00" w:rsidP="001A2D00">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El régimen de usos específicos clasifica en las siguientes categorías</w:t>
      </w:r>
      <w:r w:rsidR="007F5505" w:rsidRPr="00B24A80">
        <w:rPr>
          <w:rFonts w:asciiTheme="majorHAnsi" w:eastAsia="Calibri" w:hAnsiTheme="majorHAnsi" w:cstheme="majorHAnsi"/>
          <w:sz w:val="22"/>
          <w:szCs w:val="22"/>
        </w:rPr>
        <w:t>:</w:t>
      </w:r>
    </w:p>
    <w:p w14:paraId="2E907811" w14:textId="77777777" w:rsidR="00DC27E8" w:rsidRPr="00B24A80" w:rsidRDefault="00DC27E8">
      <w:pPr>
        <w:spacing w:line="276" w:lineRule="auto"/>
        <w:rPr>
          <w:rFonts w:asciiTheme="majorHAnsi" w:eastAsia="Calibri" w:hAnsiTheme="majorHAnsi" w:cstheme="majorHAnsi"/>
          <w:sz w:val="22"/>
          <w:szCs w:val="22"/>
        </w:rPr>
      </w:pPr>
    </w:p>
    <w:p w14:paraId="775AEFB3" w14:textId="77777777" w:rsidR="00DC27E8" w:rsidRPr="00B24A80" w:rsidRDefault="007F5505" w:rsidP="009F132D">
      <w:pPr>
        <w:widowControl/>
        <w:numPr>
          <w:ilvl w:val="0"/>
          <w:numId w:val="40"/>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lastRenderedPageBreak/>
        <w:t>Uso principal. -</w:t>
      </w:r>
      <w:r w:rsidRPr="00B24A80">
        <w:rPr>
          <w:rFonts w:asciiTheme="majorHAnsi" w:eastAsia="Calibri" w:hAnsiTheme="majorHAnsi" w:cstheme="majorHAnsi"/>
          <w:color w:val="000000"/>
          <w:sz w:val="22"/>
          <w:szCs w:val="22"/>
        </w:rPr>
        <w:t xml:space="preserve"> Es el uso específico permitido en la totalidad de una zona.</w:t>
      </w:r>
    </w:p>
    <w:p w14:paraId="76AAA9D3" w14:textId="77777777" w:rsidR="00DC27E8" w:rsidRPr="00B24A80" w:rsidRDefault="00DC27E8">
      <w:pPr>
        <w:pBdr>
          <w:top w:val="nil"/>
          <w:left w:val="nil"/>
          <w:bottom w:val="nil"/>
          <w:right w:val="nil"/>
          <w:between w:val="nil"/>
        </w:pBdr>
        <w:spacing w:line="276" w:lineRule="auto"/>
        <w:ind w:left="360"/>
        <w:rPr>
          <w:rFonts w:asciiTheme="majorHAnsi" w:eastAsia="Calibri" w:hAnsiTheme="majorHAnsi" w:cstheme="majorHAnsi"/>
          <w:color w:val="000000"/>
          <w:sz w:val="22"/>
          <w:szCs w:val="22"/>
        </w:rPr>
      </w:pPr>
    </w:p>
    <w:p w14:paraId="0C41F0FA" w14:textId="77777777" w:rsidR="00DC27E8" w:rsidRPr="00B24A80" w:rsidRDefault="007F5505" w:rsidP="009F132D">
      <w:pPr>
        <w:widowControl/>
        <w:numPr>
          <w:ilvl w:val="0"/>
          <w:numId w:val="40"/>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Uso complementario. -</w:t>
      </w:r>
      <w:r w:rsidRPr="00B24A80">
        <w:rPr>
          <w:rFonts w:asciiTheme="majorHAnsi" w:eastAsia="Calibri" w:hAnsiTheme="majorHAnsi" w:cstheme="majorHAnsi"/>
          <w:color w:val="000000"/>
          <w:sz w:val="22"/>
          <w:szCs w:val="22"/>
        </w:rPr>
        <w:t xml:space="preserve"> Es aquel que contribuye al adecuado funcionamiento del uso principal, permitiéndose en aquellas áreas que se señale de forma específica.</w:t>
      </w:r>
    </w:p>
    <w:p w14:paraId="58C65AE5" w14:textId="77777777" w:rsidR="00DC27E8" w:rsidRPr="00B24A80" w:rsidRDefault="00DC27E8">
      <w:pPr>
        <w:spacing w:line="276" w:lineRule="auto"/>
        <w:rPr>
          <w:rFonts w:asciiTheme="majorHAnsi" w:eastAsia="Calibri" w:hAnsiTheme="majorHAnsi" w:cstheme="majorHAnsi"/>
          <w:sz w:val="22"/>
          <w:szCs w:val="22"/>
        </w:rPr>
      </w:pPr>
    </w:p>
    <w:p w14:paraId="4C99E63F" w14:textId="77777777" w:rsidR="00DC27E8" w:rsidRPr="00B24A80" w:rsidRDefault="007F5505" w:rsidP="009F132D">
      <w:pPr>
        <w:widowControl/>
        <w:numPr>
          <w:ilvl w:val="0"/>
          <w:numId w:val="40"/>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Uso restringido. -</w:t>
      </w:r>
      <w:r w:rsidR="00F20F94" w:rsidRPr="00B24A80">
        <w:rPr>
          <w:rFonts w:asciiTheme="majorHAnsi" w:eastAsia="Calibri" w:hAnsiTheme="majorHAnsi" w:cstheme="majorHAnsi"/>
          <w:color w:val="000000"/>
          <w:sz w:val="22"/>
          <w:szCs w:val="22"/>
        </w:rPr>
        <w:t xml:space="preserve"> Es aquel se encuentra condicionado, </w:t>
      </w:r>
      <w:r w:rsidRPr="00B24A80">
        <w:rPr>
          <w:rFonts w:asciiTheme="majorHAnsi" w:eastAsia="Calibri" w:hAnsiTheme="majorHAnsi" w:cstheme="majorHAnsi"/>
          <w:color w:val="000000"/>
          <w:sz w:val="22"/>
          <w:szCs w:val="22"/>
        </w:rPr>
        <w:t>que no es requerido para el adecuado funcionamiento del uso principal, pero que se permite bajo determinadas condiciones</w:t>
      </w:r>
      <w:r w:rsidR="00F20F94" w:rsidRPr="00B24A80">
        <w:rPr>
          <w:rFonts w:asciiTheme="majorHAnsi" w:eastAsia="Calibri" w:hAnsiTheme="majorHAnsi" w:cstheme="majorHAnsi"/>
          <w:color w:val="000000"/>
          <w:sz w:val="22"/>
          <w:szCs w:val="22"/>
        </w:rPr>
        <w:t xml:space="preserve"> y normativas vigentes</w:t>
      </w:r>
      <w:r w:rsidRPr="00B24A80">
        <w:rPr>
          <w:rFonts w:asciiTheme="majorHAnsi" w:eastAsia="Calibri" w:hAnsiTheme="majorHAnsi" w:cstheme="majorHAnsi"/>
          <w:color w:val="000000"/>
          <w:sz w:val="22"/>
          <w:szCs w:val="22"/>
        </w:rPr>
        <w:t>.</w:t>
      </w:r>
    </w:p>
    <w:p w14:paraId="1F9EE0B5" w14:textId="11AE0B4B" w:rsidR="00DC27E8" w:rsidRPr="00B24A80" w:rsidRDefault="007F5505" w:rsidP="009F132D">
      <w:pPr>
        <w:widowControl/>
        <w:numPr>
          <w:ilvl w:val="0"/>
          <w:numId w:val="40"/>
        </w:numPr>
        <w:pBdr>
          <w:top w:val="nil"/>
          <w:left w:val="nil"/>
          <w:bottom w:val="nil"/>
          <w:right w:val="nil"/>
          <w:between w:val="nil"/>
        </w:pBdr>
        <w:spacing w:after="20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Uso prohibido. -</w:t>
      </w:r>
      <w:r w:rsidRPr="00B24A80">
        <w:rPr>
          <w:rFonts w:asciiTheme="majorHAnsi" w:eastAsia="Calibri" w:hAnsiTheme="majorHAnsi" w:cstheme="majorHAnsi"/>
          <w:color w:val="000000"/>
          <w:sz w:val="22"/>
          <w:szCs w:val="22"/>
        </w:rPr>
        <w:t xml:space="preserve"> </w:t>
      </w:r>
      <w:r w:rsidR="001A2D00" w:rsidRPr="00B24A80">
        <w:rPr>
          <w:rFonts w:asciiTheme="majorHAnsi" w:eastAsia="Calibri" w:hAnsiTheme="majorHAnsi" w:cstheme="majorHAnsi"/>
          <w:color w:val="000000"/>
          <w:sz w:val="22"/>
          <w:szCs w:val="22"/>
        </w:rPr>
        <w:t>Es aquel que no es compatible con el uso principal o complementario, y no es permitido en una determinada zona. Los usos que no estén previstos como principales, complementarios o restringidos se encuentran prohibidos</w:t>
      </w:r>
      <w:r w:rsidR="00307FA7">
        <w:rPr>
          <w:rFonts w:asciiTheme="majorHAnsi" w:eastAsia="Calibri" w:hAnsiTheme="majorHAnsi" w:cstheme="majorHAnsi"/>
          <w:color w:val="000000"/>
          <w:sz w:val="22"/>
          <w:szCs w:val="22"/>
        </w:rPr>
        <w:t>.</w:t>
      </w:r>
      <w:r w:rsidR="001A2D00" w:rsidRPr="00B24A80">
        <w:rPr>
          <w:rFonts w:asciiTheme="majorHAnsi" w:eastAsia="Calibri" w:hAnsiTheme="majorHAnsi" w:cstheme="majorHAnsi"/>
          <w:color w:val="000000"/>
          <w:sz w:val="22"/>
          <w:szCs w:val="22"/>
        </w:rPr>
        <w:t xml:space="preserve"> Los usos restringidos y prohibidos serán definidos en función de cada una de las características de cada PIT, acorde a la normativa vigente y su normativa técnica (Norma Técnica Uso y Gestión de Suelo y Planes Urbanísticos de GAD´s)</w:t>
      </w:r>
      <w:r w:rsidRPr="00B24A80">
        <w:rPr>
          <w:rFonts w:asciiTheme="majorHAnsi" w:eastAsia="Calibri" w:hAnsiTheme="majorHAnsi" w:cstheme="majorHAnsi"/>
          <w:color w:val="000000"/>
          <w:sz w:val="22"/>
          <w:szCs w:val="22"/>
        </w:rPr>
        <w:t>.</w:t>
      </w:r>
    </w:p>
    <w:p w14:paraId="3A088631" w14:textId="516A07BC" w:rsidR="00912895" w:rsidRPr="00B24A80" w:rsidRDefault="00912895" w:rsidP="00912895">
      <w:pPr>
        <w:pStyle w:val="Ttulo4"/>
        <w:rPr>
          <w:rFonts w:cstheme="majorHAnsi"/>
          <w:sz w:val="22"/>
          <w:szCs w:val="22"/>
        </w:rPr>
      </w:pPr>
      <w:bookmarkStart w:id="83" w:name="_Toc81085640"/>
      <w:bookmarkStart w:id="84" w:name="_Toc181374078"/>
      <w:r w:rsidRPr="00B24A80">
        <w:rPr>
          <w:rFonts w:cstheme="majorHAnsi"/>
          <w:sz w:val="22"/>
          <w:szCs w:val="22"/>
        </w:rPr>
        <w:t>SECCIÓN V</w:t>
      </w:r>
      <w:bookmarkStart w:id="85" w:name="_heading=h.2u6wntf" w:colFirst="0" w:colLast="0"/>
      <w:bookmarkEnd w:id="85"/>
      <w:r w:rsidRPr="00B24A80">
        <w:rPr>
          <w:rFonts w:cstheme="majorHAnsi"/>
          <w:sz w:val="22"/>
          <w:szCs w:val="22"/>
        </w:rPr>
        <w:br/>
        <w:t>Clasificación de Usos</w:t>
      </w:r>
      <w:bookmarkEnd w:id="83"/>
      <w:bookmarkEnd w:id="84"/>
    </w:p>
    <w:p w14:paraId="7A4CDC9A" w14:textId="4F03983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bookmarkStart w:id="86" w:name="_heading=h.32hioqz" w:colFirst="0" w:colLast="0"/>
      <w:bookmarkEnd w:id="86"/>
      <w:r w:rsidRPr="00B24A80">
        <w:rPr>
          <w:rFonts w:asciiTheme="majorHAnsi" w:eastAsia="Calibri" w:hAnsiTheme="majorHAnsi" w:cstheme="majorHAnsi"/>
          <w:b/>
          <w:color w:val="000000"/>
          <w:szCs w:val="22"/>
        </w:rPr>
        <w:t>Clasificación de usos de suelo</w:t>
      </w:r>
      <w:r w:rsidRPr="00B24A80">
        <w:rPr>
          <w:rFonts w:asciiTheme="majorHAnsi" w:eastAsia="Calibri" w:hAnsiTheme="majorHAnsi" w:cstheme="majorHAnsi"/>
          <w:b/>
          <w:szCs w:val="22"/>
        </w:rPr>
        <w:t xml:space="preserve">. - </w:t>
      </w:r>
      <w:r w:rsidRPr="00B24A80">
        <w:rPr>
          <w:rFonts w:asciiTheme="majorHAnsi" w:eastAsia="Calibri" w:hAnsiTheme="majorHAnsi" w:cstheme="majorHAnsi"/>
          <w:szCs w:val="22"/>
        </w:rPr>
        <w:t xml:space="preserve">La clasificación general de usos de suelo, se determinará </w:t>
      </w:r>
      <w:r w:rsidR="00430496" w:rsidRPr="00B24A80">
        <w:rPr>
          <w:rFonts w:asciiTheme="majorHAnsi" w:eastAsia="Calibri" w:hAnsiTheme="majorHAnsi" w:cstheme="majorHAnsi"/>
          <w:szCs w:val="22"/>
        </w:rPr>
        <w:t>de acuerdo con</w:t>
      </w:r>
      <w:r w:rsidRPr="00B24A80">
        <w:rPr>
          <w:rFonts w:asciiTheme="majorHAnsi" w:eastAsia="Calibri" w:hAnsiTheme="majorHAnsi" w:cstheme="majorHAnsi"/>
          <w:szCs w:val="22"/>
        </w:rPr>
        <w:t xml:space="preserve"> la normativa legal vigente y correspondiente.</w:t>
      </w:r>
    </w:p>
    <w:p w14:paraId="6E36BF9F" w14:textId="77777777" w:rsidR="00D75DF4" w:rsidRPr="00B24A80" w:rsidRDefault="00D75DF4" w:rsidP="00D75DF4">
      <w:pPr>
        <w:pStyle w:val="Prrafodelista"/>
        <w:widowControl/>
        <w:tabs>
          <w:tab w:val="left" w:pos="851"/>
        </w:tabs>
        <w:spacing w:after="240" w:line="276" w:lineRule="auto"/>
        <w:ind w:left="0" w:right="-100"/>
        <w:rPr>
          <w:rFonts w:asciiTheme="majorHAnsi" w:eastAsia="Calibri" w:hAnsiTheme="majorHAnsi" w:cstheme="majorHAnsi"/>
          <w:szCs w:val="22"/>
        </w:rPr>
      </w:pPr>
    </w:p>
    <w:p w14:paraId="71B7EF97" w14:textId="2BC8571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 Uso de suelo Residencial. -</w:t>
      </w:r>
      <w:r w:rsidRPr="00B24A80">
        <w:rPr>
          <w:rFonts w:asciiTheme="majorHAnsi" w:eastAsia="Calibri" w:hAnsiTheme="majorHAnsi" w:cstheme="majorHAnsi"/>
          <w:szCs w:val="22"/>
        </w:rPr>
        <w:t xml:space="preserve"> Se destina para vivienda permanente, en uso exclusivo o combinado con otros usos de suelo compatibles, en edificaciones individuales o colectivas del territorio. El suelo residencial puede dividirse </w:t>
      </w:r>
      <w:r w:rsidR="00430496" w:rsidRPr="00B24A80">
        <w:rPr>
          <w:rFonts w:asciiTheme="majorHAnsi" w:eastAsia="Calibri" w:hAnsiTheme="majorHAnsi" w:cstheme="majorHAnsi"/>
          <w:szCs w:val="22"/>
        </w:rPr>
        <w:t>de acuerdo con</w:t>
      </w:r>
      <w:r w:rsidRPr="00B24A80">
        <w:rPr>
          <w:rFonts w:asciiTheme="majorHAnsi" w:eastAsia="Calibri" w:hAnsiTheme="majorHAnsi" w:cstheme="majorHAnsi"/>
          <w:szCs w:val="22"/>
        </w:rPr>
        <w:t xml:space="preserve"> la densidad establecida.</w:t>
      </w:r>
    </w:p>
    <w:p w14:paraId="386F5723" w14:textId="77777777" w:rsidR="00DC27E8" w:rsidRPr="00B24A80" w:rsidRDefault="00DC27E8">
      <w:pPr>
        <w:spacing w:line="276" w:lineRule="auto"/>
        <w:rPr>
          <w:rFonts w:asciiTheme="majorHAnsi" w:eastAsia="Calibri" w:hAnsiTheme="majorHAnsi" w:cstheme="majorHAnsi"/>
          <w:sz w:val="22"/>
          <w:szCs w:val="22"/>
        </w:rPr>
      </w:pPr>
    </w:p>
    <w:p w14:paraId="7CEB0797" w14:textId="3B506DCD" w:rsidR="008F5B10" w:rsidRPr="00B24A80" w:rsidRDefault="008F5B10" w:rsidP="008F5B10">
      <w:pPr>
        <w:pStyle w:val="Descripcin"/>
        <w:rPr>
          <w:rFonts w:cstheme="majorHAnsi"/>
          <w:sz w:val="22"/>
          <w:szCs w:val="22"/>
        </w:rPr>
      </w:pPr>
      <w:bookmarkStart w:id="87" w:name="_heading=h.41mghml" w:colFirst="0" w:colLast="0"/>
      <w:bookmarkStart w:id="88" w:name="_Toc81085716"/>
      <w:bookmarkEnd w:id="87"/>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2</w:t>
      </w:r>
      <w:r w:rsidR="00203216" w:rsidRPr="00B24A80">
        <w:rPr>
          <w:rFonts w:cstheme="majorHAnsi"/>
          <w:noProof/>
          <w:sz w:val="22"/>
          <w:szCs w:val="22"/>
        </w:rPr>
        <w:fldChar w:fldCharType="end"/>
      </w:r>
      <w:r w:rsidRPr="00B24A80">
        <w:rPr>
          <w:rFonts w:cstheme="majorHAnsi"/>
          <w:sz w:val="22"/>
          <w:szCs w:val="22"/>
        </w:rPr>
        <w:t>. Clasificación del Uso de Suelo Residencial.</w:t>
      </w:r>
      <w:bookmarkEnd w:id="88"/>
    </w:p>
    <w:tbl>
      <w:tblPr>
        <w:tblStyle w:val="afff9"/>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8"/>
        <w:gridCol w:w="1634"/>
        <w:gridCol w:w="802"/>
        <w:gridCol w:w="5284"/>
      </w:tblGrid>
      <w:tr w:rsidR="00DC27E8" w:rsidRPr="00B24A80" w14:paraId="2FE91500" w14:textId="77777777" w:rsidTr="00E34BC9">
        <w:trPr>
          <w:trHeight w:val="279"/>
        </w:trPr>
        <w:tc>
          <w:tcPr>
            <w:tcW w:w="768" w:type="dxa"/>
            <w:shd w:val="clear" w:color="auto" w:fill="BFBFBF"/>
            <w:vAlign w:val="center"/>
          </w:tcPr>
          <w:p w14:paraId="0A0DF5BB"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w:t>
            </w:r>
          </w:p>
        </w:tc>
        <w:tc>
          <w:tcPr>
            <w:tcW w:w="1634" w:type="dxa"/>
            <w:shd w:val="clear" w:color="auto" w:fill="BFBFBF"/>
            <w:vAlign w:val="center"/>
          </w:tcPr>
          <w:p w14:paraId="5498B384"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TIPOLOGIA</w:t>
            </w:r>
          </w:p>
        </w:tc>
        <w:tc>
          <w:tcPr>
            <w:tcW w:w="802" w:type="dxa"/>
            <w:shd w:val="clear" w:color="auto" w:fill="BFBFBF"/>
            <w:vAlign w:val="center"/>
          </w:tcPr>
          <w:p w14:paraId="012BABB8"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SIMB.</w:t>
            </w:r>
          </w:p>
        </w:tc>
        <w:tc>
          <w:tcPr>
            <w:tcW w:w="5284" w:type="dxa"/>
            <w:shd w:val="clear" w:color="auto" w:fill="BFBFBF"/>
            <w:vAlign w:val="center"/>
          </w:tcPr>
          <w:p w14:paraId="03676061"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ACTIVIDADES / ESTABLECIMIENTOS</w:t>
            </w:r>
          </w:p>
        </w:tc>
      </w:tr>
      <w:tr w:rsidR="00DC27E8" w:rsidRPr="00B24A80" w14:paraId="7E3057D8" w14:textId="77777777" w:rsidTr="00E34BC9">
        <w:trPr>
          <w:trHeight w:val="865"/>
        </w:trPr>
        <w:tc>
          <w:tcPr>
            <w:tcW w:w="768" w:type="dxa"/>
            <w:vMerge w:val="restart"/>
            <w:shd w:val="clear" w:color="auto" w:fill="D9D9D9"/>
            <w:textDirection w:val="btLr"/>
            <w:vAlign w:val="center"/>
          </w:tcPr>
          <w:p w14:paraId="1BD762F9" w14:textId="77777777" w:rsidR="00DC27E8" w:rsidRPr="00B24A80" w:rsidRDefault="007F5505">
            <w:pPr>
              <w:spacing w:line="276" w:lineRule="auto"/>
              <w:ind w:left="113" w:right="113"/>
              <w:jc w:val="center"/>
              <w:rPr>
                <w:rFonts w:asciiTheme="majorHAnsi" w:eastAsia="Calibri" w:hAnsiTheme="majorHAnsi" w:cstheme="majorHAnsi"/>
                <w:b/>
              </w:rPr>
            </w:pPr>
            <w:r w:rsidRPr="00B24A80">
              <w:rPr>
                <w:rFonts w:asciiTheme="majorHAnsi" w:eastAsia="Calibri" w:hAnsiTheme="majorHAnsi" w:cstheme="majorHAnsi"/>
                <w:b/>
              </w:rPr>
              <w:t>RESIDENCIAL</w:t>
            </w:r>
          </w:p>
        </w:tc>
        <w:tc>
          <w:tcPr>
            <w:tcW w:w="1634" w:type="dxa"/>
            <w:vAlign w:val="center"/>
          </w:tcPr>
          <w:p w14:paraId="30FCA6F6"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Residencial</w:t>
            </w:r>
          </w:p>
          <w:p w14:paraId="679E0BE9"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Baja Densidad</w:t>
            </w:r>
          </w:p>
        </w:tc>
        <w:tc>
          <w:tcPr>
            <w:tcW w:w="802" w:type="dxa"/>
            <w:shd w:val="clear" w:color="auto" w:fill="D9D9D9"/>
            <w:vAlign w:val="center"/>
          </w:tcPr>
          <w:p w14:paraId="353BD85A"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R1</w:t>
            </w:r>
          </w:p>
        </w:tc>
        <w:tc>
          <w:tcPr>
            <w:tcW w:w="5284" w:type="dxa"/>
          </w:tcPr>
          <w:p w14:paraId="53E7C9AA" w14:textId="10CE8CCD" w:rsidR="00DC27E8" w:rsidRPr="00B24A80" w:rsidRDefault="007F5505">
            <w:pPr>
              <w:spacing w:line="276" w:lineRule="auto"/>
              <w:rPr>
                <w:rFonts w:asciiTheme="majorHAnsi" w:eastAsia="Calibri" w:hAnsiTheme="majorHAnsi" w:cstheme="majorHAnsi"/>
              </w:rPr>
            </w:pPr>
            <w:r w:rsidRPr="00B24A80">
              <w:rPr>
                <w:rFonts w:asciiTheme="majorHAnsi" w:eastAsia="Calibri" w:hAnsiTheme="majorHAnsi" w:cstheme="majorHAnsi"/>
              </w:rPr>
              <w:t xml:space="preserve">Zonas de uso Residencial de baja densidad en las que se permite la presencia limitada de comercios de </w:t>
            </w:r>
            <w:r w:rsidR="00430496" w:rsidRPr="00B24A80">
              <w:rPr>
                <w:rFonts w:asciiTheme="majorHAnsi" w:eastAsia="Calibri" w:hAnsiTheme="majorHAnsi" w:cstheme="majorHAnsi"/>
              </w:rPr>
              <w:t>nivel y equipamientos barriales</w:t>
            </w:r>
            <w:r w:rsidRPr="00B24A80">
              <w:rPr>
                <w:rFonts w:asciiTheme="majorHAnsi" w:eastAsia="Calibri" w:hAnsiTheme="majorHAnsi" w:cstheme="majorHAnsi"/>
              </w:rPr>
              <w:t xml:space="preserve"> y sectoriales.</w:t>
            </w:r>
          </w:p>
        </w:tc>
      </w:tr>
      <w:tr w:rsidR="00DC27E8" w:rsidRPr="00B24A80" w14:paraId="6B357DA4" w14:textId="77777777" w:rsidTr="00E34BC9">
        <w:trPr>
          <w:trHeight w:val="1158"/>
        </w:trPr>
        <w:tc>
          <w:tcPr>
            <w:tcW w:w="768" w:type="dxa"/>
            <w:vMerge/>
            <w:shd w:val="clear" w:color="auto" w:fill="D9D9D9"/>
            <w:vAlign w:val="center"/>
          </w:tcPr>
          <w:p w14:paraId="1FA6F88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634" w:type="dxa"/>
            <w:vAlign w:val="center"/>
          </w:tcPr>
          <w:p w14:paraId="6399EF18"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 xml:space="preserve">Residencial </w:t>
            </w:r>
          </w:p>
          <w:p w14:paraId="23765C90"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Media Densidad</w:t>
            </w:r>
          </w:p>
        </w:tc>
        <w:tc>
          <w:tcPr>
            <w:tcW w:w="802" w:type="dxa"/>
            <w:shd w:val="clear" w:color="auto" w:fill="D9D9D9"/>
            <w:vAlign w:val="center"/>
          </w:tcPr>
          <w:p w14:paraId="0EC9C8EC"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R2</w:t>
            </w:r>
          </w:p>
        </w:tc>
        <w:tc>
          <w:tcPr>
            <w:tcW w:w="5284" w:type="dxa"/>
          </w:tcPr>
          <w:p w14:paraId="6E2DB995" w14:textId="77777777" w:rsidR="00DC27E8" w:rsidRPr="00B24A80" w:rsidRDefault="007F5505">
            <w:pPr>
              <w:spacing w:line="276" w:lineRule="auto"/>
              <w:rPr>
                <w:rFonts w:asciiTheme="majorHAnsi" w:eastAsia="Calibri" w:hAnsiTheme="majorHAnsi" w:cstheme="majorHAnsi"/>
              </w:rPr>
            </w:pPr>
            <w:r w:rsidRPr="00B24A80">
              <w:rPr>
                <w:rFonts w:asciiTheme="majorHAnsi" w:eastAsia="Calibri" w:hAnsiTheme="majorHAnsi" w:cstheme="majorHAnsi"/>
              </w:rPr>
              <w:t>Zonas de uso Residencial de media densidad en las que se permite comercios y servicios de nivel barrial y sectorial y equipamientos barriales, sectoriales y distritales.</w:t>
            </w:r>
          </w:p>
        </w:tc>
      </w:tr>
      <w:tr w:rsidR="00DC27E8" w:rsidRPr="00B24A80" w14:paraId="78C03DD1" w14:textId="77777777" w:rsidTr="00E34BC9">
        <w:trPr>
          <w:trHeight w:val="487"/>
        </w:trPr>
        <w:tc>
          <w:tcPr>
            <w:tcW w:w="768" w:type="dxa"/>
            <w:vMerge/>
            <w:shd w:val="clear" w:color="auto" w:fill="D9D9D9"/>
            <w:vAlign w:val="center"/>
          </w:tcPr>
          <w:p w14:paraId="7E21E7CC"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634" w:type="dxa"/>
            <w:vAlign w:val="center"/>
          </w:tcPr>
          <w:p w14:paraId="75C67A9C"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Residencial</w:t>
            </w:r>
          </w:p>
          <w:p w14:paraId="5A5ABC77"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Alta Densidad</w:t>
            </w:r>
          </w:p>
        </w:tc>
        <w:tc>
          <w:tcPr>
            <w:tcW w:w="802" w:type="dxa"/>
            <w:shd w:val="clear" w:color="auto" w:fill="D9D9D9"/>
            <w:vAlign w:val="center"/>
          </w:tcPr>
          <w:p w14:paraId="65FCFC91"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R3</w:t>
            </w:r>
          </w:p>
        </w:tc>
        <w:tc>
          <w:tcPr>
            <w:tcW w:w="5284" w:type="dxa"/>
          </w:tcPr>
          <w:p w14:paraId="357230A0" w14:textId="77777777" w:rsidR="00DC27E8" w:rsidRPr="00B24A80" w:rsidRDefault="007F5505">
            <w:pPr>
              <w:spacing w:line="276" w:lineRule="auto"/>
              <w:rPr>
                <w:rFonts w:asciiTheme="majorHAnsi" w:eastAsia="Calibri" w:hAnsiTheme="majorHAnsi" w:cstheme="majorHAnsi"/>
              </w:rPr>
            </w:pPr>
            <w:r w:rsidRPr="00B24A80">
              <w:rPr>
                <w:rFonts w:asciiTheme="majorHAnsi" w:eastAsia="Calibri" w:hAnsiTheme="majorHAnsi" w:cstheme="majorHAnsi"/>
              </w:rPr>
              <w:t>Zonas de uso Residencial de alta densidad en las que se permite comercios, servicios y equipamientos barriales, sectoriales y distritales.</w:t>
            </w:r>
          </w:p>
        </w:tc>
      </w:tr>
    </w:tbl>
    <w:p w14:paraId="081A7403" w14:textId="77777777" w:rsidR="00DF32B7" w:rsidRPr="00B24A80" w:rsidRDefault="00DF32B7">
      <w:pPr>
        <w:spacing w:after="240" w:line="276" w:lineRule="auto"/>
        <w:rPr>
          <w:rFonts w:asciiTheme="majorHAnsi" w:eastAsia="Calibri" w:hAnsiTheme="majorHAnsi" w:cstheme="majorHAnsi"/>
          <w:i/>
          <w:sz w:val="22"/>
          <w:szCs w:val="22"/>
        </w:rPr>
      </w:pPr>
    </w:p>
    <w:p w14:paraId="0446908A" w14:textId="7C66A24D" w:rsidR="008F5B10"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lastRenderedPageBreak/>
        <w:t>Uso de suelo Múltiple. -</w:t>
      </w:r>
      <w:r w:rsidRPr="00B24A80">
        <w:rPr>
          <w:rFonts w:asciiTheme="majorHAnsi" w:eastAsia="Calibri" w:hAnsiTheme="majorHAnsi" w:cstheme="majorHAnsi"/>
          <w:szCs w:val="22"/>
        </w:rPr>
        <w:t xml:space="preserve"> Es el uso que se le da al suelo con mezcla de actividades residenciales, comerciales, de oficina, industriales de bajo impacto, servicios y equipamientos compatibles. Generalmente se ubica en las zonas de centralidad de la ciudad o en los ejes de las vías principales.</w:t>
      </w:r>
      <w:bookmarkStart w:id="89" w:name="_heading=h.2grqrue" w:colFirst="0" w:colLast="0"/>
      <w:bookmarkEnd w:id="89"/>
    </w:p>
    <w:p w14:paraId="6EF20BB8" w14:textId="21F31F3A" w:rsidR="008F5B10" w:rsidRPr="00B24A80" w:rsidRDefault="008F5B10" w:rsidP="008F5B10">
      <w:pPr>
        <w:pStyle w:val="Descripcin"/>
        <w:rPr>
          <w:rFonts w:cstheme="majorHAnsi"/>
          <w:sz w:val="22"/>
          <w:szCs w:val="22"/>
        </w:rPr>
      </w:pPr>
      <w:bookmarkStart w:id="90" w:name="_Toc81085717"/>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3</w:t>
      </w:r>
      <w:r w:rsidR="00203216" w:rsidRPr="00B24A80">
        <w:rPr>
          <w:rFonts w:cstheme="majorHAnsi"/>
          <w:noProof/>
          <w:sz w:val="22"/>
          <w:szCs w:val="22"/>
        </w:rPr>
        <w:fldChar w:fldCharType="end"/>
      </w:r>
      <w:r w:rsidRPr="00B24A80">
        <w:rPr>
          <w:rFonts w:cstheme="majorHAnsi"/>
          <w:sz w:val="22"/>
          <w:szCs w:val="22"/>
        </w:rPr>
        <w:t>. Clasificación del Uso de Suelo Múltiple.</w:t>
      </w:r>
      <w:bookmarkEnd w:id="90"/>
    </w:p>
    <w:tbl>
      <w:tblPr>
        <w:tblStyle w:val="afffa"/>
        <w:tblW w:w="8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
        <w:gridCol w:w="1631"/>
        <w:gridCol w:w="800"/>
        <w:gridCol w:w="5274"/>
      </w:tblGrid>
      <w:tr w:rsidR="00DC27E8" w:rsidRPr="00B24A80" w14:paraId="474D95A0" w14:textId="77777777" w:rsidTr="00E34BC9">
        <w:trPr>
          <w:trHeight w:val="259"/>
        </w:trPr>
        <w:tc>
          <w:tcPr>
            <w:tcW w:w="766" w:type="dxa"/>
            <w:shd w:val="clear" w:color="auto" w:fill="BFBFBF"/>
            <w:vAlign w:val="center"/>
          </w:tcPr>
          <w:p w14:paraId="137F4719"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w:t>
            </w:r>
          </w:p>
        </w:tc>
        <w:tc>
          <w:tcPr>
            <w:tcW w:w="1631" w:type="dxa"/>
            <w:shd w:val="clear" w:color="auto" w:fill="BFBFBF"/>
            <w:vAlign w:val="center"/>
          </w:tcPr>
          <w:p w14:paraId="14D74EA5"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TIPOLOGIA</w:t>
            </w:r>
          </w:p>
        </w:tc>
        <w:tc>
          <w:tcPr>
            <w:tcW w:w="800" w:type="dxa"/>
            <w:shd w:val="clear" w:color="auto" w:fill="BFBFBF"/>
            <w:vAlign w:val="center"/>
          </w:tcPr>
          <w:p w14:paraId="22F0CB23"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SIMB.</w:t>
            </w:r>
          </w:p>
        </w:tc>
        <w:tc>
          <w:tcPr>
            <w:tcW w:w="5274" w:type="dxa"/>
            <w:shd w:val="clear" w:color="auto" w:fill="BFBFBF"/>
            <w:vAlign w:val="center"/>
          </w:tcPr>
          <w:p w14:paraId="0AADC43A"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ACTIVIDADES / ESTABLECIMIENTOS</w:t>
            </w:r>
          </w:p>
        </w:tc>
      </w:tr>
      <w:tr w:rsidR="00DC27E8" w:rsidRPr="00B24A80" w14:paraId="0FCCCD44" w14:textId="77777777" w:rsidTr="00E34BC9">
        <w:trPr>
          <w:cantSplit/>
          <w:trHeight w:val="1425"/>
        </w:trPr>
        <w:tc>
          <w:tcPr>
            <w:tcW w:w="766" w:type="dxa"/>
            <w:shd w:val="clear" w:color="auto" w:fill="D9D9D9"/>
            <w:textDirection w:val="btLr"/>
            <w:vAlign w:val="center"/>
          </w:tcPr>
          <w:p w14:paraId="0671E994" w14:textId="77777777" w:rsidR="00DC27E8" w:rsidRPr="00B24A80" w:rsidRDefault="007F5505">
            <w:pPr>
              <w:spacing w:line="276" w:lineRule="auto"/>
              <w:ind w:left="113" w:right="113"/>
              <w:jc w:val="center"/>
              <w:rPr>
                <w:rFonts w:asciiTheme="majorHAnsi" w:eastAsia="Calibri" w:hAnsiTheme="majorHAnsi" w:cstheme="majorHAnsi"/>
                <w:b/>
              </w:rPr>
            </w:pPr>
            <w:r w:rsidRPr="00B24A80">
              <w:rPr>
                <w:rFonts w:asciiTheme="majorHAnsi" w:eastAsia="Calibri" w:hAnsiTheme="majorHAnsi" w:cstheme="majorHAnsi"/>
                <w:b/>
              </w:rPr>
              <w:t>MULTIPLE</w:t>
            </w:r>
          </w:p>
        </w:tc>
        <w:tc>
          <w:tcPr>
            <w:tcW w:w="1631" w:type="dxa"/>
            <w:vAlign w:val="center"/>
          </w:tcPr>
          <w:p w14:paraId="5B1A8D0F"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Múltiple</w:t>
            </w:r>
          </w:p>
        </w:tc>
        <w:tc>
          <w:tcPr>
            <w:tcW w:w="800" w:type="dxa"/>
            <w:shd w:val="clear" w:color="auto" w:fill="D9D9D9"/>
            <w:vAlign w:val="center"/>
          </w:tcPr>
          <w:p w14:paraId="24A25E6E" w14:textId="77777777" w:rsidR="00DC27E8" w:rsidRPr="00B24A80" w:rsidRDefault="007F5505">
            <w:pPr>
              <w:spacing w:line="276" w:lineRule="auto"/>
              <w:jc w:val="center"/>
              <w:rPr>
                <w:rFonts w:asciiTheme="majorHAnsi" w:eastAsia="Calibri" w:hAnsiTheme="majorHAnsi" w:cstheme="majorHAnsi"/>
              </w:rPr>
            </w:pPr>
            <w:r w:rsidRPr="00B24A80">
              <w:rPr>
                <w:rFonts w:asciiTheme="majorHAnsi" w:eastAsia="Calibri" w:hAnsiTheme="majorHAnsi" w:cstheme="majorHAnsi"/>
              </w:rPr>
              <w:t>MU</w:t>
            </w:r>
          </w:p>
        </w:tc>
        <w:tc>
          <w:tcPr>
            <w:tcW w:w="5274" w:type="dxa"/>
            <w:vAlign w:val="center"/>
          </w:tcPr>
          <w:p w14:paraId="040D5D9C" w14:textId="77777777" w:rsidR="00DC27E8" w:rsidRPr="00B24A80" w:rsidRDefault="007F5505">
            <w:pPr>
              <w:spacing w:line="276" w:lineRule="auto"/>
              <w:rPr>
                <w:rFonts w:asciiTheme="majorHAnsi" w:eastAsia="Calibri" w:hAnsiTheme="majorHAnsi" w:cstheme="majorHAnsi"/>
              </w:rPr>
            </w:pPr>
            <w:r w:rsidRPr="00B24A80">
              <w:rPr>
                <w:rFonts w:asciiTheme="majorHAnsi" w:eastAsia="Calibri" w:hAnsiTheme="majorHAnsi" w:cstheme="majorHAnsi"/>
              </w:rPr>
              <w:t>Zonas donde pueden coexistir Residencia, Comercio, Industria de bajo y mediano impacto, Servicios y Equipamientos compatibles.</w:t>
            </w:r>
          </w:p>
        </w:tc>
      </w:tr>
    </w:tbl>
    <w:p w14:paraId="532FEBC3" w14:textId="77777777" w:rsidR="00DF32B7" w:rsidRPr="00B24A80" w:rsidRDefault="00DF32B7">
      <w:pPr>
        <w:spacing w:line="276" w:lineRule="auto"/>
        <w:rPr>
          <w:rFonts w:asciiTheme="majorHAnsi" w:eastAsia="Calibri" w:hAnsiTheme="majorHAnsi" w:cstheme="majorHAnsi"/>
          <w:i/>
          <w:sz w:val="22"/>
          <w:szCs w:val="22"/>
        </w:rPr>
      </w:pPr>
    </w:p>
    <w:p w14:paraId="67FD8CE3" w14:textId="2C620FD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Uso de suelo Comercial y de Servicios. -</w:t>
      </w:r>
      <w:r w:rsidRPr="00B24A80">
        <w:rPr>
          <w:rFonts w:asciiTheme="majorHAnsi" w:eastAsia="Calibri" w:hAnsiTheme="majorHAnsi" w:cstheme="majorHAnsi"/>
          <w:szCs w:val="22"/>
        </w:rPr>
        <w:t xml:space="preserve"> Es el suelo destinado a actividades de intercambio de bienes y servicios en diferentes escalas y coberturas, en uso exclusivo o combinados con otros usos de suelo en áreas del territorio, predios independientes y edificaciones.</w:t>
      </w:r>
    </w:p>
    <w:p w14:paraId="6C20F9E1" w14:textId="3FD49458" w:rsidR="008F5B10" w:rsidRPr="00B24A80" w:rsidRDefault="008F5B10" w:rsidP="008F5B10">
      <w:pPr>
        <w:pStyle w:val="Descripcin"/>
        <w:rPr>
          <w:rFonts w:cstheme="majorHAnsi"/>
          <w:sz w:val="22"/>
          <w:szCs w:val="22"/>
        </w:rPr>
      </w:pPr>
      <w:bookmarkStart w:id="91" w:name="_heading=h.vx1227" w:colFirst="0" w:colLast="0"/>
      <w:bookmarkStart w:id="92" w:name="_Toc81085718"/>
      <w:bookmarkEnd w:id="91"/>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4</w:t>
      </w:r>
      <w:r w:rsidR="00203216" w:rsidRPr="00B24A80">
        <w:rPr>
          <w:rFonts w:cstheme="majorHAnsi"/>
          <w:noProof/>
          <w:sz w:val="22"/>
          <w:szCs w:val="22"/>
        </w:rPr>
        <w:fldChar w:fldCharType="end"/>
      </w:r>
      <w:r w:rsidRPr="00B24A80">
        <w:rPr>
          <w:rFonts w:cstheme="majorHAnsi"/>
          <w:sz w:val="22"/>
          <w:szCs w:val="22"/>
        </w:rPr>
        <w:t>. Clasificación del Uso de Suelo Comercial y de Servicios.</w:t>
      </w:r>
      <w:bookmarkEnd w:id="92"/>
    </w:p>
    <w:p w14:paraId="7A378C63" w14:textId="2035B3E9" w:rsidR="00D75DF4" w:rsidRPr="00B24A80" w:rsidRDefault="00D75DF4" w:rsidP="00D75DF4">
      <w:pPr>
        <w:rPr>
          <w:sz w:val="22"/>
          <w:szCs w:val="22"/>
        </w:rPr>
      </w:pPr>
    </w:p>
    <w:tbl>
      <w:tblPr>
        <w:tblStyle w:val="afffb"/>
        <w:tblW w:w="8478" w:type="dxa"/>
        <w:tblInd w:w="0" w:type="dxa"/>
        <w:tblLayout w:type="fixed"/>
        <w:tblLook w:val="0400" w:firstRow="0" w:lastRow="0" w:firstColumn="0" w:lastColumn="0" w:noHBand="0" w:noVBand="1"/>
      </w:tblPr>
      <w:tblGrid>
        <w:gridCol w:w="699"/>
        <w:gridCol w:w="1732"/>
        <w:gridCol w:w="719"/>
        <w:gridCol w:w="5078"/>
        <w:gridCol w:w="250"/>
      </w:tblGrid>
      <w:tr w:rsidR="00DC27E8" w:rsidRPr="00B24A80" w14:paraId="07C47C0F" w14:textId="77777777" w:rsidTr="00F0459B">
        <w:trPr>
          <w:gridAfter w:val="1"/>
          <w:wAfter w:w="250" w:type="dxa"/>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3E1CCA7F" w14:textId="77777777" w:rsidR="00DC27E8" w:rsidRPr="00B24A80" w:rsidRDefault="007F5505">
            <w:pPr>
              <w:jc w:val="center"/>
              <w:rPr>
                <w:rFonts w:asciiTheme="majorHAnsi" w:eastAsia="Calibri" w:hAnsiTheme="majorHAnsi" w:cstheme="majorHAnsi"/>
                <w:b/>
                <w:color w:val="000000"/>
              </w:rPr>
            </w:pPr>
            <w:r w:rsidRPr="00B24A80">
              <w:rPr>
                <w:rFonts w:asciiTheme="majorHAnsi" w:eastAsia="Calibri" w:hAnsiTheme="majorHAnsi" w:cstheme="majorHAnsi"/>
                <w:b/>
                <w:color w:val="000000"/>
              </w:rPr>
              <w:t>USO</w:t>
            </w:r>
          </w:p>
        </w:tc>
        <w:tc>
          <w:tcPr>
            <w:tcW w:w="1732" w:type="dxa"/>
            <w:tcBorders>
              <w:top w:val="single" w:sz="8" w:space="0" w:color="000000"/>
              <w:left w:val="nil"/>
              <w:bottom w:val="single" w:sz="8" w:space="0" w:color="000000"/>
              <w:right w:val="single" w:sz="8" w:space="0" w:color="000000"/>
            </w:tcBorders>
            <w:shd w:val="clear" w:color="auto" w:fill="BFBFBF"/>
            <w:vAlign w:val="center"/>
          </w:tcPr>
          <w:p w14:paraId="71913104" w14:textId="77777777" w:rsidR="00DC27E8" w:rsidRPr="00B24A80" w:rsidRDefault="007F5505">
            <w:pPr>
              <w:jc w:val="center"/>
              <w:rPr>
                <w:rFonts w:asciiTheme="majorHAnsi" w:eastAsia="Calibri" w:hAnsiTheme="majorHAnsi" w:cstheme="majorHAnsi"/>
                <w:b/>
                <w:color w:val="000000"/>
              </w:rPr>
            </w:pPr>
            <w:r w:rsidRPr="00B24A80">
              <w:rPr>
                <w:rFonts w:asciiTheme="majorHAnsi" w:eastAsia="Calibri" w:hAnsiTheme="majorHAnsi" w:cstheme="majorHAnsi"/>
                <w:b/>
              </w:rPr>
              <w:t>TIPOLOGIA</w:t>
            </w:r>
          </w:p>
        </w:tc>
        <w:tc>
          <w:tcPr>
            <w:tcW w:w="719" w:type="dxa"/>
            <w:tcBorders>
              <w:top w:val="single" w:sz="8" w:space="0" w:color="000000"/>
              <w:left w:val="nil"/>
              <w:bottom w:val="single" w:sz="8" w:space="0" w:color="000000"/>
              <w:right w:val="single" w:sz="8" w:space="0" w:color="000000"/>
            </w:tcBorders>
            <w:shd w:val="clear" w:color="auto" w:fill="BFBFBF"/>
            <w:vAlign w:val="center"/>
          </w:tcPr>
          <w:p w14:paraId="6A126036" w14:textId="77777777" w:rsidR="00DC27E8" w:rsidRPr="00B24A80" w:rsidRDefault="007F5505">
            <w:pPr>
              <w:jc w:val="center"/>
              <w:rPr>
                <w:rFonts w:asciiTheme="majorHAnsi" w:eastAsia="Calibri" w:hAnsiTheme="majorHAnsi" w:cstheme="majorHAnsi"/>
                <w:b/>
                <w:color w:val="000000"/>
              </w:rPr>
            </w:pPr>
            <w:r w:rsidRPr="00B24A80">
              <w:rPr>
                <w:rFonts w:asciiTheme="majorHAnsi" w:eastAsia="Calibri" w:hAnsiTheme="majorHAnsi" w:cstheme="majorHAnsi"/>
                <w:b/>
              </w:rPr>
              <w:t>SIMB.</w:t>
            </w:r>
          </w:p>
        </w:tc>
        <w:tc>
          <w:tcPr>
            <w:tcW w:w="5078" w:type="dxa"/>
            <w:tcBorders>
              <w:top w:val="single" w:sz="8" w:space="0" w:color="000000"/>
              <w:left w:val="nil"/>
              <w:bottom w:val="single" w:sz="8" w:space="0" w:color="000000"/>
              <w:right w:val="single" w:sz="8" w:space="0" w:color="000000"/>
            </w:tcBorders>
            <w:shd w:val="clear" w:color="auto" w:fill="BFBFBF"/>
            <w:vAlign w:val="center"/>
          </w:tcPr>
          <w:p w14:paraId="5E01D7E6" w14:textId="77777777" w:rsidR="00DC27E8" w:rsidRPr="00B24A80" w:rsidRDefault="007F5505">
            <w:pPr>
              <w:jc w:val="center"/>
              <w:rPr>
                <w:rFonts w:asciiTheme="majorHAnsi" w:eastAsia="Calibri" w:hAnsiTheme="majorHAnsi" w:cstheme="majorHAnsi"/>
                <w:b/>
                <w:color w:val="000000"/>
              </w:rPr>
            </w:pPr>
            <w:r w:rsidRPr="00B24A80">
              <w:rPr>
                <w:rFonts w:asciiTheme="majorHAnsi" w:eastAsia="Calibri" w:hAnsiTheme="majorHAnsi" w:cstheme="majorHAnsi"/>
                <w:b/>
              </w:rPr>
              <w:t>ACTIVIDADES / ESTABLECIMIENTOS</w:t>
            </w:r>
          </w:p>
        </w:tc>
      </w:tr>
      <w:tr w:rsidR="00DC27E8" w:rsidRPr="00B24A80" w14:paraId="3AF119F5" w14:textId="77777777" w:rsidTr="00F0459B">
        <w:trPr>
          <w:gridAfter w:val="1"/>
          <w:wAfter w:w="250" w:type="dxa"/>
          <w:trHeight w:val="960"/>
        </w:trPr>
        <w:tc>
          <w:tcPr>
            <w:tcW w:w="699" w:type="dxa"/>
            <w:vMerge w:val="restart"/>
            <w:tcBorders>
              <w:top w:val="nil"/>
              <w:left w:val="single" w:sz="8" w:space="0" w:color="000000"/>
              <w:bottom w:val="single" w:sz="8" w:space="0" w:color="000000"/>
              <w:right w:val="single" w:sz="8" w:space="0" w:color="000000"/>
            </w:tcBorders>
            <w:shd w:val="clear" w:color="auto" w:fill="D9D9D9"/>
            <w:textDirection w:val="btLr"/>
            <w:vAlign w:val="center"/>
          </w:tcPr>
          <w:p w14:paraId="17D7F556" w14:textId="77777777" w:rsidR="00DC27E8" w:rsidRPr="00B24A80" w:rsidRDefault="007F5505" w:rsidP="00E34BC9">
            <w:pPr>
              <w:ind w:left="113" w:right="113"/>
              <w:jc w:val="center"/>
              <w:rPr>
                <w:rFonts w:asciiTheme="majorHAnsi" w:eastAsia="Calibri" w:hAnsiTheme="majorHAnsi" w:cstheme="majorHAnsi"/>
                <w:b/>
                <w:color w:val="000000"/>
              </w:rPr>
            </w:pPr>
            <w:r w:rsidRPr="00B24A80">
              <w:rPr>
                <w:rFonts w:asciiTheme="majorHAnsi" w:eastAsia="Calibri" w:hAnsiTheme="majorHAnsi" w:cstheme="majorHAnsi"/>
                <w:b/>
              </w:rPr>
              <w:t xml:space="preserve">COMERCIO BARRIAL </w:t>
            </w:r>
          </w:p>
        </w:tc>
        <w:tc>
          <w:tcPr>
            <w:tcW w:w="1732" w:type="dxa"/>
            <w:vMerge w:val="restart"/>
            <w:tcBorders>
              <w:top w:val="nil"/>
              <w:left w:val="single" w:sz="8" w:space="0" w:color="000000"/>
              <w:bottom w:val="single" w:sz="8" w:space="0" w:color="000000"/>
              <w:right w:val="single" w:sz="8" w:space="0" w:color="000000"/>
            </w:tcBorders>
            <w:shd w:val="clear" w:color="auto" w:fill="auto"/>
            <w:vAlign w:val="center"/>
          </w:tcPr>
          <w:p w14:paraId="52EBAC53"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Comercio Básico</w:t>
            </w:r>
          </w:p>
        </w:tc>
        <w:tc>
          <w:tcPr>
            <w:tcW w:w="719" w:type="dxa"/>
            <w:tcBorders>
              <w:top w:val="nil"/>
              <w:left w:val="nil"/>
              <w:bottom w:val="single" w:sz="8" w:space="0" w:color="000000"/>
              <w:right w:val="single" w:sz="8" w:space="0" w:color="000000"/>
            </w:tcBorders>
            <w:shd w:val="clear" w:color="auto" w:fill="D9D9D9"/>
            <w:vAlign w:val="center"/>
          </w:tcPr>
          <w:p w14:paraId="363EBBF4"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CB1A</w:t>
            </w:r>
          </w:p>
        </w:tc>
        <w:tc>
          <w:tcPr>
            <w:tcW w:w="5078" w:type="dxa"/>
            <w:tcBorders>
              <w:top w:val="nil"/>
              <w:left w:val="nil"/>
              <w:bottom w:val="single" w:sz="8" w:space="0" w:color="000000"/>
              <w:right w:val="single" w:sz="8" w:space="0" w:color="000000"/>
            </w:tcBorders>
            <w:shd w:val="clear" w:color="auto" w:fill="auto"/>
            <w:vAlign w:val="center"/>
          </w:tcPr>
          <w:p w14:paraId="1FBD4447"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Abarrotes, frigoríficos con venta de embutidos, bazares y similares, carnicerías, fruterías, panaderías, pastelerías, confiterías, heladerías, farmacias, boticas pequeñas, ferreterías, papelerías, venta de revistas y periódicos, micro-mercados, delicatesen, floristerías, fotocopiadoras, alquiles de videos.</w:t>
            </w:r>
          </w:p>
        </w:tc>
      </w:tr>
      <w:tr w:rsidR="00DC27E8" w:rsidRPr="00B24A80" w14:paraId="0EFB498D"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4E7D8E64"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tcBorders>
              <w:top w:val="nil"/>
              <w:left w:val="single" w:sz="8" w:space="0" w:color="000000"/>
              <w:bottom w:val="single" w:sz="8" w:space="0" w:color="000000"/>
              <w:right w:val="single" w:sz="8" w:space="0" w:color="000000"/>
            </w:tcBorders>
            <w:shd w:val="clear" w:color="auto" w:fill="auto"/>
            <w:vAlign w:val="center"/>
          </w:tcPr>
          <w:p w14:paraId="41CC699F"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719" w:type="dxa"/>
            <w:tcBorders>
              <w:top w:val="nil"/>
              <w:left w:val="nil"/>
              <w:bottom w:val="single" w:sz="8" w:space="0" w:color="000000"/>
              <w:right w:val="single" w:sz="8" w:space="0" w:color="000000"/>
            </w:tcBorders>
            <w:shd w:val="clear" w:color="auto" w:fill="D9D9D9"/>
            <w:vAlign w:val="center"/>
          </w:tcPr>
          <w:p w14:paraId="59FCC3B0"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CB1B</w:t>
            </w:r>
          </w:p>
        </w:tc>
        <w:tc>
          <w:tcPr>
            <w:tcW w:w="5078" w:type="dxa"/>
            <w:tcBorders>
              <w:top w:val="nil"/>
              <w:left w:val="nil"/>
              <w:bottom w:val="single" w:sz="8" w:space="0" w:color="000000"/>
              <w:right w:val="single" w:sz="8" w:space="0" w:color="000000"/>
            </w:tcBorders>
            <w:shd w:val="clear" w:color="auto" w:fill="auto"/>
            <w:vAlign w:val="center"/>
          </w:tcPr>
          <w:p w14:paraId="50EC295A"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Kioscos, cafeterías, restaurantes con ventas restringidas de bebidas alcohólicas.</w:t>
            </w:r>
          </w:p>
        </w:tc>
      </w:tr>
      <w:tr w:rsidR="00DC27E8" w:rsidRPr="00B24A80" w14:paraId="5E7B8E57"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5941504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39B0C9F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Servicios Básicos</w:t>
            </w:r>
          </w:p>
        </w:tc>
        <w:tc>
          <w:tcPr>
            <w:tcW w:w="719" w:type="dxa"/>
            <w:tcBorders>
              <w:top w:val="nil"/>
              <w:left w:val="nil"/>
              <w:bottom w:val="single" w:sz="8" w:space="0" w:color="000000"/>
              <w:right w:val="single" w:sz="8" w:space="0" w:color="000000"/>
            </w:tcBorders>
            <w:shd w:val="clear" w:color="auto" w:fill="D9D9D9"/>
            <w:vAlign w:val="center"/>
          </w:tcPr>
          <w:p w14:paraId="4E420331"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CB2</w:t>
            </w:r>
          </w:p>
        </w:tc>
        <w:tc>
          <w:tcPr>
            <w:tcW w:w="5078" w:type="dxa"/>
            <w:tcBorders>
              <w:top w:val="nil"/>
              <w:left w:val="nil"/>
              <w:bottom w:val="single" w:sz="8" w:space="0" w:color="000000"/>
              <w:right w:val="single" w:sz="8" w:space="0" w:color="000000"/>
            </w:tcBorders>
            <w:shd w:val="clear" w:color="auto" w:fill="auto"/>
            <w:vAlign w:val="center"/>
          </w:tcPr>
          <w:p w14:paraId="55815A8C"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Venta de muebles, recepción de ropa para lavado, servicios de limpieza y mantenimiento, lavado de alfombras y tapices, teñido de prendas, sastrerías, peluquerías, salones de belleza, zapaterías.</w:t>
            </w:r>
          </w:p>
        </w:tc>
      </w:tr>
      <w:tr w:rsidR="00DC27E8" w:rsidRPr="00B24A80" w14:paraId="660BC52D"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4510858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25DEA744"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 xml:space="preserve">Oficinas Administrativas (A) </w:t>
            </w:r>
          </w:p>
        </w:tc>
        <w:tc>
          <w:tcPr>
            <w:tcW w:w="719" w:type="dxa"/>
            <w:tcBorders>
              <w:top w:val="nil"/>
              <w:left w:val="nil"/>
              <w:bottom w:val="single" w:sz="8" w:space="0" w:color="000000"/>
              <w:right w:val="single" w:sz="8" w:space="0" w:color="000000"/>
            </w:tcBorders>
            <w:shd w:val="clear" w:color="auto" w:fill="D9D9D9"/>
            <w:vAlign w:val="center"/>
          </w:tcPr>
          <w:p w14:paraId="69C3A9C7"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CB3</w:t>
            </w:r>
          </w:p>
        </w:tc>
        <w:tc>
          <w:tcPr>
            <w:tcW w:w="5078" w:type="dxa"/>
            <w:tcBorders>
              <w:top w:val="nil"/>
              <w:left w:val="nil"/>
              <w:bottom w:val="single" w:sz="8" w:space="0" w:color="000000"/>
              <w:right w:val="single" w:sz="8" w:space="0" w:color="000000"/>
            </w:tcBorders>
            <w:shd w:val="clear" w:color="auto" w:fill="auto"/>
            <w:vAlign w:val="center"/>
          </w:tcPr>
          <w:p w14:paraId="12551B7A"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Oficinas privadas y públicas individuales has 120m2.</w:t>
            </w:r>
          </w:p>
        </w:tc>
      </w:tr>
      <w:tr w:rsidR="00DC27E8" w:rsidRPr="00B24A80" w14:paraId="4873BDA9"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6C982F7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25625D3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Alojamiento Doméstico (A)</w:t>
            </w:r>
          </w:p>
        </w:tc>
        <w:tc>
          <w:tcPr>
            <w:tcW w:w="719" w:type="dxa"/>
            <w:tcBorders>
              <w:top w:val="nil"/>
              <w:left w:val="nil"/>
              <w:bottom w:val="single" w:sz="8" w:space="0" w:color="000000"/>
              <w:right w:val="single" w:sz="8" w:space="0" w:color="000000"/>
            </w:tcBorders>
            <w:shd w:val="clear" w:color="auto" w:fill="D9D9D9"/>
            <w:vAlign w:val="center"/>
          </w:tcPr>
          <w:p w14:paraId="49A01287"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CB4</w:t>
            </w:r>
          </w:p>
        </w:tc>
        <w:tc>
          <w:tcPr>
            <w:tcW w:w="5078" w:type="dxa"/>
            <w:tcBorders>
              <w:top w:val="nil"/>
              <w:left w:val="nil"/>
              <w:bottom w:val="single" w:sz="8" w:space="0" w:color="000000"/>
              <w:right w:val="single" w:sz="8" w:space="0" w:color="000000"/>
            </w:tcBorders>
            <w:shd w:val="clear" w:color="auto" w:fill="auto"/>
            <w:vAlign w:val="center"/>
          </w:tcPr>
          <w:p w14:paraId="1CF39A50"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Casa de huéspedes, posadas, residencias estudiantiles con menos de 6 habitaciones.</w:t>
            </w:r>
          </w:p>
        </w:tc>
      </w:tr>
      <w:tr w:rsidR="00DC27E8" w:rsidRPr="00B24A80" w14:paraId="403322A3" w14:textId="77777777" w:rsidTr="00F0459B">
        <w:trPr>
          <w:gridAfter w:val="1"/>
          <w:wAfter w:w="250" w:type="dxa"/>
          <w:trHeight w:val="3165"/>
        </w:trPr>
        <w:tc>
          <w:tcPr>
            <w:tcW w:w="699" w:type="dxa"/>
            <w:vMerge w:val="restart"/>
            <w:tcBorders>
              <w:top w:val="nil"/>
              <w:left w:val="single" w:sz="8" w:space="0" w:color="000000"/>
              <w:bottom w:val="single" w:sz="8" w:space="0" w:color="000000"/>
              <w:right w:val="single" w:sz="8" w:space="0" w:color="000000"/>
            </w:tcBorders>
            <w:shd w:val="clear" w:color="auto" w:fill="D9D9D9"/>
            <w:textDirection w:val="btLr"/>
            <w:vAlign w:val="center"/>
          </w:tcPr>
          <w:p w14:paraId="1B3FEAFE" w14:textId="77777777" w:rsidR="00DC27E8" w:rsidRPr="00B24A80" w:rsidRDefault="007F5505" w:rsidP="00E34BC9">
            <w:pPr>
              <w:ind w:left="113" w:right="113"/>
              <w:jc w:val="center"/>
              <w:rPr>
                <w:rFonts w:asciiTheme="majorHAnsi" w:eastAsia="Calibri" w:hAnsiTheme="majorHAnsi" w:cstheme="majorHAnsi"/>
                <w:b/>
                <w:color w:val="000000"/>
              </w:rPr>
            </w:pPr>
            <w:r w:rsidRPr="00B24A80">
              <w:rPr>
                <w:rFonts w:asciiTheme="majorHAnsi" w:eastAsia="Calibri" w:hAnsiTheme="majorHAnsi" w:cstheme="majorHAnsi"/>
                <w:b/>
              </w:rPr>
              <w:lastRenderedPageBreak/>
              <w:t>COMERCIO SECTORIAL</w:t>
            </w:r>
          </w:p>
        </w:tc>
        <w:tc>
          <w:tcPr>
            <w:tcW w:w="1732" w:type="dxa"/>
            <w:vMerge w:val="restart"/>
            <w:tcBorders>
              <w:top w:val="nil"/>
              <w:left w:val="single" w:sz="8" w:space="0" w:color="000000"/>
              <w:bottom w:val="single" w:sz="8" w:space="0" w:color="000000"/>
              <w:right w:val="single" w:sz="8" w:space="0" w:color="000000"/>
            </w:tcBorders>
            <w:shd w:val="clear" w:color="auto" w:fill="auto"/>
            <w:vAlign w:val="center"/>
          </w:tcPr>
          <w:p w14:paraId="7E26C9A4"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Comercios Especializados</w:t>
            </w:r>
          </w:p>
        </w:tc>
        <w:tc>
          <w:tcPr>
            <w:tcW w:w="719" w:type="dxa"/>
            <w:tcBorders>
              <w:top w:val="nil"/>
              <w:left w:val="nil"/>
              <w:bottom w:val="single" w:sz="8" w:space="0" w:color="000000"/>
              <w:right w:val="single" w:sz="8" w:space="0" w:color="000000"/>
            </w:tcBorders>
            <w:shd w:val="clear" w:color="auto" w:fill="D9D9D9"/>
            <w:vAlign w:val="center"/>
          </w:tcPr>
          <w:p w14:paraId="3112A1B3"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CS1A</w:t>
            </w:r>
          </w:p>
        </w:tc>
        <w:tc>
          <w:tcPr>
            <w:tcW w:w="5078" w:type="dxa"/>
            <w:tcBorders>
              <w:top w:val="nil"/>
              <w:left w:val="nil"/>
              <w:bottom w:val="single" w:sz="8" w:space="0" w:color="000000"/>
              <w:right w:val="single" w:sz="8" w:space="0" w:color="000000"/>
            </w:tcBorders>
            <w:shd w:val="clear" w:color="auto" w:fill="auto"/>
            <w:vAlign w:val="center"/>
          </w:tcPr>
          <w:p w14:paraId="32D21317"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Alfombras, telas y cortinas, antigüedades y regalos, artículos de decoración , artículos de cristalerías, porcelana y cerámica, equipos de iluminación y sonido, artículos para el hogar en general, deportivos y de oficina ventas de bicicletas y motocicletas, distribuidores de flores y artículos de jardinería, galerías de artes, artículos de dibujo y fotografías, instrumentos musicales, discos ( audio y video), joyerías, relojerías, ópticas, jugueterías, venta de mascotas, electrodomésticos, librerías, licorerías (venta de botellas cerradas), mueblerías, muebles y accesorios de baño, venta de ropa, almacén de zapatos, repuestos y accesorios para automóviles (sin taller), venta de llantas, venta de pinturas, vidrierías y espejos, internet, cabinas telefónicas, café net y similares, ferreterías medianas, comidas rápidas, centros de cosmetología y masajes terapéuticos, baños turcos y sauna, centros de reacondicionamiento físico y servicios vinculados con la salud y belleza (spa), venta, alimento y accesorios para mascotas.</w:t>
            </w:r>
          </w:p>
        </w:tc>
      </w:tr>
      <w:tr w:rsidR="00DC27E8" w:rsidRPr="00B24A80" w14:paraId="640F4FF8"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04C4936C"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tcBorders>
              <w:top w:val="nil"/>
              <w:left w:val="single" w:sz="8" w:space="0" w:color="000000"/>
              <w:bottom w:val="single" w:sz="8" w:space="0" w:color="000000"/>
              <w:right w:val="single" w:sz="8" w:space="0" w:color="000000"/>
            </w:tcBorders>
            <w:shd w:val="clear" w:color="auto" w:fill="auto"/>
            <w:vAlign w:val="center"/>
          </w:tcPr>
          <w:p w14:paraId="04583F4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719" w:type="dxa"/>
            <w:tcBorders>
              <w:top w:val="nil"/>
              <w:left w:val="nil"/>
              <w:bottom w:val="single" w:sz="8" w:space="0" w:color="000000"/>
              <w:right w:val="single" w:sz="8" w:space="0" w:color="000000"/>
            </w:tcBorders>
            <w:shd w:val="clear" w:color="auto" w:fill="D9D9D9"/>
            <w:vAlign w:val="center"/>
          </w:tcPr>
          <w:p w14:paraId="48810EC4"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CS1B</w:t>
            </w:r>
          </w:p>
        </w:tc>
        <w:tc>
          <w:tcPr>
            <w:tcW w:w="5078" w:type="dxa"/>
            <w:tcBorders>
              <w:top w:val="nil"/>
              <w:left w:val="nil"/>
              <w:bottom w:val="single" w:sz="8" w:space="0" w:color="000000"/>
              <w:right w:val="single" w:sz="8" w:space="0" w:color="000000"/>
            </w:tcBorders>
            <w:shd w:val="clear" w:color="auto" w:fill="auto"/>
            <w:vAlign w:val="center"/>
          </w:tcPr>
          <w:p w14:paraId="1A204BF9"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Artesanías.</w:t>
            </w:r>
          </w:p>
        </w:tc>
      </w:tr>
      <w:tr w:rsidR="00DC27E8" w:rsidRPr="00B24A80" w14:paraId="1797E9FD" w14:textId="77777777" w:rsidTr="00F0459B">
        <w:trPr>
          <w:gridAfter w:val="1"/>
          <w:wAfter w:w="250" w:type="dxa"/>
          <w:trHeight w:val="159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3A7BC5F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39678681"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Servicios Especializados: (A)</w:t>
            </w:r>
          </w:p>
        </w:tc>
        <w:tc>
          <w:tcPr>
            <w:tcW w:w="719" w:type="dxa"/>
            <w:tcBorders>
              <w:top w:val="nil"/>
              <w:left w:val="nil"/>
              <w:bottom w:val="single" w:sz="8" w:space="0" w:color="000000"/>
              <w:right w:val="single" w:sz="8" w:space="0" w:color="000000"/>
            </w:tcBorders>
            <w:shd w:val="clear" w:color="auto" w:fill="D9D9D9"/>
            <w:vAlign w:val="center"/>
          </w:tcPr>
          <w:p w14:paraId="539FC58C"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CS2</w:t>
            </w:r>
          </w:p>
        </w:tc>
        <w:tc>
          <w:tcPr>
            <w:tcW w:w="5078" w:type="dxa"/>
            <w:tcBorders>
              <w:top w:val="nil"/>
              <w:left w:val="nil"/>
              <w:bottom w:val="single" w:sz="8" w:space="0" w:color="000000"/>
              <w:right w:val="single" w:sz="8" w:space="0" w:color="000000"/>
            </w:tcBorders>
            <w:shd w:val="clear" w:color="auto" w:fill="auto"/>
            <w:vAlign w:val="center"/>
          </w:tcPr>
          <w:p w14:paraId="336A7F06"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Sucursales bancarias, cajas de ahorro, cooperativas financieras. Agencias de viaje, servicios de papelería e impresión, laboratorios médicos y dentales, consultorios médicos y dentales hasta 5 unidades, renta de vehículos y alquile de artículos en general, reparación de electrodomésticos, reparación de relojes, reparación de joyas, talleres fotográficos, sala de danza y baile académico. Consignación de gaseosas. Consultorios y clínicas veterinarias. Entrega de correspondencia y paquetes.</w:t>
            </w:r>
          </w:p>
        </w:tc>
      </w:tr>
      <w:tr w:rsidR="00DC27E8" w:rsidRPr="00B24A80" w14:paraId="1F3D1AF0" w14:textId="77777777" w:rsidTr="00F0459B">
        <w:trPr>
          <w:gridAfter w:val="1"/>
          <w:wAfter w:w="250" w:type="dxa"/>
          <w:trHeight w:val="159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39F85C76"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07FFF4A3"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Servicios  Especializados: (A)</w:t>
            </w:r>
          </w:p>
        </w:tc>
        <w:tc>
          <w:tcPr>
            <w:tcW w:w="719" w:type="dxa"/>
            <w:tcBorders>
              <w:top w:val="nil"/>
              <w:left w:val="nil"/>
              <w:bottom w:val="single" w:sz="8" w:space="0" w:color="000000"/>
              <w:right w:val="single" w:sz="8" w:space="0" w:color="000000"/>
            </w:tcBorders>
            <w:shd w:val="clear" w:color="auto" w:fill="D9D9D9"/>
            <w:vAlign w:val="center"/>
          </w:tcPr>
          <w:p w14:paraId="0158B58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CS3</w:t>
            </w:r>
          </w:p>
        </w:tc>
        <w:tc>
          <w:tcPr>
            <w:tcW w:w="5078" w:type="dxa"/>
            <w:tcBorders>
              <w:top w:val="nil"/>
              <w:left w:val="nil"/>
              <w:bottom w:val="single" w:sz="8" w:space="0" w:color="000000"/>
              <w:right w:val="single" w:sz="8" w:space="0" w:color="000000"/>
            </w:tcBorders>
            <w:shd w:val="clear" w:color="auto" w:fill="auto"/>
            <w:vAlign w:val="center"/>
          </w:tcPr>
          <w:p w14:paraId="4339E619"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Cambio de aceite, lavadoras de autos y lubricadoras, gasolineras y estaciones de servicio, distribución al por menor de gas menos de 250 cilindros de 50 kg., mecánica livianas, mecánicas semipesados, mecánica general, electricidad automotriz, vidriería automotriz, mecánica d motos, pintura automotriz, chapistería, mecánica eléctrica, vulcanizadoras, fibra de vidrio, refrigeración, mecánica de bicicletas, mecánica de precisión y patio de venta de vehículos livianos.</w:t>
            </w:r>
          </w:p>
        </w:tc>
      </w:tr>
      <w:tr w:rsidR="00DC27E8" w:rsidRPr="00B24A80" w14:paraId="482D33EA"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063F1D91"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3E5DF5E1"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Comercio de Menor Escala</w:t>
            </w:r>
          </w:p>
        </w:tc>
        <w:tc>
          <w:tcPr>
            <w:tcW w:w="719" w:type="dxa"/>
            <w:tcBorders>
              <w:top w:val="nil"/>
              <w:left w:val="nil"/>
              <w:bottom w:val="single" w:sz="8" w:space="0" w:color="000000"/>
              <w:right w:val="single" w:sz="8" w:space="0" w:color="000000"/>
            </w:tcBorders>
            <w:shd w:val="clear" w:color="auto" w:fill="D9D9D9"/>
            <w:vAlign w:val="center"/>
          </w:tcPr>
          <w:p w14:paraId="35AE870A"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CS4</w:t>
            </w:r>
          </w:p>
        </w:tc>
        <w:tc>
          <w:tcPr>
            <w:tcW w:w="5078" w:type="dxa"/>
            <w:tcBorders>
              <w:top w:val="nil"/>
              <w:left w:val="nil"/>
              <w:bottom w:val="single" w:sz="8" w:space="0" w:color="000000"/>
              <w:right w:val="single" w:sz="8" w:space="0" w:color="000000"/>
            </w:tcBorders>
            <w:shd w:val="clear" w:color="auto" w:fill="auto"/>
            <w:vAlign w:val="center"/>
          </w:tcPr>
          <w:p w14:paraId="037F5D5C"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Patio de comidas, bodegaje de artículos de reciclaje (vidrio, cartón, papel, plástico). Centros comerciales de hasta 1000 m2 de área útil, almacenes por departamentos, comisariatos institucionales.</w:t>
            </w:r>
          </w:p>
        </w:tc>
      </w:tr>
      <w:tr w:rsidR="00DC27E8" w:rsidRPr="00B24A80" w14:paraId="770FD963" w14:textId="77777777" w:rsidTr="00F0459B">
        <w:trPr>
          <w:gridAfter w:val="1"/>
          <w:wAfter w:w="250" w:type="dxa"/>
          <w:trHeight w:val="31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092D794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nil"/>
              <w:right w:val="single" w:sz="8" w:space="0" w:color="000000"/>
            </w:tcBorders>
            <w:shd w:val="clear" w:color="auto" w:fill="auto"/>
            <w:vAlign w:val="center"/>
          </w:tcPr>
          <w:p w14:paraId="3091F6B4"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 xml:space="preserve">Comercio </w:t>
            </w:r>
          </w:p>
        </w:tc>
        <w:tc>
          <w:tcPr>
            <w:tcW w:w="719" w:type="dxa"/>
            <w:vMerge w:val="restart"/>
            <w:tcBorders>
              <w:top w:val="nil"/>
              <w:left w:val="single" w:sz="8" w:space="0" w:color="000000"/>
              <w:bottom w:val="single" w:sz="8" w:space="0" w:color="000000"/>
              <w:right w:val="single" w:sz="8" w:space="0" w:color="000000"/>
            </w:tcBorders>
            <w:shd w:val="clear" w:color="auto" w:fill="D9D9D9"/>
            <w:vAlign w:val="center"/>
          </w:tcPr>
          <w:p w14:paraId="6AB2186D"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CS5</w:t>
            </w:r>
          </w:p>
        </w:tc>
        <w:tc>
          <w:tcPr>
            <w:tcW w:w="5078" w:type="dxa"/>
            <w:vMerge w:val="restart"/>
            <w:tcBorders>
              <w:top w:val="nil"/>
              <w:left w:val="single" w:sz="8" w:space="0" w:color="000000"/>
              <w:bottom w:val="single" w:sz="8" w:space="0" w:color="000000"/>
              <w:right w:val="single" w:sz="8" w:space="0" w:color="000000"/>
            </w:tcBorders>
            <w:shd w:val="clear" w:color="auto" w:fill="auto"/>
            <w:vAlign w:val="center"/>
          </w:tcPr>
          <w:p w14:paraId="4D6000E9"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Ferias temporales, espectáculos teatrales, recreativos.</w:t>
            </w:r>
          </w:p>
        </w:tc>
      </w:tr>
      <w:tr w:rsidR="00DC27E8" w:rsidRPr="00B24A80" w14:paraId="1E4726E7"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361396A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2886C5CE"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Temporal</w:t>
            </w:r>
          </w:p>
        </w:tc>
        <w:tc>
          <w:tcPr>
            <w:tcW w:w="719" w:type="dxa"/>
            <w:vMerge/>
            <w:tcBorders>
              <w:top w:val="nil"/>
              <w:left w:val="single" w:sz="8" w:space="0" w:color="000000"/>
              <w:bottom w:val="single" w:sz="8" w:space="0" w:color="000000"/>
              <w:right w:val="single" w:sz="8" w:space="0" w:color="000000"/>
            </w:tcBorders>
            <w:shd w:val="clear" w:color="auto" w:fill="D9D9D9"/>
            <w:vAlign w:val="center"/>
          </w:tcPr>
          <w:p w14:paraId="555F3A77"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5078" w:type="dxa"/>
            <w:vMerge/>
            <w:tcBorders>
              <w:top w:val="nil"/>
              <w:left w:val="single" w:sz="8" w:space="0" w:color="000000"/>
              <w:bottom w:val="single" w:sz="8" w:space="0" w:color="000000"/>
              <w:right w:val="single" w:sz="8" w:space="0" w:color="000000"/>
            </w:tcBorders>
            <w:shd w:val="clear" w:color="auto" w:fill="auto"/>
            <w:vAlign w:val="center"/>
          </w:tcPr>
          <w:p w14:paraId="4152BDC6"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r>
      <w:tr w:rsidR="00DC27E8" w:rsidRPr="00B24A80" w14:paraId="488F7C5B"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2AAC3AD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2C594808"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 xml:space="preserve">Oficinas Administrativas (B) </w:t>
            </w:r>
          </w:p>
        </w:tc>
        <w:tc>
          <w:tcPr>
            <w:tcW w:w="719" w:type="dxa"/>
            <w:tcBorders>
              <w:top w:val="nil"/>
              <w:left w:val="nil"/>
              <w:bottom w:val="single" w:sz="8" w:space="0" w:color="000000"/>
              <w:right w:val="single" w:sz="8" w:space="0" w:color="000000"/>
            </w:tcBorders>
            <w:shd w:val="clear" w:color="auto" w:fill="D9D9D9"/>
            <w:vAlign w:val="center"/>
          </w:tcPr>
          <w:p w14:paraId="782D2827"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CS6</w:t>
            </w:r>
          </w:p>
        </w:tc>
        <w:tc>
          <w:tcPr>
            <w:tcW w:w="5078" w:type="dxa"/>
            <w:tcBorders>
              <w:top w:val="nil"/>
              <w:left w:val="nil"/>
              <w:bottom w:val="single" w:sz="8" w:space="0" w:color="000000"/>
              <w:right w:val="single" w:sz="8" w:space="0" w:color="000000"/>
            </w:tcBorders>
            <w:shd w:val="clear" w:color="auto" w:fill="auto"/>
            <w:vAlign w:val="center"/>
          </w:tcPr>
          <w:p w14:paraId="776A6AC8"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Edificios de oficinas privadas, públicas y corporativas.</w:t>
            </w:r>
          </w:p>
        </w:tc>
      </w:tr>
      <w:tr w:rsidR="00DC27E8" w:rsidRPr="00B24A80" w14:paraId="7490542C"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43A2991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val="restart"/>
            <w:tcBorders>
              <w:top w:val="nil"/>
              <w:left w:val="single" w:sz="8" w:space="0" w:color="000000"/>
              <w:bottom w:val="single" w:sz="8" w:space="0" w:color="000000"/>
              <w:right w:val="single" w:sz="8" w:space="0" w:color="000000"/>
            </w:tcBorders>
            <w:shd w:val="clear" w:color="auto" w:fill="auto"/>
            <w:vAlign w:val="center"/>
          </w:tcPr>
          <w:p w14:paraId="4FD7954B"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Alojamiento (B)</w:t>
            </w:r>
          </w:p>
        </w:tc>
        <w:tc>
          <w:tcPr>
            <w:tcW w:w="719" w:type="dxa"/>
            <w:tcBorders>
              <w:top w:val="nil"/>
              <w:left w:val="nil"/>
              <w:bottom w:val="single" w:sz="8" w:space="0" w:color="000000"/>
              <w:right w:val="single" w:sz="8" w:space="0" w:color="000000"/>
            </w:tcBorders>
            <w:shd w:val="clear" w:color="auto" w:fill="D9D9D9"/>
            <w:vAlign w:val="center"/>
          </w:tcPr>
          <w:p w14:paraId="1C872FD8"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CS7A</w:t>
            </w:r>
          </w:p>
        </w:tc>
        <w:tc>
          <w:tcPr>
            <w:tcW w:w="5078" w:type="dxa"/>
            <w:tcBorders>
              <w:top w:val="nil"/>
              <w:left w:val="nil"/>
              <w:bottom w:val="single" w:sz="8" w:space="0" w:color="000000"/>
              <w:right w:val="single" w:sz="8" w:space="0" w:color="000000"/>
            </w:tcBorders>
            <w:shd w:val="clear" w:color="auto" w:fill="auto"/>
            <w:vAlign w:val="center"/>
          </w:tcPr>
          <w:p w14:paraId="094343E5"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Residenciales, hostales, hosterías y apart-hoteles, pensiones, mesones, servicios de hotel-albergue mayor a 6 hasta 30 habitaciones.</w:t>
            </w:r>
          </w:p>
        </w:tc>
      </w:tr>
      <w:tr w:rsidR="00DC27E8" w:rsidRPr="00B24A80" w14:paraId="4232E413"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5FFA0DB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tcBorders>
              <w:top w:val="nil"/>
              <w:left w:val="single" w:sz="8" w:space="0" w:color="000000"/>
              <w:bottom w:val="single" w:sz="8" w:space="0" w:color="000000"/>
              <w:right w:val="single" w:sz="8" w:space="0" w:color="000000"/>
            </w:tcBorders>
            <w:shd w:val="clear" w:color="auto" w:fill="auto"/>
            <w:vAlign w:val="center"/>
          </w:tcPr>
          <w:p w14:paraId="16ED683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719" w:type="dxa"/>
            <w:tcBorders>
              <w:top w:val="nil"/>
              <w:left w:val="nil"/>
              <w:bottom w:val="single" w:sz="8" w:space="0" w:color="000000"/>
              <w:right w:val="single" w:sz="8" w:space="0" w:color="000000"/>
            </w:tcBorders>
            <w:shd w:val="clear" w:color="auto" w:fill="D9D9D9"/>
            <w:vAlign w:val="center"/>
          </w:tcPr>
          <w:p w14:paraId="2CC40968"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CS7B</w:t>
            </w:r>
          </w:p>
        </w:tc>
        <w:tc>
          <w:tcPr>
            <w:tcW w:w="5078" w:type="dxa"/>
            <w:tcBorders>
              <w:top w:val="nil"/>
              <w:left w:val="nil"/>
              <w:bottom w:val="single" w:sz="8" w:space="0" w:color="000000"/>
              <w:right w:val="single" w:sz="8" w:space="0" w:color="000000"/>
            </w:tcBorders>
            <w:shd w:val="clear" w:color="auto" w:fill="auto"/>
            <w:vAlign w:val="center"/>
          </w:tcPr>
          <w:p w14:paraId="77A9A52F"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Cabañas ecológicas, campamentos, refugios, hostales rústicos menos de 6 habitaciones.</w:t>
            </w:r>
          </w:p>
        </w:tc>
      </w:tr>
      <w:tr w:rsidR="00DC27E8" w:rsidRPr="00B24A80" w14:paraId="3E121BD3"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35648B3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6D3E70E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Centro de Juegos</w:t>
            </w:r>
          </w:p>
        </w:tc>
        <w:tc>
          <w:tcPr>
            <w:tcW w:w="719" w:type="dxa"/>
            <w:tcBorders>
              <w:top w:val="nil"/>
              <w:left w:val="nil"/>
              <w:bottom w:val="single" w:sz="8" w:space="0" w:color="000000"/>
              <w:right w:val="single" w:sz="8" w:space="0" w:color="000000"/>
            </w:tcBorders>
            <w:shd w:val="clear" w:color="auto" w:fill="D9D9D9"/>
            <w:vAlign w:val="center"/>
          </w:tcPr>
          <w:p w14:paraId="0F7F6F7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CS8</w:t>
            </w:r>
          </w:p>
        </w:tc>
        <w:tc>
          <w:tcPr>
            <w:tcW w:w="5078" w:type="dxa"/>
            <w:tcBorders>
              <w:top w:val="nil"/>
              <w:left w:val="nil"/>
              <w:bottom w:val="single" w:sz="8" w:space="0" w:color="000000"/>
              <w:right w:val="single" w:sz="8" w:space="0" w:color="000000"/>
            </w:tcBorders>
            <w:shd w:val="clear" w:color="auto" w:fill="auto"/>
            <w:vAlign w:val="center"/>
          </w:tcPr>
          <w:p w14:paraId="26E5198E"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Juegos de salón, electrónicos y mecánicos sin apuesta o premios en dinero, salas de billar sin venta de licor, ping pong, bingos, salas de bolos.</w:t>
            </w:r>
          </w:p>
        </w:tc>
      </w:tr>
      <w:tr w:rsidR="00DC27E8" w:rsidRPr="00B24A80" w14:paraId="79779C20" w14:textId="77777777" w:rsidTr="00F0459B">
        <w:trPr>
          <w:gridAfter w:val="1"/>
          <w:wAfter w:w="250" w:type="dxa"/>
          <w:trHeight w:val="645"/>
        </w:trPr>
        <w:tc>
          <w:tcPr>
            <w:tcW w:w="699" w:type="dxa"/>
            <w:vMerge w:val="restart"/>
            <w:tcBorders>
              <w:top w:val="nil"/>
              <w:left w:val="single" w:sz="8" w:space="0" w:color="000000"/>
              <w:bottom w:val="single" w:sz="8" w:space="0" w:color="000000"/>
              <w:right w:val="single" w:sz="8" w:space="0" w:color="000000"/>
            </w:tcBorders>
            <w:shd w:val="clear" w:color="auto" w:fill="D9D9D9"/>
            <w:textDirection w:val="btLr"/>
            <w:vAlign w:val="center"/>
          </w:tcPr>
          <w:p w14:paraId="57C2532E" w14:textId="77777777" w:rsidR="00DC27E8" w:rsidRPr="00B24A80" w:rsidRDefault="007F5505" w:rsidP="00E34BC9">
            <w:pPr>
              <w:ind w:left="113" w:right="113"/>
              <w:jc w:val="center"/>
              <w:rPr>
                <w:rFonts w:asciiTheme="majorHAnsi" w:eastAsia="Calibri" w:hAnsiTheme="majorHAnsi" w:cstheme="majorHAnsi"/>
                <w:b/>
                <w:color w:val="000000"/>
              </w:rPr>
            </w:pPr>
            <w:r w:rsidRPr="00B24A80">
              <w:rPr>
                <w:rFonts w:asciiTheme="majorHAnsi" w:eastAsia="Calibri" w:hAnsiTheme="majorHAnsi" w:cstheme="majorHAnsi"/>
                <w:b/>
              </w:rPr>
              <w:t>COMERCIO  CIUDAD Y ZONAL</w:t>
            </w:r>
          </w:p>
        </w:tc>
        <w:tc>
          <w:tcPr>
            <w:tcW w:w="1732" w:type="dxa"/>
            <w:vMerge w:val="restart"/>
            <w:tcBorders>
              <w:top w:val="nil"/>
              <w:left w:val="single" w:sz="8" w:space="0" w:color="000000"/>
              <w:bottom w:val="single" w:sz="8" w:space="0" w:color="000000"/>
              <w:right w:val="single" w:sz="8" w:space="0" w:color="000000"/>
            </w:tcBorders>
            <w:shd w:val="clear" w:color="auto" w:fill="auto"/>
            <w:vAlign w:val="center"/>
          </w:tcPr>
          <w:p w14:paraId="54FDEA45"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Centro de Diversión</w:t>
            </w:r>
          </w:p>
        </w:tc>
        <w:tc>
          <w:tcPr>
            <w:tcW w:w="719" w:type="dxa"/>
            <w:tcBorders>
              <w:top w:val="nil"/>
              <w:left w:val="nil"/>
              <w:bottom w:val="single" w:sz="8" w:space="0" w:color="000000"/>
              <w:right w:val="single" w:sz="8" w:space="0" w:color="000000"/>
            </w:tcBorders>
            <w:shd w:val="clear" w:color="auto" w:fill="D9D9D9"/>
            <w:vAlign w:val="center"/>
          </w:tcPr>
          <w:p w14:paraId="2C113BC0"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CZ1A</w:t>
            </w:r>
          </w:p>
        </w:tc>
        <w:tc>
          <w:tcPr>
            <w:tcW w:w="5078" w:type="dxa"/>
            <w:tcBorders>
              <w:top w:val="nil"/>
              <w:left w:val="nil"/>
              <w:bottom w:val="single" w:sz="8" w:space="0" w:color="000000"/>
              <w:right w:val="single" w:sz="8" w:space="0" w:color="000000"/>
            </w:tcBorders>
            <w:shd w:val="clear" w:color="auto" w:fill="auto"/>
            <w:vAlign w:val="center"/>
          </w:tcPr>
          <w:p w14:paraId="2C2DF0B2"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Bares, billares con venta de licor, cantinas, video bar, karaoke, pool-bar, discotecas, peñas, salas de proyección para adultos.</w:t>
            </w:r>
          </w:p>
        </w:tc>
      </w:tr>
      <w:tr w:rsidR="00DC27E8" w:rsidRPr="00B24A80" w14:paraId="7027B1A8"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7CAD720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tcBorders>
              <w:top w:val="nil"/>
              <w:left w:val="single" w:sz="8" w:space="0" w:color="000000"/>
              <w:bottom w:val="single" w:sz="8" w:space="0" w:color="000000"/>
              <w:right w:val="single" w:sz="8" w:space="0" w:color="000000"/>
            </w:tcBorders>
            <w:shd w:val="clear" w:color="auto" w:fill="auto"/>
            <w:vAlign w:val="center"/>
          </w:tcPr>
          <w:p w14:paraId="24FD7BCC"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719" w:type="dxa"/>
            <w:tcBorders>
              <w:top w:val="nil"/>
              <w:left w:val="nil"/>
              <w:bottom w:val="single" w:sz="8" w:space="0" w:color="000000"/>
              <w:right w:val="single" w:sz="8" w:space="0" w:color="000000"/>
            </w:tcBorders>
            <w:shd w:val="clear" w:color="auto" w:fill="D9D9D9"/>
            <w:vAlign w:val="center"/>
          </w:tcPr>
          <w:p w14:paraId="2B830C90"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CZ1B</w:t>
            </w:r>
          </w:p>
        </w:tc>
        <w:tc>
          <w:tcPr>
            <w:tcW w:w="5078" w:type="dxa"/>
            <w:tcBorders>
              <w:top w:val="nil"/>
              <w:left w:val="nil"/>
              <w:bottom w:val="single" w:sz="8" w:space="0" w:color="000000"/>
              <w:right w:val="single" w:sz="8" w:space="0" w:color="000000"/>
            </w:tcBorders>
            <w:shd w:val="clear" w:color="auto" w:fill="auto"/>
            <w:vAlign w:val="center"/>
          </w:tcPr>
          <w:p w14:paraId="5D85C6C7"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Café-concierto, salones de banquetes y recepciones, casinos, juegos electrónicos y mecánicos con apuestas o premios en dinero.</w:t>
            </w:r>
          </w:p>
        </w:tc>
      </w:tr>
      <w:tr w:rsidR="00DC27E8" w:rsidRPr="00B24A80" w14:paraId="79C0AF1A" w14:textId="77777777" w:rsidTr="00F0459B">
        <w:trPr>
          <w:gridAfter w:val="1"/>
          <w:wAfter w:w="250" w:type="dxa"/>
          <w:trHeight w:val="96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3DD7736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0D738D3E"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Comercio y Servicios</w:t>
            </w:r>
          </w:p>
        </w:tc>
        <w:tc>
          <w:tcPr>
            <w:tcW w:w="719" w:type="dxa"/>
            <w:tcBorders>
              <w:top w:val="nil"/>
              <w:left w:val="nil"/>
              <w:bottom w:val="single" w:sz="8" w:space="0" w:color="000000"/>
              <w:right w:val="single" w:sz="8" w:space="0" w:color="000000"/>
            </w:tcBorders>
            <w:shd w:val="clear" w:color="auto" w:fill="D9D9D9"/>
            <w:vAlign w:val="center"/>
          </w:tcPr>
          <w:p w14:paraId="24FE2DE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CZ2</w:t>
            </w:r>
          </w:p>
        </w:tc>
        <w:tc>
          <w:tcPr>
            <w:tcW w:w="5078" w:type="dxa"/>
            <w:tcBorders>
              <w:top w:val="nil"/>
              <w:left w:val="nil"/>
              <w:bottom w:val="single" w:sz="8" w:space="0" w:color="000000"/>
              <w:right w:val="single" w:sz="8" w:space="0" w:color="000000"/>
            </w:tcBorders>
            <w:shd w:val="clear" w:color="auto" w:fill="auto"/>
            <w:vAlign w:val="center"/>
          </w:tcPr>
          <w:p w14:paraId="4634FC52"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Distribuidora de llantas y servicios, talleres mecánicos pesados, comercializadora de materiales y acabados de la construcción, centros de lavado en seco, centro ferretero, mudanzas, casas de empeño, distribuidoras de gas de hasta 500 cilindros de 50 kg.</w:t>
            </w:r>
          </w:p>
        </w:tc>
      </w:tr>
      <w:tr w:rsidR="00DC27E8" w:rsidRPr="00B24A80" w14:paraId="4CEDAEF4" w14:textId="77777777" w:rsidTr="00F0459B">
        <w:trPr>
          <w:gridAfter w:val="1"/>
          <w:wAfter w:w="250" w:type="dxa"/>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700A6610"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59FA6A1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Venta Vehículos y Maquinaria Liviana</w:t>
            </w:r>
          </w:p>
        </w:tc>
        <w:tc>
          <w:tcPr>
            <w:tcW w:w="719" w:type="dxa"/>
            <w:tcBorders>
              <w:top w:val="nil"/>
              <w:left w:val="nil"/>
              <w:bottom w:val="single" w:sz="8" w:space="0" w:color="000000"/>
              <w:right w:val="single" w:sz="8" w:space="0" w:color="000000"/>
            </w:tcBorders>
            <w:shd w:val="clear" w:color="auto" w:fill="D9D9D9"/>
            <w:vAlign w:val="center"/>
          </w:tcPr>
          <w:p w14:paraId="76C62045"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CZ3</w:t>
            </w:r>
          </w:p>
        </w:tc>
        <w:tc>
          <w:tcPr>
            <w:tcW w:w="5078" w:type="dxa"/>
            <w:tcBorders>
              <w:top w:val="nil"/>
              <w:left w:val="nil"/>
              <w:bottom w:val="single" w:sz="8" w:space="0" w:color="000000"/>
              <w:right w:val="single" w:sz="8" w:space="0" w:color="000000"/>
            </w:tcBorders>
            <w:shd w:val="clear" w:color="auto" w:fill="auto"/>
            <w:vAlign w:val="center"/>
          </w:tcPr>
          <w:p w14:paraId="29D0DE52"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Agencia y patio de vehículos (con taller en local cerrado), venta y renta de maquinaria liviana en general.</w:t>
            </w:r>
          </w:p>
        </w:tc>
      </w:tr>
      <w:tr w:rsidR="00DC27E8" w:rsidRPr="00B24A80" w14:paraId="73CAD05C"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555DA53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04977836"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Almacenes y Bodegas</w:t>
            </w:r>
          </w:p>
        </w:tc>
        <w:tc>
          <w:tcPr>
            <w:tcW w:w="719" w:type="dxa"/>
            <w:tcBorders>
              <w:top w:val="nil"/>
              <w:left w:val="nil"/>
              <w:bottom w:val="single" w:sz="8" w:space="0" w:color="000000"/>
              <w:right w:val="single" w:sz="8" w:space="0" w:color="000000"/>
            </w:tcBorders>
            <w:shd w:val="clear" w:color="auto" w:fill="D9D9D9"/>
            <w:vAlign w:val="center"/>
          </w:tcPr>
          <w:p w14:paraId="41EB6B8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CZ4</w:t>
            </w:r>
          </w:p>
        </w:tc>
        <w:tc>
          <w:tcPr>
            <w:tcW w:w="5078" w:type="dxa"/>
            <w:tcBorders>
              <w:top w:val="nil"/>
              <w:left w:val="nil"/>
              <w:bottom w:val="single" w:sz="8" w:space="0" w:color="000000"/>
              <w:right w:val="single" w:sz="8" w:space="0" w:color="000000"/>
            </w:tcBorders>
            <w:shd w:val="clear" w:color="auto" w:fill="auto"/>
            <w:vAlign w:val="center"/>
          </w:tcPr>
          <w:p w14:paraId="7F8A32C6"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Bodegas de productos (elaborados, empaquetados y envasados que impliquen alto riesgo), distribuidora de insumos alimenticios y agropecuarios, bodegas comerciales de productos perecibles y no perecibles.</w:t>
            </w:r>
          </w:p>
        </w:tc>
      </w:tr>
      <w:tr w:rsidR="00DC27E8" w:rsidRPr="00B24A80" w14:paraId="7C4D099F"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46A8522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4263ADCE"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Centros de Comercio</w:t>
            </w:r>
          </w:p>
        </w:tc>
        <w:tc>
          <w:tcPr>
            <w:tcW w:w="719" w:type="dxa"/>
            <w:tcBorders>
              <w:top w:val="nil"/>
              <w:left w:val="nil"/>
              <w:bottom w:val="single" w:sz="8" w:space="0" w:color="000000"/>
              <w:right w:val="single" w:sz="8" w:space="0" w:color="000000"/>
            </w:tcBorders>
            <w:shd w:val="clear" w:color="auto" w:fill="D9D9D9"/>
            <w:vAlign w:val="center"/>
          </w:tcPr>
          <w:p w14:paraId="050F8E4F"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CZ5</w:t>
            </w:r>
          </w:p>
        </w:tc>
        <w:tc>
          <w:tcPr>
            <w:tcW w:w="5078" w:type="dxa"/>
            <w:tcBorders>
              <w:top w:val="nil"/>
              <w:left w:val="nil"/>
              <w:bottom w:val="single" w:sz="8" w:space="0" w:color="000000"/>
              <w:right w:val="single" w:sz="8" w:space="0" w:color="000000"/>
            </w:tcBorders>
            <w:shd w:val="clear" w:color="auto" w:fill="auto"/>
            <w:vAlign w:val="center"/>
          </w:tcPr>
          <w:p w14:paraId="40D31157"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Comercios agrupados en general hasta 5000 m2 de área útil. Mercados tradicionales y centros de comercio popular. Establecimientos de carga y encomiendas.</w:t>
            </w:r>
          </w:p>
        </w:tc>
      </w:tr>
      <w:tr w:rsidR="00DC27E8" w:rsidRPr="00B24A80" w14:paraId="6F366E42" w14:textId="77777777" w:rsidTr="00F0459B">
        <w:trPr>
          <w:gridAfter w:val="1"/>
          <w:wAfter w:w="250" w:type="dxa"/>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327722D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1F80FC69" w14:textId="77777777" w:rsidR="00DC27E8" w:rsidRPr="00B24A80" w:rsidRDefault="00DC27E8">
            <w:pPr>
              <w:jc w:val="center"/>
              <w:rPr>
                <w:rFonts w:asciiTheme="majorHAnsi" w:eastAsia="Calibri" w:hAnsiTheme="majorHAnsi" w:cstheme="majorHAnsi"/>
                <w:color w:val="000000"/>
              </w:rPr>
            </w:pPr>
          </w:p>
        </w:tc>
        <w:tc>
          <w:tcPr>
            <w:tcW w:w="719" w:type="dxa"/>
            <w:tcBorders>
              <w:top w:val="nil"/>
              <w:left w:val="nil"/>
              <w:bottom w:val="single" w:sz="8" w:space="0" w:color="000000"/>
              <w:right w:val="single" w:sz="8" w:space="0" w:color="000000"/>
            </w:tcBorders>
            <w:shd w:val="clear" w:color="auto" w:fill="D9D9D9"/>
            <w:vAlign w:val="center"/>
          </w:tcPr>
          <w:p w14:paraId="325FFB3F" w14:textId="77777777" w:rsidR="00DC27E8" w:rsidRPr="00B24A80" w:rsidRDefault="007F5505">
            <w:pPr>
              <w:jc w:val="center"/>
              <w:rPr>
                <w:rFonts w:asciiTheme="majorHAnsi" w:eastAsia="Calibri" w:hAnsiTheme="majorHAnsi" w:cstheme="majorHAnsi"/>
              </w:rPr>
            </w:pPr>
            <w:r w:rsidRPr="00B24A80">
              <w:rPr>
                <w:rFonts w:asciiTheme="majorHAnsi" w:eastAsia="Calibri" w:hAnsiTheme="majorHAnsi" w:cstheme="majorHAnsi"/>
              </w:rPr>
              <w:t>CZ6</w:t>
            </w:r>
          </w:p>
        </w:tc>
        <w:tc>
          <w:tcPr>
            <w:tcW w:w="5078" w:type="dxa"/>
            <w:tcBorders>
              <w:top w:val="nil"/>
              <w:left w:val="nil"/>
              <w:bottom w:val="single" w:sz="8" w:space="0" w:color="000000"/>
              <w:right w:val="single" w:sz="8" w:space="0" w:color="000000"/>
            </w:tcBorders>
            <w:shd w:val="clear" w:color="auto" w:fill="auto"/>
            <w:vAlign w:val="center"/>
          </w:tcPr>
          <w:p w14:paraId="27367515"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 xml:space="preserve">Hoteles, complejos hoteleros con o sin centros comerciales </w:t>
            </w:r>
            <w:r w:rsidRPr="00B24A80">
              <w:rPr>
                <w:rFonts w:asciiTheme="majorHAnsi" w:eastAsia="Calibri" w:hAnsiTheme="majorHAnsi" w:cstheme="majorHAnsi"/>
              </w:rPr>
              <w:t>y de servicios, apart-hotel de más de 30 habitaciones.</w:t>
            </w:r>
          </w:p>
        </w:tc>
      </w:tr>
      <w:tr w:rsidR="00DC27E8" w:rsidRPr="00B24A80" w14:paraId="6CF3D21C" w14:textId="77777777" w:rsidTr="00F0459B">
        <w:trPr>
          <w:gridAfter w:val="1"/>
          <w:wAfter w:w="250" w:type="dxa"/>
          <w:trHeight w:val="429"/>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1630CCB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val="restart"/>
            <w:tcBorders>
              <w:top w:val="nil"/>
              <w:left w:val="single" w:sz="8" w:space="0" w:color="000000"/>
              <w:bottom w:val="single" w:sz="8" w:space="0" w:color="000000"/>
              <w:right w:val="single" w:sz="8" w:space="0" w:color="000000"/>
            </w:tcBorders>
            <w:shd w:val="clear" w:color="auto" w:fill="auto"/>
            <w:vAlign w:val="center"/>
          </w:tcPr>
          <w:p w14:paraId="69297FBC"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Comercio Restringido</w:t>
            </w:r>
          </w:p>
        </w:tc>
        <w:tc>
          <w:tcPr>
            <w:tcW w:w="719" w:type="dxa"/>
            <w:vMerge w:val="restart"/>
            <w:tcBorders>
              <w:top w:val="nil"/>
              <w:left w:val="single" w:sz="8" w:space="0" w:color="000000"/>
              <w:bottom w:val="single" w:sz="8" w:space="0" w:color="000000"/>
              <w:right w:val="single" w:sz="8" w:space="0" w:color="000000"/>
            </w:tcBorders>
            <w:shd w:val="clear" w:color="auto" w:fill="D9D9D9"/>
            <w:vAlign w:val="center"/>
          </w:tcPr>
          <w:p w14:paraId="78163C8A"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CC1</w:t>
            </w:r>
          </w:p>
        </w:tc>
        <w:tc>
          <w:tcPr>
            <w:tcW w:w="5078" w:type="dxa"/>
            <w:vMerge w:val="restart"/>
            <w:tcBorders>
              <w:top w:val="nil"/>
              <w:left w:val="single" w:sz="8" w:space="0" w:color="000000"/>
              <w:bottom w:val="single" w:sz="8" w:space="0" w:color="000000"/>
              <w:right w:val="single" w:sz="8" w:space="0" w:color="000000"/>
            </w:tcBorders>
            <w:shd w:val="clear" w:color="auto" w:fill="auto"/>
            <w:vAlign w:val="center"/>
          </w:tcPr>
          <w:p w14:paraId="081D73E5"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Moteles, casa de citas, lenocinios, prostíbulos, cabarets, espectáculos en vivo para adultos.</w:t>
            </w:r>
          </w:p>
        </w:tc>
      </w:tr>
      <w:tr w:rsidR="00DC27E8" w:rsidRPr="00B24A80" w14:paraId="51EF4919" w14:textId="77777777" w:rsidTr="00F0459B">
        <w:trPr>
          <w:trHeight w:val="31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60D065A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vMerge/>
            <w:tcBorders>
              <w:top w:val="nil"/>
              <w:left w:val="single" w:sz="8" w:space="0" w:color="000000"/>
              <w:bottom w:val="single" w:sz="8" w:space="0" w:color="000000"/>
              <w:right w:val="single" w:sz="8" w:space="0" w:color="000000"/>
            </w:tcBorders>
            <w:shd w:val="clear" w:color="auto" w:fill="auto"/>
            <w:vAlign w:val="center"/>
          </w:tcPr>
          <w:p w14:paraId="35D947BC"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719" w:type="dxa"/>
            <w:vMerge/>
            <w:tcBorders>
              <w:top w:val="nil"/>
              <w:left w:val="single" w:sz="8" w:space="0" w:color="000000"/>
              <w:bottom w:val="single" w:sz="8" w:space="0" w:color="000000"/>
              <w:right w:val="single" w:sz="8" w:space="0" w:color="000000"/>
            </w:tcBorders>
            <w:shd w:val="clear" w:color="auto" w:fill="D9D9D9"/>
            <w:vAlign w:val="center"/>
          </w:tcPr>
          <w:p w14:paraId="6BA1BF60"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5078" w:type="dxa"/>
            <w:vMerge/>
            <w:tcBorders>
              <w:top w:val="nil"/>
              <w:left w:val="single" w:sz="8" w:space="0" w:color="000000"/>
              <w:bottom w:val="single" w:sz="8" w:space="0" w:color="000000"/>
              <w:right w:val="single" w:sz="8" w:space="0" w:color="000000"/>
            </w:tcBorders>
            <w:shd w:val="clear" w:color="auto" w:fill="auto"/>
            <w:vAlign w:val="center"/>
          </w:tcPr>
          <w:p w14:paraId="3737BC0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250" w:type="dxa"/>
            <w:tcBorders>
              <w:top w:val="nil"/>
              <w:left w:val="nil"/>
              <w:bottom w:val="nil"/>
              <w:right w:val="nil"/>
            </w:tcBorders>
            <w:shd w:val="clear" w:color="auto" w:fill="auto"/>
            <w:vAlign w:val="bottom"/>
          </w:tcPr>
          <w:p w14:paraId="70359057" w14:textId="77777777" w:rsidR="00DC27E8" w:rsidRPr="00B24A80" w:rsidRDefault="00DC27E8">
            <w:pPr>
              <w:rPr>
                <w:rFonts w:asciiTheme="majorHAnsi" w:eastAsia="Calibri" w:hAnsiTheme="majorHAnsi" w:cstheme="majorHAnsi"/>
                <w:color w:val="000000"/>
              </w:rPr>
            </w:pPr>
          </w:p>
        </w:tc>
      </w:tr>
      <w:tr w:rsidR="00DC27E8" w:rsidRPr="00B24A80" w14:paraId="0AA29B05" w14:textId="77777777" w:rsidTr="00F0459B">
        <w:trPr>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63D428B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732" w:type="dxa"/>
            <w:tcBorders>
              <w:top w:val="nil"/>
              <w:left w:val="nil"/>
              <w:bottom w:val="single" w:sz="8" w:space="0" w:color="000000"/>
              <w:right w:val="single" w:sz="8" w:space="0" w:color="000000"/>
            </w:tcBorders>
            <w:shd w:val="clear" w:color="auto" w:fill="auto"/>
            <w:vAlign w:val="center"/>
          </w:tcPr>
          <w:p w14:paraId="5D2AA5C8"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Venta Vehículos y Maquinaria Pesada</w:t>
            </w:r>
          </w:p>
        </w:tc>
        <w:tc>
          <w:tcPr>
            <w:tcW w:w="719" w:type="dxa"/>
            <w:tcBorders>
              <w:top w:val="nil"/>
              <w:left w:val="nil"/>
              <w:bottom w:val="single" w:sz="8" w:space="0" w:color="000000"/>
              <w:right w:val="single" w:sz="8" w:space="0" w:color="000000"/>
            </w:tcBorders>
            <w:shd w:val="clear" w:color="auto" w:fill="D9D9D9"/>
            <w:vAlign w:val="center"/>
          </w:tcPr>
          <w:p w14:paraId="4826D76D"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CC2</w:t>
            </w:r>
          </w:p>
        </w:tc>
        <w:tc>
          <w:tcPr>
            <w:tcW w:w="5078" w:type="dxa"/>
            <w:tcBorders>
              <w:top w:val="nil"/>
              <w:left w:val="nil"/>
              <w:bottom w:val="single" w:sz="8" w:space="0" w:color="000000"/>
              <w:right w:val="single" w:sz="8" w:space="0" w:color="000000"/>
            </w:tcBorders>
            <w:shd w:val="clear" w:color="auto" w:fill="auto"/>
            <w:vAlign w:val="center"/>
          </w:tcPr>
          <w:p w14:paraId="15234E69"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Área de exposición y venta de vehículos y maquinaria pesada.</w:t>
            </w:r>
          </w:p>
        </w:tc>
        <w:tc>
          <w:tcPr>
            <w:tcW w:w="250" w:type="dxa"/>
            <w:vAlign w:val="center"/>
          </w:tcPr>
          <w:p w14:paraId="0683D582" w14:textId="77777777" w:rsidR="00DC27E8" w:rsidRPr="00B24A80" w:rsidRDefault="00DC27E8">
            <w:pPr>
              <w:rPr>
                <w:rFonts w:asciiTheme="majorHAnsi" w:eastAsia="Calibri" w:hAnsiTheme="majorHAnsi" w:cstheme="majorHAnsi"/>
              </w:rPr>
            </w:pPr>
          </w:p>
        </w:tc>
      </w:tr>
      <w:tr w:rsidR="00DC27E8" w:rsidRPr="00B24A80" w14:paraId="6A7D1209" w14:textId="77777777" w:rsidTr="00F0459B">
        <w:trPr>
          <w:trHeight w:val="645"/>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1B21CA8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732" w:type="dxa"/>
            <w:tcBorders>
              <w:top w:val="nil"/>
              <w:left w:val="nil"/>
              <w:bottom w:val="single" w:sz="8" w:space="0" w:color="000000"/>
              <w:right w:val="single" w:sz="8" w:space="0" w:color="000000"/>
            </w:tcBorders>
            <w:shd w:val="clear" w:color="auto" w:fill="auto"/>
            <w:vAlign w:val="center"/>
          </w:tcPr>
          <w:p w14:paraId="7A63BAB0"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 xml:space="preserve">Talleres Servicios y </w:t>
            </w:r>
            <w:r w:rsidRPr="00B24A80">
              <w:rPr>
                <w:rFonts w:asciiTheme="majorHAnsi" w:eastAsia="Calibri" w:hAnsiTheme="majorHAnsi" w:cstheme="majorHAnsi"/>
                <w:color w:val="000000"/>
              </w:rPr>
              <w:lastRenderedPageBreak/>
              <w:t xml:space="preserve">Venta Especializada </w:t>
            </w:r>
          </w:p>
        </w:tc>
        <w:tc>
          <w:tcPr>
            <w:tcW w:w="719" w:type="dxa"/>
            <w:tcBorders>
              <w:top w:val="nil"/>
              <w:left w:val="nil"/>
              <w:bottom w:val="single" w:sz="8" w:space="0" w:color="000000"/>
              <w:right w:val="single" w:sz="8" w:space="0" w:color="000000"/>
            </w:tcBorders>
            <w:shd w:val="clear" w:color="auto" w:fill="D9D9D9"/>
            <w:vAlign w:val="center"/>
          </w:tcPr>
          <w:p w14:paraId="5EFDF8BB"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lastRenderedPageBreak/>
              <w:t>CC3</w:t>
            </w:r>
          </w:p>
        </w:tc>
        <w:tc>
          <w:tcPr>
            <w:tcW w:w="5078" w:type="dxa"/>
            <w:tcBorders>
              <w:top w:val="nil"/>
              <w:left w:val="nil"/>
              <w:bottom w:val="single" w:sz="8" w:space="0" w:color="000000"/>
              <w:right w:val="single" w:sz="8" w:space="0" w:color="000000"/>
            </w:tcBorders>
            <w:shd w:val="clear" w:color="auto" w:fill="auto"/>
            <w:vAlign w:val="center"/>
          </w:tcPr>
          <w:p w14:paraId="503C1572"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Insumos para la industria, comercio. Distribuidoras de gas de más d 500 cilindros de 50kg.</w:t>
            </w:r>
          </w:p>
        </w:tc>
        <w:tc>
          <w:tcPr>
            <w:tcW w:w="250" w:type="dxa"/>
            <w:vAlign w:val="center"/>
          </w:tcPr>
          <w:p w14:paraId="2C0F8564" w14:textId="77777777" w:rsidR="00DC27E8" w:rsidRPr="00B24A80" w:rsidRDefault="00DC27E8">
            <w:pPr>
              <w:rPr>
                <w:rFonts w:asciiTheme="majorHAnsi" w:eastAsia="Calibri" w:hAnsiTheme="majorHAnsi" w:cstheme="majorHAnsi"/>
              </w:rPr>
            </w:pPr>
          </w:p>
        </w:tc>
      </w:tr>
      <w:tr w:rsidR="00DC27E8" w:rsidRPr="00B24A80" w14:paraId="26E6F3AC" w14:textId="77777777" w:rsidTr="00F0459B">
        <w:trPr>
          <w:trHeight w:val="330"/>
        </w:trPr>
        <w:tc>
          <w:tcPr>
            <w:tcW w:w="699" w:type="dxa"/>
            <w:vMerge/>
            <w:tcBorders>
              <w:top w:val="nil"/>
              <w:left w:val="single" w:sz="8" w:space="0" w:color="000000"/>
              <w:bottom w:val="single" w:sz="8" w:space="0" w:color="000000"/>
              <w:right w:val="single" w:sz="8" w:space="0" w:color="000000"/>
            </w:tcBorders>
            <w:shd w:val="clear" w:color="auto" w:fill="D9D9D9"/>
            <w:vAlign w:val="center"/>
          </w:tcPr>
          <w:p w14:paraId="5B29D2C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732" w:type="dxa"/>
            <w:tcBorders>
              <w:top w:val="nil"/>
              <w:left w:val="nil"/>
              <w:bottom w:val="single" w:sz="8" w:space="0" w:color="000000"/>
              <w:right w:val="single" w:sz="8" w:space="0" w:color="000000"/>
            </w:tcBorders>
            <w:shd w:val="clear" w:color="auto" w:fill="auto"/>
            <w:vAlign w:val="center"/>
          </w:tcPr>
          <w:p w14:paraId="6E876777"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color w:val="000000"/>
              </w:rPr>
              <w:t>Centros Comerciales Mayoristas</w:t>
            </w:r>
          </w:p>
        </w:tc>
        <w:tc>
          <w:tcPr>
            <w:tcW w:w="719" w:type="dxa"/>
            <w:tcBorders>
              <w:top w:val="nil"/>
              <w:left w:val="nil"/>
              <w:bottom w:val="single" w:sz="8" w:space="0" w:color="000000"/>
              <w:right w:val="single" w:sz="8" w:space="0" w:color="000000"/>
            </w:tcBorders>
            <w:shd w:val="clear" w:color="auto" w:fill="D9D9D9"/>
            <w:vAlign w:val="center"/>
          </w:tcPr>
          <w:p w14:paraId="5B993E42" w14:textId="77777777" w:rsidR="00DC27E8" w:rsidRPr="00B24A80" w:rsidRDefault="007F5505">
            <w:pPr>
              <w:jc w:val="center"/>
              <w:rPr>
                <w:rFonts w:asciiTheme="majorHAnsi" w:eastAsia="Calibri" w:hAnsiTheme="majorHAnsi" w:cstheme="majorHAnsi"/>
                <w:color w:val="000000"/>
              </w:rPr>
            </w:pPr>
            <w:r w:rsidRPr="00B24A80">
              <w:rPr>
                <w:rFonts w:asciiTheme="majorHAnsi" w:eastAsia="Calibri" w:hAnsiTheme="majorHAnsi" w:cstheme="majorHAnsi"/>
              </w:rPr>
              <w:t>CC4</w:t>
            </w:r>
          </w:p>
        </w:tc>
        <w:tc>
          <w:tcPr>
            <w:tcW w:w="5078" w:type="dxa"/>
            <w:tcBorders>
              <w:top w:val="nil"/>
              <w:left w:val="nil"/>
              <w:bottom w:val="single" w:sz="8" w:space="0" w:color="000000"/>
              <w:right w:val="single" w:sz="8" w:space="0" w:color="000000"/>
            </w:tcBorders>
            <w:shd w:val="clear" w:color="auto" w:fill="auto"/>
            <w:vAlign w:val="center"/>
          </w:tcPr>
          <w:p w14:paraId="20F657E6" w14:textId="77777777" w:rsidR="00DC27E8" w:rsidRPr="00B24A80" w:rsidRDefault="007F5505">
            <w:pPr>
              <w:rPr>
                <w:rFonts w:asciiTheme="majorHAnsi" w:eastAsia="Calibri" w:hAnsiTheme="majorHAnsi" w:cstheme="majorHAnsi"/>
                <w:color w:val="000000"/>
              </w:rPr>
            </w:pPr>
            <w:r w:rsidRPr="00B24A80">
              <w:rPr>
                <w:rFonts w:asciiTheme="majorHAnsi" w:eastAsia="Calibri" w:hAnsiTheme="majorHAnsi" w:cstheme="majorHAnsi"/>
                <w:color w:val="000000"/>
              </w:rPr>
              <w:t>Comercios agrupados en general mayores a 5000 m2 de área útil, central de abastos.</w:t>
            </w:r>
          </w:p>
        </w:tc>
        <w:tc>
          <w:tcPr>
            <w:tcW w:w="250" w:type="dxa"/>
            <w:vAlign w:val="center"/>
          </w:tcPr>
          <w:p w14:paraId="2596D7F1" w14:textId="77777777" w:rsidR="00DC27E8" w:rsidRPr="00B24A80" w:rsidRDefault="00DC27E8">
            <w:pPr>
              <w:rPr>
                <w:rFonts w:asciiTheme="majorHAnsi" w:eastAsia="Calibri" w:hAnsiTheme="majorHAnsi" w:cstheme="majorHAnsi"/>
              </w:rPr>
            </w:pPr>
          </w:p>
        </w:tc>
      </w:tr>
    </w:tbl>
    <w:p w14:paraId="3D53FC3B" w14:textId="77777777" w:rsidR="00DF32B7" w:rsidRPr="00B24A80" w:rsidRDefault="00DF32B7">
      <w:pPr>
        <w:pBdr>
          <w:top w:val="nil"/>
          <w:left w:val="nil"/>
          <w:bottom w:val="nil"/>
          <w:right w:val="nil"/>
          <w:between w:val="nil"/>
        </w:pBdr>
        <w:spacing w:after="200"/>
        <w:rPr>
          <w:rFonts w:asciiTheme="majorHAnsi" w:eastAsia="Calibri" w:hAnsiTheme="majorHAnsi" w:cstheme="majorHAnsi"/>
          <w:color w:val="000000"/>
          <w:sz w:val="22"/>
          <w:szCs w:val="22"/>
        </w:rPr>
      </w:pPr>
    </w:p>
    <w:p w14:paraId="0C8FC78E" w14:textId="275372BF" w:rsidR="00425982" w:rsidRPr="00425982" w:rsidRDefault="00425982" w:rsidP="00425982">
      <w:pPr>
        <w:pStyle w:val="Prrafodelista"/>
        <w:widowControl/>
        <w:numPr>
          <w:ilvl w:val="0"/>
          <w:numId w:val="114"/>
        </w:numPr>
        <w:tabs>
          <w:tab w:val="left" w:pos="851"/>
        </w:tabs>
        <w:spacing w:after="240" w:line="276" w:lineRule="auto"/>
        <w:ind w:right="-100"/>
        <w:rPr>
          <w:rFonts w:asciiTheme="majorHAnsi" w:eastAsia="Calibri" w:hAnsiTheme="majorHAnsi" w:cstheme="majorHAnsi"/>
          <w:szCs w:val="22"/>
        </w:rPr>
      </w:pPr>
      <w:r w:rsidRPr="00425982">
        <w:rPr>
          <w:rFonts w:asciiTheme="majorHAnsi" w:eastAsia="Calibri" w:hAnsiTheme="majorHAnsi" w:cstheme="majorHAnsi"/>
          <w:b/>
          <w:szCs w:val="22"/>
        </w:rPr>
        <w:t>Uso de suelo industrial. -</w:t>
      </w:r>
      <w:r w:rsidRPr="00425982">
        <w:rPr>
          <w:rFonts w:asciiTheme="majorHAnsi" w:eastAsia="Calibri" w:hAnsiTheme="majorHAnsi" w:cstheme="majorHAnsi"/>
          <w:szCs w:val="22"/>
        </w:rPr>
        <w:t xml:space="preserve"> Es el destinado a las áreas de la ciudad en suelo rural o urbano, con presencia de actividad industrial de variado impacto, que producen bienes o productos materiales. De acuerdo con el impacto, el suelo industrial </w:t>
      </w:r>
      <w:r>
        <w:rPr>
          <w:rFonts w:asciiTheme="majorHAnsi" w:eastAsia="Calibri" w:hAnsiTheme="majorHAnsi" w:cstheme="majorHAnsi"/>
          <w:szCs w:val="22"/>
        </w:rPr>
        <w:t>para el cantón La Joya de los Sachas es</w:t>
      </w:r>
      <w:r w:rsidRPr="00425982">
        <w:rPr>
          <w:rFonts w:asciiTheme="majorHAnsi" w:eastAsia="Calibri" w:hAnsiTheme="majorHAnsi" w:cstheme="majorHAnsi"/>
          <w:szCs w:val="22"/>
        </w:rPr>
        <w:t>:</w:t>
      </w:r>
    </w:p>
    <w:p w14:paraId="02E75CC5" w14:textId="20537D80" w:rsidR="00425982" w:rsidRPr="00425982" w:rsidRDefault="00425982" w:rsidP="00425982">
      <w:pPr>
        <w:pStyle w:val="Prrafodelista"/>
        <w:widowControl/>
        <w:numPr>
          <w:ilvl w:val="0"/>
          <w:numId w:val="121"/>
        </w:numPr>
        <w:tabs>
          <w:tab w:val="left" w:pos="851"/>
        </w:tabs>
        <w:spacing w:after="240" w:line="276" w:lineRule="auto"/>
        <w:ind w:right="-100"/>
        <w:rPr>
          <w:rFonts w:asciiTheme="majorHAnsi" w:eastAsia="Calibri" w:hAnsiTheme="majorHAnsi" w:cstheme="majorHAnsi"/>
          <w:szCs w:val="22"/>
        </w:rPr>
      </w:pPr>
      <w:r w:rsidRPr="00425982">
        <w:rPr>
          <w:rFonts w:asciiTheme="majorHAnsi" w:eastAsia="Calibri" w:hAnsiTheme="majorHAnsi" w:cstheme="majorHAnsi"/>
          <w:b/>
          <w:szCs w:val="22"/>
        </w:rPr>
        <w:t>Industrial de bajo impacto. -</w:t>
      </w:r>
      <w:r w:rsidRPr="00425982">
        <w:rPr>
          <w:rFonts w:asciiTheme="majorHAnsi" w:eastAsia="Calibri" w:hAnsiTheme="majorHAnsi" w:cstheme="majorHAnsi"/>
          <w:szCs w:val="22"/>
        </w:rPr>
        <w:t xml:space="preserve"> Corresponde a las industrias o talleres pequeños que no generan molestias ocasionadas por ruidos menores a 60dB, malos olores, contaminación, movimiento excesivo de personas o vehículos, son compatibles con usos residenciales y comerciales. (Cerrajerías, imprentas artesanales, panificadoras, establecimientos manufactureros).</w:t>
      </w:r>
    </w:p>
    <w:p w14:paraId="00DE9E4E" w14:textId="17991897" w:rsidR="00425982" w:rsidRPr="00425982" w:rsidRDefault="00425982" w:rsidP="00425982">
      <w:pPr>
        <w:pStyle w:val="Prrafodelista"/>
        <w:widowControl/>
        <w:numPr>
          <w:ilvl w:val="0"/>
          <w:numId w:val="121"/>
        </w:numPr>
        <w:tabs>
          <w:tab w:val="left" w:pos="851"/>
        </w:tabs>
        <w:spacing w:after="240" w:line="276" w:lineRule="auto"/>
        <w:ind w:right="-100"/>
        <w:rPr>
          <w:rFonts w:asciiTheme="majorHAnsi" w:eastAsia="Calibri" w:hAnsiTheme="majorHAnsi" w:cstheme="majorHAnsi"/>
          <w:szCs w:val="22"/>
        </w:rPr>
      </w:pPr>
      <w:r w:rsidRPr="00425982">
        <w:rPr>
          <w:rFonts w:asciiTheme="majorHAnsi" w:eastAsia="Calibri" w:hAnsiTheme="majorHAnsi" w:cstheme="majorHAnsi"/>
          <w:b/>
          <w:szCs w:val="22"/>
        </w:rPr>
        <w:t>Industrial de mediano impacto. -</w:t>
      </w:r>
      <w:r w:rsidRPr="00425982">
        <w:rPr>
          <w:rFonts w:asciiTheme="majorHAnsi" w:eastAsia="Calibri" w:hAnsiTheme="majorHAnsi" w:cstheme="majorHAnsi"/>
          <w:szCs w:val="22"/>
        </w:rPr>
        <w:t xml:space="preserve"> Corresponde a industrias que producen ruido desde los 60dB, vibración y olores, condicionados o no compatibles con usos de suelo residencial (Vulcanizadoras, aserraderos, mecánicas semipesadas y pesadas).</w:t>
      </w:r>
      <w:r w:rsidR="00D034CA">
        <w:rPr>
          <w:rFonts w:asciiTheme="majorHAnsi" w:eastAsia="Calibri" w:hAnsiTheme="majorHAnsi" w:cstheme="majorHAnsi"/>
          <w:szCs w:val="22"/>
        </w:rPr>
        <w:t xml:space="preserve"> </w:t>
      </w:r>
      <w:r w:rsidR="00B71EAD">
        <w:rPr>
          <w:rFonts w:asciiTheme="majorHAnsi" w:eastAsia="Calibri" w:hAnsiTheme="majorHAnsi" w:cstheme="majorHAnsi"/>
          <w:szCs w:val="22"/>
        </w:rPr>
        <w:t xml:space="preserve">Las mismas </w:t>
      </w:r>
      <w:r w:rsidR="00820E25">
        <w:rPr>
          <w:rFonts w:asciiTheme="majorHAnsi" w:eastAsia="Calibri" w:hAnsiTheme="majorHAnsi" w:cstheme="majorHAnsi"/>
          <w:szCs w:val="22"/>
        </w:rPr>
        <w:t xml:space="preserve">que se ajustarán al horario de funcionamiento establecido por la Dirección de Gestión Ambiental.  </w:t>
      </w:r>
    </w:p>
    <w:p w14:paraId="776BB44E" w14:textId="32EBBC06" w:rsidR="00425982" w:rsidRPr="0088728B" w:rsidRDefault="00425982" w:rsidP="0088728B">
      <w:pPr>
        <w:pStyle w:val="Prrafodelista"/>
        <w:widowControl/>
        <w:numPr>
          <w:ilvl w:val="0"/>
          <w:numId w:val="121"/>
        </w:numPr>
        <w:tabs>
          <w:tab w:val="left" w:pos="851"/>
        </w:tabs>
        <w:spacing w:after="240" w:line="276" w:lineRule="auto"/>
        <w:ind w:right="-100"/>
        <w:rPr>
          <w:rFonts w:asciiTheme="majorHAnsi" w:eastAsia="Calibri" w:hAnsiTheme="majorHAnsi" w:cstheme="majorHAnsi"/>
          <w:szCs w:val="22"/>
        </w:rPr>
      </w:pPr>
      <w:r w:rsidRPr="00425982">
        <w:rPr>
          <w:rFonts w:asciiTheme="majorHAnsi" w:eastAsia="Calibri" w:hAnsiTheme="majorHAnsi" w:cstheme="majorHAnsi"/>
          <w:b/>
          <w:szCs w:val="22"/>
        </w:rPr>
        <w:t>Industrial del alto impacto. -</w:t>
      </w:r>
      <w:r w:rsidRPr="00425982">
        <w:rPr>
          <w:rFonts w:asciiTheme="majorHAnsi" w:eastAsia="Calibri" w:hAnsiTheme="majorHAnsi" w:cstheme="majorHAnsi"/>
          <w:szCs w:val="22"/>
        </w:rPr>
        <w:t xml:space="preserve"> Corresponde a las industrias peligrosas por la emisión de combustión, emisiones de procesos, emisiones de ruido, vibración o residuos sólidos, su localización debe ser particularizada. (Fabricación de maquinaria pesada </w:t>
      </w:r>
      <w:r w:rsidR="00A35002">
        <w:rPr>
          <w:rFonts w:asciiTheme="majorHAnsi" w:eastAsia="Calibri" w:hAnsiTheme="majorHAnsi" w:cstheme="majorHAnsi"/>
          <w:szCs w:val="22"/>
        </w:rPr>
        <w:t>rural</w:t>
      </w:r>
      <w:r w:rsidRPr="00425982">
        <w:rPr>
          <w:rFonts w:asciiTheme="majorHAnsi" w:eastAsia="Calibri" w:hAnsiTheme="majorHAnsi" w:cstheme="majorHAnsi"/>
          <w:szCs w:val="22"/>
        </w:rPr>
        <w:t>, botaderos de chatarra, fabricación de productos asfálticos, pétreos, fabricación de jabones y detergentes.)</w:t>
      </w:r>
      <w:r w:rsidR="005F7FB0">
        <w:rPr>
          <w:rFonts w:asciiTheme="majorHAnsi" w:eastAsia="Calibri" w:hAnsiTheme="majorHAnsi" w:cstheme="majorHAnsi"/>
          <w:szCs w:val="22"/>
        </w:rPr>
        <w:t xml:space="preserve"> </w:t>
      </w:r>
      <w:r w:rsidR="00EB20FD" w:rsidRPr="00C523E6">
        <w:rPr>
          <w:rFonts w:asciiTheme="majorHAnsi" w:eastAsia="Calibri" w:hAnsiTheme="majorHAnsi" w:cstheme="majorHAnsi"/>
          <w:szCs w:val="22"/>
        </w:rPr>
        <w:t>Gestores de residuos peligrosos.</w:t>
      </w:r>
    </w:p>
    <w:p w14:paraId="2BE08877" w14:textId="63DF2116" w:rsidR="00A47C04" w:rsidRPr="00EB20FD" w:rsidRDefault="00425982" w:rsidP="00EB20FD">
      <w:pPr>
        <w:pStyle w:val="Prrafodelista"/>
        <w:widowControl/>
        <w:numPr>
          <w:ilvl w:val="0"/>
          <w:numId w:val="121"/>
        </w:numPr>
        <w:tabs>
          <w:tab w:val="left" w:pos="851"/>
        </w:tabs>
        <w:spacing w:after="240" w:line="276" w:lineRule="auto"/>
        <w:ind w:right="-100"/>
        <w:rPr>
          <w:rFonts w:asciiTheme="majorHAnsi" w:eastAsia="Calibri" w:hAnsiTheme="majorHAnsi" w:cstheme="majorHAnsi"/>
          <w:szCs w:val="22"/>
        </w:rPr>
      </w:pPr>
      <w:r w:rsidRPr="00EB20FD">
        <w:rPr>
          <w:rFonts w:asciiTheme="majorHAnsi" w:eastAsia="Calibri" w:hAnsiTheme="majorHAnsi" w:cstheme="majorHAnsi"/>
          <w:b/>
          <w:szCs w:val="22"/>
        </w:rPr>
        <w:t>Industrial de Alto Riesgo. -</w:t>
      </w:r>
      <w:r w:rsidRPr="00EB20FD">
        <w:rPr>
          <w:rFonts w:asciiTheme="majorHAnsi" w:eastAsia="Calibri" w:hAnsiTheme="majorHAnsi" w:cstheme="majorHAnsi"/>
          <w:szCs w:val="22"/>
        </w:rPr>
        <w:t xml:space="preserve"> Corresponde a las industrias en los que se desarrollan actividades que implican impactos críticos al ambiente y alto riesgo de incendio, explosión o emanación de gases, por la naturaleza de los productos y substancias utilizadas y por la cantidad almacenada de las mismas. (Productos de petróleo refinado, productos químicos, radioactivos, explosivos.)</w:t>
      </w:r>
      <w:r w:rsidR="000473E9" w:rsidRPr="00EB20FD">
        <w:rPr>
          <w:rFonts w:asciiTheme="majorHAnsi" w:eastAsia="Calibri" w:hAnsiTheme="majorHAnsi" w:cstheme="majorHAnsi"/>
          <w:color w:val="FF0000"/>
          <w:szCs w:val="22"/>
        </w:rPr>
        <w:t xml:space="preserve"> </w:t>
      </w:r>
    </w:p>
    <w:p w14:paraId="3D230620" w14:textId="326BA519" w:rsidR="00BB6E9E"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bookmarkStart w:id="93" w:name="_heading=h.3fwokq0" w:colFirst="0" w:colLast="0"/>
      <w:bookmarkEnd w:id="93"/>
      <w:r w:rsidRPr="00B24A80">
        <w:rPr>
          <w:rFonts w:asciiTheme="majorHAnsi" w:eastAsia="Calibri" w:hAnsiTheme="majorHAnsi" w:cstheme="majorHAnsi"/>
          <w:b/>
          <w:szCs w:val="22"/>
        </w:rPr>
        <w:t>Uso de suelo Equipamientos. -</w:t>
      </w:r>
      <w:r w:rsidRPr="00B24A80">
        <w:rPr>
          <w:rFonts w:asciiTheme="majorHAnsi" w:eastAsia="Calibri" w:hAnsiTheme="majorHAnsi" w:cstheme="majorHAnsi"/>
          <w:szCs w:val="22"/>
        </w:rPr>
        <w:t xml:space="preserve"> Es suelo destinado a actividades e instalaciones que generen bienes y servicios sociales y públicos para satisfacer las necesidades de la población o garantizar su esparcimiento, independientemente de su carácter público o privado. Los equipamientos deben clasificarse de acuerdo con su naturaleza y el radio de influencia, pudiendo ser tipificados como barriales para aquellos cuya influencia sea un barrio, sectoriales o zonales aquellos cuya influencia cubra varios barrios o zonas de la ciudad y equipamientos de ciudad a aquellos que por su influencia tenga alcance o puedan cubrir las necesidades de la población de toda la ciudad.</w:t>
      </w:r>
    </w:p>
    <w:p w14:paraId="3BAF47C0" w14:textId="77777777" w:rsidR="00DC27E8" w:rsidRPr="00B24A80" w:rsidRDefault="00DC27E8">
      <w:pPr>
        <w:spacing w:line="276" w:lineRule="auto"/>
        <w:rPr>
          <w:rFonts w:asciiTheme="majorHAnsi" w:eastAsia="Calibri" w:hAnsiTheme="majorHAnsi" w:cstheme="majorHAnsi"/>
          <w:sz w:val="22"/>
          <w:szCs w:val="22"/>
        </w:rPr>
      </w:pPr>
    </w:p>
    <w:p w14:paraId="6E2A5682" w14:textId="561A6D79" w:rsidR="00BB6E9E" w:rsidRPr="00B24A80" w:rsidRDefault="00BB6E9E" w:rsidP="00BB6E9E">
      <w:pPr>
        <w:pStyle w:val="Descripcin"/>
        <w:rPr>
          <w:rFonts w:cstheme="majorHAnsi"/>
          <w:sz w:val="22"/>
          <w:szCs w:val="22"/>
        </w:rPr>
      </w:pPr>
      <w:bookmarkStart w:id="94" w:name="_Toc81085720"/>
      <w:r w:rsidRPr="00B24A80">
        <w:rPr>
          <w:rFonts w:cstheme="majorHAnsi"/>
          <w:sz w:val="22"/>
          <w:szCs w:val="22"/>
        </w:rPr>
        <w:lastRenderedPageBreak/>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5</w:t>
      </w:r>
      <w:r w:rsidR="00203216" w:rsidRPr="00B24A80">
        <w:rPr>
          <w:rFonts w:cstheme="majorHAnsi"/>
          <w:noProof/>
          <w:sz w:val="22"/>
          <w:szCs w:val="22"/>
        </w:rPr>
        <w:fldChar w:fldCharType="end"/>
      </w:r>
      <w:r w:rsidRPr="00B24A80">
        <w:rPr>
          <w:rFonts w:cstheme="majorHAnsi"/>
          <w:sz w:val="22"/>
          <w:szCs w:val="22"/>
        </w:rPr>
        <w:t>. Clasificación del Uso de Suelo Equipamientos.</w:t>
      </w:r>
      <w:bookmarkEnd w:id="94"/>
    </w:p>
    <w:tbl>
      <w:tblPr>
        <w:tblStyle w:val="afffd"/>
        <w:tblW w:w="848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21"/>
        <w:gridCol w:w="567"/>
        <w:gridCol w:w="1275"/>
        <w:gridCol w:w="709"/>
        <w:gridCol w:w="5516"/>
      </w:tblGrid>
      <w:tr w:rsidR="00DC27E8" w:rsidRPr="00B24A80" w14:paraId="4135B1FB" w14:textId="77777777" w:rsidTr="00F0459B">
        <w:trPr>
          <w:cantSplit/>
          <w:trHeight w:val="1134"/>
        </w:trPr>
        <w:tc>
          <w:tcPr>
            <w:tcW w:w="421" w:type="dxa"/>
            <w:shd w:val="clear" w:color="auto" w:fill="BFBFBF"/>
            <w:textDirection w:val="btLr"/>
            <w:vAlign w:val="center"/>
          </w:tcPr>
          <w:p w14:paraId="6522264D" w14:textId="77777777" w:rsidR="00DC27E8" w:rsidRPr="00B24A80" w:rsidRDefault="007F5505">
            <w:pPr>
              <w:ind w:left="113" w:right="113"/>
              <w:rPr>
                <w:rFonts w:asciiTheme="majorHAnsi" w:eastAsia="Calibri" w:hAnsiTheme="majorHAnsi" w:cstheme="majorHAnsi"/>
                <w:b/>
              </w:rPr>
            </w:pPr>
            <w:bookmarkStart w:id="95" w:name="_heading=h.1v1yuxt" w:colFirst="0" w:colLast="0"/>
            <w:bookmarkEnd w:id="95"/>
            <w:r w:rsidRPr="00B24A80">
              <w:rPr>
                <w:rFonts w:asciiTheme="majorHAnsi" w:eastAsia="Calibri" w:hAnsiTheme="majorHAnsi" w:cstheme="majorHAnsi"/>
                <w:b/>
              </w:rPr>
              <w:t>CLASIF.</w:t>
            </w:r>
          </w:p>
        </w:tc>
        <w:tc>
          <w:tcPr>
            <w:tcW w:w="567" w:type="dxa"/>
            <w:shd w:val="clear" w:color="auto" w:fill="BFBFBF"/>
            <w:textDirection w:val="btLr"/>
            <w:vAlign w:val="center"/>
          </w:tcPr>
          <w:p w14:paraId="6A243867"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USO</w:t>
            </w:r>
          </w:p>
        </w:tc>
        <w:tc>
          <w:tcPr>
            <w:tcW w:w="1275" w:type="dxa"/>
            <w:shd w:val="clear" w:color="auto" w:fill="BFBFBF"/>
            <w:vAlign w:val="center"/>
          </w:tcPr>
          <w:p w14:paraId="0A94BEDB" w14:textId="77777777" w:rsidR="00DC27E8" w:rsidRPr="00B24A80" w:rsidRDefault="007F5505">
            <w:pPr>
              <w:rPr>
                <w:rFonts w:asciiTheme="majorHAnsi" w:eastAsia="Calibri" w:hAnsiTheme="majorHAnsi" w:cstheme="majorHAnsi"/>
                <w:b/>
              </w:rPr>
            </w:pPr>
            <w:r w:rsidRPr="00B24A80">
              <w:rPr>
                <w:rFonts w:asciiTheme="majorHAnsi" w:eastAsia="Calibri" w:hAnsiTheme="majorHAnsi" w:cstheme="majorHAnsi"/>
                <w:b/>
              </w:rPr>
              <w:t>TIPOLOGÍA</w:t>
            </w:r>
          </w:p>
        </w:tc>
        <w:tc>
          <w:tcPr>
            <w:tcW w:w="709" w:type="dxa"/>
            <w:shd w:val="clear" w:color="auto" w:fill="BFBFBF"/>
            <w:vAlign w:val="center"/>
          </w:tcPr>
          <w:p w14:paraId="076A9F92" w14:textId="77777777" w:rsidR="00DC27E8" w:rsidRPr="00B24A80" w:rsidRDefault="007F5505">
            <w:pPr>
              <w:rPr>
                <w:rFonts w:asciiTheme="majorHAnsi" w:eastAsia="Calibri" w:hAnsiTheme="majorHAnsi" w:cstheme="majorHAnsi"/>
                <w:b/>
              </w:rPr>
            </w:pPr>
            <w:r w:rsidRPr="00B24A80">
              <w:rPr>
                <w:rFonts w:asciiTheme="majorHAnsi" w:eastAsia="Calibri" w:hAnsiTheme="majorHAnsi" w:cstheme="majorHAnsi"/>
                <w:b/>
              </w:rPr>
              <w:t>SIMB</w:t>
            </w:r>
          </w:p>
        </w:tc>
        <w:tc>
          <w:tcPr>
            <w:tcW w:w="5516" w:type="dxa"/>
            <w:shd w:val="clear" w:color="auto" w:fill="BFBFBF"/>
            <w:vAlign w:val="center"/>
          </w:tcPr>
          <w:p w14:paraId="20784682" w14:textId="77777777" w:rsidR="00DC27E8" w:rsidRPr="00B24A80" w:rsidRDefault="007F5505">
            <w:pPr>
              <w:rPr>
                <w:rFonts w:asciiTheme="majorHAnsi" w:eastAsia="Calibri" w:hAnsiTheme="majorHAnsi" w:cstheme="majorHAnsi"/>
                <w:b/>
              </w:rPr>
            </w:pPr>
            <w:r w:rsidRPr="00B24A80">
              <w:rPr>
                <w:rFonts w:asciiTheme="majorHAnsi" w:eastAsia="Calibri" w:hAnsiTheme="majorHAnsi" w:cstheme="majorHAnsi"/>
                <w:b/>
              </w:rPr>
              <w:t>ACTIVIDADES/ESTABLECIMIENTOS</w:t>
            </w:r>
          </w:p>
        </w:tc>
      </w:tr>
      <w:tr w:rsidR="00DC27E8" w:rsidRPr="00B24A80" w14:paraId="7DEAC1B0" w14:textId="77777777" w:rsidTr="00F0459B">
        <w:tc>
          <w:tcPr>
            <w:tcW w:w="421" w:type="dxa"/>
            <w:vMerge w:val="restart"/>
            <w:textDirection w:val="btLr"/>
            <w:vAlign w:val="center"/>
          </w:tcPr>
          <w:p w14:paraId="43F9D256" w14:textId="77777777" w:rsidR="00DC27E8" w:rsidRPr="00B24A80" w:rsidRDefault="007F5505">
            <w:pPr>
              <w:ind w:left="113" w:right="113"/>
              <w:jc w:val="center"/>
              <w:rPr>
                <w:rFonts w:asciiTheme="majorHAnsi" w:eastAsia="Calibri" w:hAnsiTheme="majorHAnsi" w:cstheme="majorHAnsi"/>
                <w:b/>
              </w:rPr>
            </w:pPr>
            <w:r w:rsidRPr="00B24A80">
              <w:rPr>
                <w:rFonts w:asciiTheme="majorHAnsi" w:eastAsia="Calibri" w:hAnsiTheme="majorHAnsi" w:cstheme="majorHAnsi"/>
                <w:b/>
              </w:rPr>
              <w:t>EQUIPAMIENTOS DE SERVICIOS SOCIALES</w:t>
            </w:r>
          </w:p>
        </w:tc>
        <w:tc>
          <w:tcPr>
            <w:tcW w:w="567" w:type="dxa"/>
            <w:vMerge w:val="restart"/>
            <w:textDirection w:val="btLr"/>
            <w:vAlign w:val="center"/>
          </w:tcPr>
          <w:p w14:paraId="6206F326"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EDUCACIÓN</w:t>
            </w:r>
          </w:p>
        </w:tc>
        <w:tc>
          <w:tcPr>
            <w:tcW w:w="1275" w:type="dxa"/>
            <w:vAlign w:val="center"/>
          </w:tcPr>
          <w:p w14:paraId="3FAAE4B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1A14967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EEB</w:t>
            </w:r>
          </w:p>
        </w:tc>
        <w:tc>
          <w:tcPr>
            <w:tcW w:w="5516" w:type="dxa"/>
            <w:vAlign w:val="center"/>
          </w:tcPr>
          <w:p w14:paraId="22DC711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Preescolar, escolar (nivel básico).</w:t>
            </w:r>
          </w:p>
        </w:tc>
      </w:tr>
      <w:tr w:rsidR="00DC27E8" w:rsidRPr="00B24A80" w14:paraId="15EB5979" w14:textId="77777777" w:rsidTr="00F0459B">
        <w:tc>
          <w:tcPr>
            <w:tcW w:w="421" w:type="dxa"/>
            <w:vMerge/>
            <w:vAlign w:val="center"/>
          </w:tcPr>
          <w:p w14:paraId="32156A5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7A9D203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78E98F9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33362A8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EES</w:t>
            </w:r>
          </w:p>
        </w:tc>
        <w:tc>
          <w:tcPr>
            <w:tcW w:w="5516" w:type="dxa"/>
            <w:vAlign w:val="center"/>
          </w:tcPr>
          <w:p w14:paraId="400B8B4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Colegios secundarios, unidades educativas (nivel básico y bachillerato).</w:t>
            </w:r>
          </w:p>
        </w:tc>
      </w:tr>
      <w:tr w:rsidR="00DC27E8" w:rsidRPr="00B24A80" w14:paraId="2EB69CB6" w14:textId="77777777" w:rsidTr="00F0459B">
        <w:tc>
          <w:tcPr>
            <w:tcW w:w="421" w:type="dxa"/>
            <w:vMerge/>
            <w:vAlign w:val="center"/>
          </w:tcPr>
          <w:p w14:paraId="00D4244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6581009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2100E5F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3A84229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EEZ</w:t>
            </w:r>
          </w:p>
        </w:tc>
        <w:tc>
          <w:tcPr>
            <w:tcW w:w="5516" w:type="dxa"/>
            <w:vAlign w:val="center"/>
          </w:tcPr>
          <w:p w14:paraId="7A306C4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Institutos de educación especial, centro de capacitación laboral, institutos técnicos, centros artesanales y ocupacionales, escuelas taller, centros de investigación y experimentación, sedes académicas – administrativas sin aulas, centros tecnológicos e institutos de educación superior. Centros de interpretación de la naturaleza: Museos ecológicos, jardín botánico, miradores, observatorios, puntos de información.</w:t>
            </w:r>
          </w:p>
        </w:tc>
      </w:tr>
      <w:tr w:rsidR="00DC27E8" w:rsidRPr="00B24A80" w14:paraId="6EC5505A" w14:textId="77777777" w:rsidTr="00F0459B">
        <w:tc>
          <w:tcPr>
            <w:tcW w:w="421" w:type="dxa"/>
            <w:vMerge/>
            <w:vAlign w:val="center"/>
          </w:tcPr>
          <w:p w14:paraId="2EA6BF8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4E0E1D2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0E80E76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02399DB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EEC</w:t>
            </w:r>
          </w:p>
        </w:tc>
        <w:tc>
          <w:tcPr>
            <w:tcW w:w="5516" w:type="dxa"/>
            <w:vAlign w:val="center"/>
          </w:tcPr>
          <w:p w14:paraId="7764BD7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Centros tecnológicos e institutos de educación superior y universidades de más de 20 aulas.</w:t>
            </w:r>
          </w:p>
        </w:tc>
      </w:tr>
      <w:tr w:rsidR="00DC27E8" w:rsidRPr="00B24A80" w14:paraId="0A542899" w14:textId="77777777" w:rsidTr="00F0459B">
        <w:tc>
          <w:tcPr>
            <w:tcW w:w="421" w:type="dxa"/>
            <w:vMerge/>
            <w:vAlign w:val="center"/>
          </w:tcPr>
          <w:p w14:paraId="22A8809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355ABA83" w14:textId="77777777" w:rsidR="00DC27E8" w:rsidRPr="00B24A80" w:rsidRDefault="007F5505" w:rsidP="00E34BC9">
            <w:pPr>
              <w:ind w:left="113" w:right="113"/>
              <w:jc w:val="center"/>
              <w:rPr>
                <w:rFonts w:asciiTheme="majorHAnsi" w:eastAsia="Calibri" w:hAnsiTheme="majorHAnsi" w:cstheme="majorHAnsi"/>
                <w:b/>
              </w:rPr>
            </w:pPr>
            <w:r w:rsidRPr="00B24A80">
              <w:rPr>
                <w:rFonts w:asciiTheme="majorHAnsi" w:eastAsia="Calibri" w:hAnsiTheme="majorHAnsi" w:cstheme="majorHAnsi"/>
                <w:b/>
              </w:rPr>
              <w:t>CULTURA</w:t>
            </w:r>
          </w:p>
        </w:tc>
        <w:tc>
          <w:tcPr>
            <w:tcW w:w="1275" w:type="dxa"/>
            <w:vAlign w:val="center"/>
          </w:tcPr>
          <w:p w14:paraId="74B20542"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6C80B4B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ECB</w:t>
            </w:r>
          </w:p>
        </w:tc>
        <w:tc>
          <w:tcPr>
            <w:tcW w:w="5516" w:type="dxa"/>
            <w:vAlign w:val="center"/>
          </w:tcPr>
          <w:p w14:paraId="20A2383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Casas comunales.</w:t>
            </w:r>
          </w:p>
        </w:tc>
      </w:tr>
      <w:tr w:rsidR="00DC27E8" w:rsidRPr="00B24A80" w14:paraId="06D09F06" w14:textId="77777777" w:rsidTr="00F0459B">
        <w:tc>
          <w:tcPr>
            <w:tcW w:w="421" w:type="dxa"/>
            <w:vMerge/>
            <w:vAlign w:val="center"/>
          </w:tcPr>
          <w:p w14:paraId="59A61E0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4DB692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005D0EB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0D0AB31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ECS</w:t>
            </w:r>
          </w:p>
        </w:tc>
        <w:tc>
          <w:tcPr>
            <w:tcW w:w="5516" w:type="dxa"/>
            <w:vAlign w:val="center"/>
          </w:tcPr>
          <w:p w14:paraId="6E8531B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Bibliotecas, museos de artes populares, galerías públicas de arte, salas de exposiciones; teatros, auditorios y cines hasta 150 puestos.</w:t>
            </w:r>
          </w:p>
        </w:tc>
      </w:tr>
      <w:tr w:rsidR="00DC27E8" w:rsidRPr="00B24A80" w14:paraId="55E15739" w14:textId="77777777" w:rsidTr="00F0459B">
        <w:tc>
          <w:tcPr>
            <w:tcW w:w="421" w:type="dxa"/>
            <w:vMerge/>
            <w:vAlign w:val="center"/>
          </w:tcPr>
          <w:p w14:paraId="0C716F3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76C54AA1"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09CCE9A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152CFD3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ECZ</w:t>
            </w:r>
          </w:p>
        </w:tc>
        <w:tc>
          <w:tcPr>
            <w:tcW w:w="5516" w:type="dxa"/>
            <w:vAlign w:val="center"/>
          </w:tcPr>
          <w:p w14:paraId="79FC0F3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Centros de promoción popular, centros culturales, centros de documentación; teatros, auditorios y cines desde 150 hasta 300 puestos. Sedes de asociaciones y gremios profesionales.</w:t>
            </w:r>
          </w:p>
        </w:tc>
      </w:tr>
      <w:tr w:rsidR="00DC27E8" w:rsidRPr="00B24A80" w14:paraId="542B1F05" w14:textId="77777777" w:rsidTr="00F0459B">
        <w:trPr>
          <w:trHeight w:val="539"/>
        </w:trPr>
        <w:tc>
          <w:tcPr>
            <w:tcW w:w="421" w:type="dxa"/>
            <w:vMerge/>
            <w:vAlign w:val="center"/>
          </w:tcPr>
          <w:p w14:paraId="40DC0B3C"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4A7DB5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469714B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2D0378F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ECC</w:t>
            </w:r>
          </w:p>
        </w:tc>
        <w:tc>
          <w:tcPr>
            <w:tcW w:w="5516" w:type="dxa"/>
            <w:vAlign w:val="center"/>
          </w:tcPr>
          <w:p w14:paraId="7944818E"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Casas de la cultura, museos, cinematecas y hemerotecas; teatros, auditorios y salas de cine mayores a 300 puestos.</w:t>
            </w:r>
          </w:p>
        </w:tc>
      </w:tr>
      <w:tr w:rsidR="00DC27E8" w:rsidRPr="00B24A80" w14:paraId="00B4E3C9" w14:textId="77777777" w:rsidTr="00F0459B">
        <w:tc>
          <w:tcPr>
            <w:tcW w:w="421" w:type="dxa"/>
            <w:vMerge/>
            <w:vAlign w:val="center"/>
          </w:tcPr>
          <w:p w14:paraId="1551D52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7F6B77A2" w14:textId="77777777" w:rsidR="00DC27E8" w:rsidRPr="00B24A80" w:rsidRDefault="007F5505" w:rsidP="00E34BC9">
            <w:pPr>
              <w:ind w:left="113" w:right="113"/>
              <w:jc w:val="center"/>
              <w:rPr>
                <w:rFonts w:asciiTheme="majorHAnsi" w:eastAsia="Calibri" w:hAnsiTheme="majorHAnsi" w:cstheme="majorHAnsi"/>
                <w:b/>
              </w:rPr>
            </w:pPr>
            <w:r w:rsidRPr="00B24A80">
              <w:rPr>
                <w:rFonts w:asciiTheme="majorHAnsi" w:eastAsia="Calibri" w:hAnsiTheme="majorHAnsi" w:cstheme="majorHAnsi"/>
                <w:b/>
              </w:rPr>
              <w:t>SALUD</w:t>
            </w:r>
          </w:p>
        </w:tc>
        <w:tc>
          <w:tcPr>
            <w:tcW w:w="1275" w:type="dxa"/>
            <w:vAlign w:val="center"/>
          </w:tcPr>
          <w:p w14:paraId="58D977B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29D276AE"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ESB</w:t>
            </w:r>
          </w:p>
        </w:tc>
        <w:tc>
          <w:tcPr>
            <w:tcW w:w="5516" w:type="dxa"/>
            <w:vAlign w:val="center"/>
          </w:tcPr>
          <w:p w14:paraId="0A1FCAD4" w14:textId="59F8BBE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Sub-centros de salu</w:t>
            </w:r>
            <w:r w:rsidR="001647F4" w:rsidRPr="00B24A80">
              <w:rPr>
                <w:rFonts w:asciiTheme="majorHAnsi" w:eastAsia="Calibri" w:hAnsiTheme="majorHAnsi" w:cstheme="majorHAnsi"/>
              </w:rPr>
              <w:t>d</w:t>
            </w:r>
            <w:r w:rsidRPr="00B24A80">
              <w:rPr>
                <w:rFonts w:asciiTheme="majorHAnsi" w:eastAsia="Calibri" w:hAnsiTheme="majorHAnsi" w:cstheme="majorHAnsi"/>
              </w:rPr>
              <w:t>.</w:t>
            </w:r>
          </w:p>
        </w:tc>
      </w:tr>
      <w:tr w:rsidR="00DC27E8" w:rsidRPr="00B24A80" w14:paraId="3121C0BA" w14:textId="77777777" w:rsidTr="00F0459B">
        <w:tc>
          <w:tcPr>
            <w:tcW w:w="421" w:type="dxa"/>
            <w:vMerge/>
            <w:vAlign w:val="center"/>
          </w:tcPr>
          <w:p w14:paraId="3693556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4D406A3F"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3B38D4A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0E437F8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ESS</w:t>
            </w:r>
          </w:p>
        </w:tc>
        <w:tc>
          <w:tcPr>
            <w:tcW w:w="5516" w:type="dxa"/>
            <w:vAlign w:val="center"/>
          </w:tcPr>
          <w:p w14:paraId="4E80755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Clínicas de un máximo de 15 camas de hospitalización, centros de salud, unidades de emergencia, hospital del día, consultorios médicos y dentales de 6 a 20 unidades de consulta. Centros de rehabilitación.</w:t>
            </w:r>
          </w:p>
        </w:tc>
      </w:tr>
      <w:tr w:rsidR="00DC27E8" w:rsidRPr="00B24A80" w14:paraId="6CE965F6" w14:textId="77777777" w:rsidTr="00F0459B">
        <w:tc>
          <w:tcPr>
            <w:tcW w:w="421" w:type="dxa"/>
            <w:vMerge/>
            <w:vAlign w:val="center"/>
          </w:tcPr>
          <w:p w14:paraId="76EB75A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420DC948"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25EFB6C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7843F882"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ESZ</w:t>
            </w:r>
          </w:p>
        </w:tc>
        <w:tc>
          <w:tcPr>
            <w:tcW w:w="5516" w:type="dxa"/>
            <w:vAlign w:val="center"/>
          </w:tcPr>
          <w:p w14:paraId="62A19BF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Clínica, hospital entre 15 y 25 camas de hospitalización; consultorios mayores a 20 unidades de consulta.</w:t>
            </w:r>
          </w:p>
        </w:tc>
      </w:tr>
      <w:tr w:rsidR="00DC27E8" w:rsidRPr="00B24A80" w14:paraId="0ABFF8D2" w14:textId="77777777" w:rsidTr="00F0459B">
        <w:tc>
          <w:tcPr>
            <w:tcW w:w="421" w:type="dxa"/>
            <w:vMerge/>
            <w:vAlign w:val="center"/>
          </w:tcPr>
          <w:p w14:paraId="50F98BA6"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06F2DC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143B25C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3C24DC8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ESC</w:t>
            </w:r>
          </w:p>
        </w:tc>
        <w:tc>
          <w:tcPr>
            <w:tcW w:w="5516" w:type="dxa"/>
            <w:vAlign w:val="center"/>
          </w:tcPr>
          <w:p w14:paraId="6D2DA280"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Hospital de especialidades, centros de rehabilitación de salud.</w:t>
            </w:r>
          </w:p>
        </w:tc>
      </w:tr>
      <w:tr w:rsidR="00DC27E8" w:rsidRPr="00B24A80" w14:paraId="4ED2406B" w14:textId="77777777" w:rsidTr="00F0459B">
        <w:tc>
          <w:tcPr>
            <w:tcW w:w="421" w:type="dxa"/>
            <w:vMerge/>
            <w:vAlign w:val="center"/>
          </w:tcPr>
          <w:p w14:paraId="01B94E8F"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3D077541"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BIENESTAR SOCIAL</w:t>
            </w:r>
          </w:p>
        </w:tc>
        <w:tc>
          <w:tcPr>
            <w:tcW w:w="1275" w:type="dxa"/>
            <w:vAlign w:val="center"/>
          </w:tcPr>
          <w:p w14:paraId="622A060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0135E2A2"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EBB</w:t>
            </w:r>
          </w:p>
        </w:tc>
        <w:tc>
          <w:tcPr>
            <w:tcW w:w="5516" w:type="dxa"/>
            <w:vAlign w:val="center"/>
          </w:tcPr>
          <w:p w14:paraId="0B441B2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Centros infantiles, casas cuna y guarderías.</w:t>
            </w:r>
          </w:p>
        </w:tc>
      </w:tr>
      <w:tr w:rsidR="00DC27E8" w:rsidRPr="00B24A80" w14:paraId="01F78F2A" w14:textId="77777777" w:rsidTr="00F0459B">
        <w:trPr>
          <w:trHeight w:val="628"/>
        </w:trPr>
        <w:tc>
          <w:tcPr>
            <w:tcW w:w="421" w:type="dxa"/>
            <w:vMerge/>
            <w:vAlign w:val="center"/>
          </w:tcPr>
          <w:p w14:paraId="72FE3660"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D78FFC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45FA504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2EE6E12E"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EBS</w:t>
            </w:r>
          </w:p>
        </w:tc>
        <w:tc>
          <w:tcPr>
            <w:tcW w:w="5516" w:type="dxa"/>
            <w:vAlign w:val="center"/>
          </w:tcPr>
          <w:p w14:paraId="6A59615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Asistencia social: centros de formación juvenil y familiar, aldeas educativas, asilos de ancianos, centros de reposo, orfanatos.</w:t>
            </w:r>
          </w:p>
        </w:tc>
      </w:tr>
      <w:tr w:rsidR="00DC27E8" w:rsidRPr="00B24A80" w14:paraId="60FD9622" w14:textId="77777777" w:rsidTr="00F0459B">
        <w:trPr>
          <w:trHeight w:val="321"/>
        </w:trPr>
        <w:tc>
          <w:tcPr>
            <w:tcW w:w="421" w:type="dxa"/>
            <w:vMerge/>
            <w:vAlign w:val="center"/>
          </w:tcPr>
          <w:p w14:paraId="113BE1D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4154266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54518BA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5767E19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EBZ</w:t>
            </w:r>
          </w:p>
        </w:tc>
        <w:tc>
          <w:tcPr>
            <w:tcW w:w="5516" w:type="dxa"/>
            <w:vAlign w:val="center"/>
          </w:tcPr>
          <w:p w14:paraId="4745EF6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Albergues de asistencia social de más de 50 camas.</w:t>
            </w:r>
          </w:p>
        </w:tc>
      </w:tr>
      <w:tr w:rsidR="00DC27E8" w:rsidRPr="00B24A80" w14:paraId="4A18266A" w14:textId="77777777" w:rsidTr="00F0459B">
        <w:trPr>
          <w:trHeight w:val="368"/>
        </w:trPr>
        <w:tc>
          <w:tcPr>
            <w:tcW w:w="421" w:type="dxa"/>
            <w:vMerge/>
            <w:vAlign w:val="center"/>
          </w:tcPr>
          <w:p w14:paraId="7B75892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671B0E68"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14048E0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0DC8E7F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EBC</w:t>
            </w:r>
          </w:p>
        </w:tc>
        <w:tc>
          <w:tcPr>
            <w:tcW w:w="5516" w:type="dxa"/>
            <w:vAlign w:val="center"/>
          </w:tcPr>
          <w:p w14:paraId="6F772D7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Centro de protección de menores.</w:t>
            </w:r>
          </w:p>
        </w:tc>
      </w:tr>
      <w:tr w:rsidR="00DC27E8" w:rsidRPr="00B24A80" w14:paraId="2FE87090" w14:textId="77777777" w:rsidTr="00F0459B">
        <w:tc>
          <w:tcPr>
            <w:tcW w:w="421" w:type="dxa"/>
            <w:vMerge/>
            <w:vAlign w:val="center"/>
          </w:tcPr>
          <w:p w14:paraId="1B8697D6"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157BB2BA"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RECREACIÓN Y DEPORTE</w:t>
            </w:r>
          </w:p>
        </w:tc>
        <w:tc>
          <w:tcPr>
            <w:tcW w:w="1275" w:type="dxa"/>
            <w:vAlign w:val="center"/>
          </w:tcPr>
          <w:p w14:paraId="45845612"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00E6DBD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EDB</w:t>
            </w:r>
          </w:p>
        </w:tc>
        <w:tc>
          <w:tcPr>
            <w:tcW w:w="5516" w:type="dxa"/>
            <w:vAlign w:val="center"/>
          </w:tcPr>
          <w:p w14:paraId="338C7EC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Parques infantiles, parque barrial, parques de recreación pasiva, jardinería y arborización.</w:t>
            </w:r>
          </w:p>
        </w:tc>
      </w:tr>
      <w:tr w:rsidR="00DC27E8" w:rsidRPr="00B24A80" w14:paraId="71D6F005" w14:textId="77777777" w:rsidTr="00F0459B">
        <w:tc>
          <w:tcPr>
            <w:tcW w:w="421" w:type="dxa"/>
            <w:vMerge/>
            <w:vAlign w:val="center"/>
          </w:tcPr>
          <w:p w14:paraId="0333023F"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6E9D00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62DDF03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7755ADC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EDS</w:t>
            </w:r>
          </w:p>
        </w:tc>
        <w:tc>
          <w:tcPr>
            <w:tcW w:w="5516" w:type="dxa"/>
            <w:vAlign w:val="center"/>
          </w:tcPr>
          <w:p w14:paraId="2CF944F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Parque sectorial, jardinería, arborización y canchas deportivas excepto canchas de fútbol.</w:t>
            </w:r>
          </w:p>
        </w:tc>
      </w:tr>
      <w:tr w:rsidR="00DC27E8" w:rsidRPr="00B24A80" w14:paraId="6380413B" w14:textId="77777777" w:rsidTr="00F0459B">
        <w:tc>
          <w:tcPr>
            <w:tcW w:w="421" w:type="dxa"/>
            <w:vMerge/>
            <w:vAlign w:val="center"/>
          </w:tcPr>
          <w:p w14:paraId="5DC2F68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B78D664"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Merge w:val="restart"/>
            <w:vAlign w:val="center"/>
          </w:tcPr>
          <w:p w14:paraId="05C56E0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021AE920"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EDZ1</w:t>
            </w:r>
          </w:p>
        </w:tc>
        <w:tc>
          <w:tcPr>
            <w:tcW w:w="5516" w:type="dxa"/>
            <w:vAlign w:val="center"/>
          </w:tcPr>
          <w:p w14:paraId="5D6E174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Estadios, canchas de futbol, gimnasios, piscinas y escuelas deportivas, polideportivos y coliseos (hasta 2500 personas). Centros de espectáculos, galleras (hasta 1000 personas), jardinería y arborización.</w:t>
            </w:r>
          </w:p>
        </w:tc>
      </w:tr>
      <w:tr w:rsidR="00DC27E8" w:rsidRPr="00B24A80" w14:paraId="558D4E01" w14:textId="77777777" w:rsidTr="00F0459B">
        <w:tc>
          <w:tcPr>
            <w:tcW w:w="421" w:type="dxa"/>
            <w:vMerge/>
            <w:vAlign w:val="center"/>
          </w:tcPr>
          <w:p w14:paraId="4A5372F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7E6F25B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Merge/>
            <w:vAlign w:val="center"/>
          </w:tcPr>
          <w:p w14:paraId="09075E4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709" w:type="dxa"/>
            <w:shd w:val="clear" w:color="auto" w:fill="BFBFBF"/>
            <w:vAlign w:val="center"/>
          </w:tcPr>
          <w:p w14:paraId="7AB7F66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EDZ2</w:t>
            </w:r>
          </w:p>
        </w:tc>
        <w:tc>
          <w:tcPr>
            <w:tcW w:w="5516" w:type="dxa"/>
            <w:vAlign w:val="center"/>
          </w:tcPr>
          <w:p w14:paraId="7E747A8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Parque zonal, centros recreativos y/o deportivos públicos y privados, karting, galleras.</w:t>
            </w:r>
          </w:p>
        </w:tc>
      </w:tr>
      <w:tr w:rsidR="00DC27E8" w:rsidRPr="00B24A80" w14:paraId="1F20C3F2" w14:textId="77777777" w:rsidTr="00F0459B">
        <w:tc>
          <w:tcPr>
            <w:tcW w:w="421" w:type="dxa"/>
            <w:vMerge/>
            <w:vAlign w:val="center"/>
          </w:tcPr>
          <w:p w14:paraId="28F668C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01EBA7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Merge w:val="restart"/>
            <w:vAlign w:val="center"/>
          </w:tcPr>
          <w:p w14:paraId="05E5349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451F3CE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EDC1</w:t>
            </w:r>
          </w:p>
        </w:tc>
        <w:tc>
          <w:tcPr>
            <w:tcW w:w="5516" w:type="dxa"/>
            <w:vAlign w:val="center"/>
          </w:tcPr>
          <w:p w14:paraId="5A703EA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Parques de ciudad, jardín botánico, zoológicos, parque de fauna y flora silvestre.</w:t>
            </w:r>
          </w:p>
        </w:tc>
      </w:tr>
      <w:tr w:rsidR="00DC27E8" w:rsidRPr="00B24A80" w14:paraId="6CE4AB8C" w14:textId="77777777" w:rsidTr="00F0459B">
        <w:tc>
          <w:tcPr>
            <w:tcW w:w="421" w:type="dxa"/>
            <w:vMerge/>
            <w:vAlign w:val="center"/>
          </w:tcPr>
          <w:p w14:paraId="4709D9A1"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FEED09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Merge/>
            <w:vAlign w:val="center"/>
          </w:tcPr>
          <w:p w14:paraId="67C578F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709" w:type="dxa"/>
            <w:shd w:val="clear" w:color="auto" w:fill="BFBFBF"/>
            <w:vAlign w:val="center"/>
          </w:tcPr>
          <w:p w14:paraId="1DBF61F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EDC2</w:t>
            </w:r>
          </w:p>
        </w:tc>
        <w:tc>
          <w:tcPr>
            <w:tcW w:w="5516" w:type="dxa"/>
            <w:vAlign w:val="center"/>
          </w:tcPr>
          <w:p w14:paraId="521E3BB0"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Estadios, polideportivos y coliseos de más de 2500 personas.</w:t>
            </w:r>
          </w:p>
        </w:tc>
      </w:tr>
      <w:tr w:rsidR="00DC27E8" w:rsidRPr="00B24A80" w14:paraId="2B4CD0C4" w14:textId="77777777" w:rsidTr="00F0459B">
        <w:tc>
          <w:tcPr>
            <w:tcW w:w="421" w:type="dxa"/>
            <w:vMerge/>
            <w:vAlign w:val="center"/>
          </w:tcPr>
          <w:p w14:paraId="1B96072F"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659E4A26"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RELIGIOSO</w:t>
            </w:r>
          </w:p>
        </w:tc>
        <w:tc>
          <w:tcPr>
            <w:tcW w:w="1275" w:type="dxa"/>
            <w:vAlign w:val="center"/>
          </w:tcPr>
          <w:p w14:paraId="048F76D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0ECFB4B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ERB</w:t>
            </w:r>
          </w:p>
        </w:tc>
        <w:tc>
          <w:tcPr>
            <w:tcW w:w="5516" w:type="dxa"/>
            <w:vAlign w:val="center"/>
          </w:tcPr>
          <w:p w14:paraId="515454F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Capillas, centros de culto religioso hasta 200 personas.</w:t>
            </w:r>
          </w:p>
        </w:tc>
      </w:tr>
      <w:tr w:rsidR="00DC27E8" w:rsidRPr="00B24A80" w14:paraId="7AB314B7" w14:textId="77777777" w:rsidTr="00F0459B">
        <w:tc>
          <w:tcPr>
            <w:tcW w:w="421" w:type="dxa"/>
            <w:vMerge/>
            <w:vAlign w:val="center"/>
          </w:tcPr>
          <w:p w14:paraId="3CF1AFC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EF1C841"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3C9C205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4C922C7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ERS</w:t>
            </w:r>
          </w:p>
        </w:tc>
        <w:tc>
          <w:tcPr>
            <w:tcW w:w="5516" w:type="dxa"/>
            <w:vAlign w:val="center"/>
          </w:tcPr>
          <w:p w14:paraId="1EC15A5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Templos, iglesias hasta 500 personas.</w:t>
            </w:r>
          </w:p>
        </w:tc>
      </w:tr>
      <w:tr w:rsidR="00DC27E8" w:rsidRPr="00B24A80" w14:paraId="6C516AAC" w14:textId="77777777" w:rsidTr="00F0459B">
        <w:trPr>
          <w:trHeight w:val="668"/>
        </w:trPr>
        <w:tc>
          <w:tcPr>
            <w:tcW w:w="421" w:type="dxa"/>
            <w:vMerge/>
            <w:vAlign w:val="center"/>
          </w:tcPr>
          <w:p w14:paraId="432EA64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6FAD6D38"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6B43FA7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29ECDAF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ERC</w:t>
            </w:r>
          </w:p>
        </w:tc>
        <w:tc>
          <w:tcPr>
            <w:tcW w:w="5516" w:type="dxa"/>
            <w:vAlign w:val="center"/>
          </w:tcPr>
          <w:p w14:paraId="7E99C61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Catedral o centros de culto religioso de más de 500 personas, conventos y monasterios.</w:t>
            </w:r>
          </w:p>
        </w:tc>
      </w:tr>
      <w:tr w:rsidR="00DC27E8" w:rsidRPr="00B24A80" w14:paraId="509C4F45" w14:textId="77777777" w:rsidTr="00F0459B">
        <w:tc>
          <w:tcPr>
            <w:tcW w:w="421" w:type="dxa"/>
            <w:vMerge w:val="restart"/>
            <w:textDirection w:val="btLr"/>
            <w:vAlign w:val="center"/>
          </w:tcPr>
          <w:p w14:paraId="0A762E51" w14:textId="77777777" w:rsidR="00DC27E8" w:rsidRPr="00B24A80" w:rsidRDefault="007F5505" w:rsidP="00242A0F">
            <w:pPr>
              <w:ind w:left="113" w:right="113"/>
              <w:jc w:val="center"/>
              <w:rPr>
                <w:rFonts w:asciiTheme="majorHAnsi" w:eastAsia="Calibri" w:hAnsiTheme="majorHAnsi" w:cstheme="majorHAnsi"/>
                <w:b/>
              </w:rPr>
            </w:pPr>
            <w:r w:rsidRPr="00B24A80">
              <w:rPr>
                <w:rFonts w:asciiTheme="majorHAnsi" w:eastAsia="Calibri" w:hAnsiTheme="majorHAnsi" w:cstheme="majorHAnsi"/>
                <w:b/>
              </w:rPr>
              <w:t>EQUIPAMEINTOS DE SERVICIOS PÚBLICOS</w:t>
            </w:r>
          </w:p>
          <w:p w14:paraId="72DB8734" w14:textId="77777777" w:rsidR="00DC27E8" w:rsidRPr="00B24A80" w:rsidRDefault="00DC27E8">
            <w:pPr>
              <w:ind w:left="113" w:right="113"/>
              <w:rPr>
                <w:rFonts w:asciiTheme="majorHAnsi" w:eastAsia="Calibri" w:hAnsiTheme="majorHAnsi" w:cstheme="majorHAnsi"/>
              </w:rPr>
            </w:pPr>
          </w:p>
        </w:tc>
        <w:tc>
          <w:tcPr>
            <w:tcW w:w="567" w:type="dxa"/>
            <w:vMerge w:val="restart"/>
            <w:textDirection w:val="btLr"/>
            <w:vAlign w:val="center"/>
          </w:tcPr>
          <w:p w14:paraId="6ADED56B"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SEGURIDAD</w:t>
            </w:r>
          </w:p>
        </w:tc>
        <w:tc>
          <w:tcPr>
            <w:tcW w:w="1275" w:type="dxa"/>
            <w:vAlign w:val="center"/>
          </w:tcPr>
          <w:p w14:paraId="01AE49B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164E648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EGB</w:t>
            </w:r>
          </w:p>
        </w:tc>
        <w:tc>
          <w:tcPr>
            <w:tcW w:w="5516" w:type="dxa"/>
            <w:vAlign w:val="center"/>
          </w:tcPr>
          <w:p w14:paraId="58730BE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Unidad de policía comunitaria, UPC, unidad de control del medio ambiente.</w:t>
            </w:r>
          </w:p>
        </w:tc>
      </w:tr>
      <w:tr w:rsidR="00DC27E8" w:rsidRPr="00B24A80" w14:paraId="16AAAFCB" w14:textId="77777777" w:rsidTr="00F0459B">
        <w:tc>
          <w:tcPr>
            <w:tcW w:w="421" w:type="dxa"/>
            <w:vMerge/>
            <w:vAlign w:val="center"/>
          </w:tcPr>
          <w:p w14:paraId="1799E64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062508D2"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55D0028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27FDF59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EGS</w:t>
            </w:r>
          </w:p>
        </w:tc>
        <w:tc>
          <w:tcPr>
            <w:tcW w:w="5516" w:type="dxa"/>
            <w:vAlign w:val="center"/>
          </w:tcPr>
          <w:p w14:paraId="54C4A2E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Estación de bomberos.</w:t>
            </w:r>
          </w:p>
        </w:tc>
      </w:tr>
      <w:tr w:rsidR="00DC27E8" w:rsidRPr="00B24A80" w14:paraId="396C65DA" w14:textId="77777777" w:rsidTr="00F0459B">
        <w:tc>
          <w:tcPr>
            <w:tcW w:w="421" w:type="dxa"/>
            <w:vMerge/>
            <w:vAlign w:val="center"/>
          </w:tcPr>
          <w:p w14:paraId="2D26CED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44DA14F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7D6392D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7005EC2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EGZ</w:t>
            </w:r>
          </w:p>
        </w:tc>
        <w:tc>
          <w:tcPr>
            <w:tcW w:w="5516" w:type="dxa"/>
            <w:vAlign w:val="center"/>
          </w:tcPr>
          <w:p w14:paraId="2E421D5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Cuartel de policía, centros de detención provisional.</w:t>
            </w:r>
          </w:p>
        </w:tc>
      </w:tr>
      <w:tr w:rsidR="00DC27E8" w:rsidRPr="00B24A80" w14:paraId="3F9E31C9" w14:textId="77777777" w:rsidTr="00F0459B">
        <w:tc>
          <w:tcPr>
            <w:tcW w:w="421" w:type="dxa"/>
            <w:vMerge/>
            <w:vAlign w:val="center"/>
          </w:tcPr>
          <w:p w14:paraId="0E8C2E78"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32DF7601"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41BED7F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5170AD4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EGC</w:t>
            </w:r>
          </w:p>
        </w:tc>
        <w:tc>
          <w:tcPr>
            <w:tcW w:w="5516" w:type="dxa"/>
            <w:vAlign w:val="center"/>
          </w:tcPr>
          <w:p w14:paraId="6AB512C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Instalaciones militares, cuarteles y centros de rehabilitación social, penitenciarias y cárceles.</w:t>
            </w:r>
          </w:p>
        </w:tc>
      </w:tr>
      <w:tr w:rsidR="00DC27E8" w:rsidRPr="00B24A80" w14:paraId="4338689C" w14:textId="77777777" w:rsidTr="00F0459B">
        <w:tc>
          <w:tcPr>
            <w:tcW w:w="421" w:type="dxa"/>
            <w:vMerge/>
            <w:vAlign w:val="center"/>
          </w:tcPr>
          <w:p w14:paraId="32E8CF87"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286E29EA"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ADMINISTRACIÓN PÚBLICA</w:t>
            </w:r>
          </w:p>
        </w:tc>
        <w:tc>
          <w:tcPr>
            <w:tcW w:w="1275" w:type="dxa"/>
            <w:vAlign w:val="center"/>
          </w:tcPr>
          <w:p w14:paraId="254AAE81"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3D15630E"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EAS</w:t>
            </w:r>
          </w:p>
        </w:tc>
        <w:tc>
          <w:tcPr>
            <w:tcW w:w="5516" w:type="dxa"/>
            <w:vAlign w:val="center"/>
          </w:tcPr>
          <w:p w14:paraId="7885E1E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Agencias municipales, oficinas del agua potable, energía eléctrica, correos y teléfonos, sedes de gremio y federaciones de profesionales.</w:t>
            </w:r>
          </w:p>
        </w:tc>
      </w:tr>
      <w:tr w:rsidR="00DC27E8" w:rsidRPr="00B24A80" w14:paraId="64757CFB" w14:textId="77777777" w:rsidTr="00F0459B">
        <w:tc>
          <w:tcPr>
            <w:tcW w:w="421" w:type="dxa"/>
            <w:vMerge/>
            <w:vAlign w:val="center"/>
          </w:tcPr>
          <w:p w14:paraId="6611EEB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9004F67"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7BF30997"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35C3EAA1"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EAZ</w:t>
            </w:r>
          </w:p>
        </w:tc>
        <w:tc>
          <w:tcPr>
            <w:tcW w:w="5516" w:type="dxa"/>
            <w:vAlign w:val="center"/>
          </w:tcPr>
          <w:p w14:paraId="380CF73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Administraciones zonales, representaciones diplomáticas, consulados, embajadas y organismos internacionales.</w:t>
            </w:r>
          </w:p>
        </w:tc>
      </w:tr>
      <w:tr w:rsidR="00DC27E8" w:rsidRPr="00B24A80" w14:paraId="22BA9D45" w14:textId="77777777" w:rsidTr="00F0459B">
        <w:trPr>
          <w:trHeight w:val="709"/>
        </w:trPr>
        <w:tc>
          <w:tcPr>
            <w:tcW w:w="421" w:type="dxa"/>
            <w:vMerge/>
            <w:vAlign w:val="center"/>
          </w:tcPr>
          <w:p w14:paraId="0A488E44"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C867B75"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6E3AE62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649D7921"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EAC</w:t>
            </w:r>
          </w:p>
        </w:tc>
        <w:tc>
          <w:tcPr>
            <w:tcW w:w="5516" w:type="dxa"/>
            <w:vAlign w:val="center"/>
          </w:tcPr>
          <w:p w14:paraId="083CE21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Alcaldías, sedes principales de entidades públicas y centros administrativos nacionales, provinciales y distritales.</w:t>
            </w:r>
          </w:p>
        </w:tc>
      </w:tr>
      <w:tr w:rsidR="00DC27E8" w:rsidRPr="00B24A80" w14:paraId="539D54A7" w14:textId="77777777" w:rsidTr="00F0459B">
        <w:tc>
          <w:tcPr>
            <w:tcW w:w="421" w:type="dxa"/>
            <w:vMerge/>
            <w:vAlign w:val="center"/>
          </w:tcPr>
          <w:p w14:paraId="6C301EC7"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0D19B9C6"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SERVICIOS FUNERARIOS</w:t>
            </w:r>
          </w:p>
        </w:tc>
        <w:tc>
          <w:tcPr>
            <w:tcW w:w="1275" w:type="dxa"/>
            <w:vAlign w:val="center"/>
          </w:tcPr>
          <w:p w14:paraId="2EF88F9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10AA33B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EFS</w:t>
            </w:r>
          </w:p>
        </w:tc>
        <w:tc>
          <w:tcPr>
            <w:tcW w:w="5516" w:type="dxa"/>
            <w:vAlign w:val="center"/>
          </w:tcPr>
          <w:p w14:paraId="6C8F618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Funerarias, venta de ataúdes y salas de velaciones sin crematorio.</w:t>
            </w:r>
          </w:p>
        </w:tc>
      </w:tr>
      <w:tr w:rsidR="00DC27E8" w:rsidRPr="00B24A80" w14:paraId="15216D09" w14:textId="77777777" w:rsidTr="00F0459B">
        <w:tc>
          <w:tcPr>
            <w:tcW w:w="421" w:type="dxa"/>
            <w:vMerge/>
            <w:vAlign w:val="center"/>
          </w:tcPr>
          <w:p w14:paraId="55C577F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398FF47"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6F85FC8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023536D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EFZ</w:t>
            </w:r>
          </w:p>
        </w:tc>
        <w:tc>
          <w:tcPr>
            <w:tcW w:w="5516" w:type="dxa"/>
            <w:vAlign w:val="center"/>
          </w:tcPr>
          <w:p w14:paraId="4E8666C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Cementerios parroquiales o zonales con salas de velaciones, fosas, nichos, criptas, osarios con o sin crematorio y columbarios, adscritos al cementerio.</w:t>
            </w:r>
          </w:p>
        </w:tc>
      </w:tr>
      <w:tr w:rsidR="00DC27E8" w:rsidRPr="00B24A80" w14:paraId="073DB2E9" w14:textId="77777777" w:rsidTr="00F0459B">
        <w:tc>
          <w:tcPr>
            <w:tcW w:w="421" w:type="dxa"/>
            <w:vMerge/>
            <w:vAlign w:val="center"/>
          </w:tcPr>
          <w:p w14:paraId="3E60B81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1F83A260"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17F90A0E"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48037202"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EFC</w:t>
            </w:r>
          </w:p>
        </w:tc>
        <w:tc>
          <w:tcPr>
            <w:tcW w:w="5516" w:type="dxa"/>
            <w:vAlign w:val="center"/>
          </w:tcPr>
          <w:p w14:paraId="47399609"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Parques cementerios o camposantos con salas de velaciones, fosas, nichos, criptas, crematorios, osarios y columbarios adscritos al cementerio.</w:t>
            </w:r>
          </w:p>
        </w:tc>
      </w:tr>
      <w:tr w:rsidR="00DC27E8" w:rsidRPr="00B24A80" w14:paraId="5E3E17AF" w14:textId="77777777" w:rsidTr="00F0459B">
        <w:tc>
          <w:tcPr>
            <w:tcW w:w="421" w:type="dxa"/>
            <w:vMerge/>
            <w:vAlign w:val="center"/>
          </w:tcPr>
          <w:p w14:paraId="65054DB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1784353D"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TRANSPORTE</w:t>
            </w:r>
          </w:p>
        </w:tc>
        <w:tc>
          <w:tcPr>
            <w:tcW w:w="1275" w:type="dxa"/>
            <w:vAlign w:val="center"/>
          </w:tcPr>
          <w:p w14:paraId="45FB160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4C885B6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ETB</w:t>
            </w:r>
          </w:p>
        </w:tc>
        <w:tc>
          <w:tcPr>
            <w:tcW w:w="5516" w:type="dxa"/>
            <w:vAlign w:val="center"/>
          </w:tcPr>
          <w:p w14:paraId="2627C1A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Estación de taxis, paradas de buses, parqueaderos públicos motorizados y no motorizados.</w:t>
            </w:r>
          </w:p>
        </w:tc>
      </w:tr>
      <w:tr w:rsidR="00DC27E8" w:rsidRPr="00B24A80" w14:paraId="5D8E2FA0" w14:textId="77777777" w:rsidTr="00F0459B">
        <w:tc>
          <w:tcPr>
            <w:tcW w:w="421" w:type="dxa"/>
            <w:vMerge/>
            <w:vAlign w:val="center"/>
          </w:tcPr>
          <w:p w14:paraId="0F1F8EDC"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48B8522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62359AC1"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3D7EDB7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ETS</w:t>
            </w:r>
          </w:p>
        </w:tc>
        <w:tc>
          <w:tcPr>
            <w:tcW w:w="5516" w:type="dxa"/>
            <w:vAlign w:val="center"/>
          </w:tcPr>
          <w:p w14:paraId="46B6600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Estacionamiento de camionetas, buses urbanos, centros de revisión vehicular.</w:t>
            </w:r>
          </w:p>
        </w:tc>
      </w:tr>
      <w:tr w:rsidR="00DC27E8" w:rsidRPr="00B24A80" w14:paraId="09ABA02A" w14:textId="77777777" w:rsidTr="00F0459B">
        <w:tc>
          <w:tcPr>
            <w:tcW w:w="421" w:type="dxa"/>
            <w:vMerge/>
            <w:vAlign w:val="center"/>
          </w:tcPr>
          <w:p w14:paraId="32C5F37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6F1A6DC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Merge w:val="restart"/>
            <w:vAlign w:val="center"/>
          </w:tcPr>
          <w:p w14:paraId="63F3538C"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p w14:paraId="08D9084A" w14:textId="77777777" w:rsidR="00DC27E8" w:rsidRPr="00B24A80" w:rsidRDefault="00DC27E8">
            <w:pPr>
              <w:rPr>
                <w:rFonts w:asciiTheme="majorHAnsi" w:eastAsia="Calibri" w:hAnsiTheme="majorHAnsi" w:cstheme="majorHAnsi"/>
              </w:rPr>
            </w:pPr>
          </w:p>
        </w:tc>
        <w:tc>
          <w:tcPr>
            <w:tcW w:w="709" w:type="dxa"/>
            <w:shd w:val="clear" w:color="auto" w:fill="BFBFBF"/>
            <w:vAlign w:val="center"/>
          </w:tcPr>
          <w:p w14:paraId="091FBDF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ETZ1</w:t>
            </w:r>
          </w:p>
        </w:tc>
        <w:tc>
          <w:tcPr>
            <w:tcW w:w="5516" w:type="dxa"/>
            <w:vAlign w:val="center"/>
          </w:tcPr>
          <w:p w14:paraId="21C7D10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Terminales locales, terminales de transferencia de transporte público.</w:t>
            </w:r>
          </w:p>
        </w:tc>
      </w:tr>
      <w:tr w:rsidR="00DC27E8" w:rsidRPr="00B24A80" w14:paraId="3DF933D7" w14:textId="77777777" w:rsidTr="00F0459B">
        <w:tc>
          <w:tcPr>
            <w:tcW w:w="421" w:type="dxa"/>
            <w:vMerge/>
            <w:vAlign w:val="center"/>
          </w:tcPr>
          <w:p w14:paraId="182C26D4"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70DA5600"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Merge/>
            <w:vAlign w:val="center"/>
          </w:tcPr>
          <w:p w14:paraId="032226AE"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709" w:type="dxa"/>
            <w:shd w:val="clear" w:color="auto" w:fill="BFBFBF"/>
            <w:vAlign w:val="center"/>
          </w:tcPr>
          <w:p w14:paraId="50328B3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ETZ2</w:t>
            </w:r>
          </w:p>
        </w:tc>
        <w:tc>
          <w:tcPr>
            <w:tcW w:w="5516" w:type="dxa"/>
            <w:vAlign w:val="center"/>
          </w:tcPr>
          <w:p w14:paraId="3E14C5E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Estaciones de transporte de carga y maquinaria pesada.</w:t>
            </w:r>
          </w:p>
        </w:tc>
      </w:tr>
      <w:tr w:rsidR="00DC27E8" w:rsidRPr="00B24A80" w14:paraId="28A81C15" w14:textId="77777777" w:rsidTr="00F0459B">
        <w:tc>
          <w:tcPr>
            <w:tcW w:w="421" w:type="dxa"/>
            <w:vMerge/>
            <w:vAlign w:val="center"/>
          </w:tcPr>
          <w:p w14:paraId="1C46A1CA"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CB97E5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53301BF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77AE4040"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ETC</w:t>
            </w:r>
          </w:p>
        </w:tc>
        <w:tc>
          <w:tcPr>
            <w:tcW w:w="5516" w:type="dxa"/>
            <w:vAlign w:val="center"/>
          </w:tcPr>
          <w:p w14:paraId="72E3CFC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Terminales de buses interprovinciales y de carga, estaciones de ferrocarriles de carga y pasajeros, aeropuertos civiles y militares.</w:t>
            </w:r>
          </w:p>
        </w:tc>
      </w:tr>
      <w:tr w:rsidR="00DC27E8" w:rsidRPr="00B24A80" w14:paraId="3F5F8291" w14:textId="77777777" w:rsidTr="00F0459B">
        <w:tc>
          <w:tcPr>
            <w:tcW w:w="421" w:type="dxa"/>
            <w:vMerge/>
            <w:vAlign w:val="center"/>
          </w:tcPr>
          <w:p w14:paraId="544A0A0D"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377065F2"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INFRAESTRUCTURA</w:t>
            </w:r>
          </w:p>
        </w:tc>
        <w:tc>
          <w:tcPr>
            <w:tcW w:w="1275" w:type="dxa"/>
            <w:vAlign w:val="center"/>
          </w:tcPr>
          <w:p w14:paraId="6E03CADB"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Barrial</w:t>
            </w:r>
          </w:p>
        </w:tc>
        <w:tc>
          <w:tcPr>
            <w:tcW w:w="709" w:type="dxa"/>
            <w:shd w:val="clear" w:color="auto" w:fill="BFBFBF"/>
            <w:vAlign w:val="center"/>
          </w:tcPr>
          <w:p w14:paraId="228A1A8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EIB</w:t>
            </w:r>
          </w:p>
        </w:tc>
        <w:tc>
          <w:tcPr>
            <w:tcW w:w="5516" w:type="dxa"/>
            <w:vAlign w:val="center"/>
          </w:tcPr>
          <w:p w14:paraId="2727DD3F"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Baterías sanitarias y lavanderías públicas.</w:t>
            </w:r>
          </w:p>
        </w:tc>
      </w:tr>
      <w:tr w:rsidR="00DC27E8" w:rsidRPr="00B24A80" w14:paraId="6241B20A" w14:textId="77777777" w:rsidTr="00F0459B">
        <w:tc>
          <w:tcPr>
            <w:tcW w:w="421" w:type="dxa"/>
            <w:vMerge/>
            <w:vAlign w:val="center"/>
          </w:tcPr>
          <w:p w14:paraId="4E20D5DB"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5CB922F3"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457EAFC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Sectorial</w:t>
            </w:r>
          </w:p>
        </w:tc>
        <w:tc>
          <w:tcPr>
            <w:tcW w:w="709" w:type="dxa"/>
            <w:shd w:val="clear" w:color="auto" w:fill="BFBFBF"/>
            <w:vAlign w:val="center"/>
          </w:tcPr>
          <w:p w14:paraId="282B180D"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EIS</w:t>
            </w:r>
          </w:p>
        </w:tc>
        <w:tc>
          <w:tcPr>
            <w:tcW w:w="5516" w:type="dxa"/>
            <w:vAlign w:val="center"/>
          </w:tcPr>
          <w:p w14:paraId="184676A1"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Estaciones de bombeo, tanques de almacenamiento de agua, estaciones radioeléctricas, centrales fijas y de base de los servicios fijos y móvil terrestre de radio comunicación.</w:t>
            </w:r>
          </w:p>
        </w:tc>
      </w:tr>
      <w:tr w:rsidR="00DC27E8" w:rsidRPr="00B24A80" w14:paraId="693DD985" w14:textId="77777777" w:rsidTr="00F0459B">
        <w:tc>
          <w:tcPr>
            <w:tcW w:w="421" w:type="dxa"/>
            <w:vMerge/>
            <w:vAlign w:val="center"/>
          </w:tcPr>
          <w:p w14:paraId="0D580247"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045C0CB4"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5A5FFDA0"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2F91D1B8"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EIZ</w:t>
            </w:r>
          </w:p>
        </w:tc>
        <w:tc>
          <w:tcPr>
            <w:tcW w:w="5516" w:type="dxa"/>
            <w:vAlign w:val="center"/>
          </w:tcPr>
          <w:p w14:paraId="08275D95"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Plantas potabilizadoras y subestaciones eléctricas, antenas centrales de transmisión y recepción de telecomunicaciones.</w:t>
            </w:r>
          </w:p>
        </w:tc>
      </w:tr>
      <w:tr w:rsidR="00DC27E8" w:rsidRPr="00B24A80" w14:paraId="478C6981" w14:textId="77777777" w:rsidTr="00F0459B">
        <w:trPr>
          <w:trHeight w:val="376"/>
        </w:trPr>
        <w:tc>
          <w:tcPr>
            <w:tcW w:w="421" w:type="dxa"/>
            <w:vMerge/>
            <w:vAlign w:val="center"/>
          </w:tcPr>
          <w:p w14:paraId="04CEAC98"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07BFFE91"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6B95AEC1"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685E172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EIC</w:t>
            </w:r>
          </w:p>
        </w:tc>
        <w:tc>
          <w:tcPr>
            <w:tcW w:w="5516" w:type="dxa"/>
            <w:vAlign w:val="center"/>
          </w:tcPr>
          <w:p w14:paraId="7CAB0283"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Plantas de tratamiento y estaciones de energía eléctrica.</w:t>
            </w:r>
          </w:p>
        </w:tc>
      </w:tr>
      <w:tr w:rsidR="00DC27E8" w:rsidRPr="00B24A80" w14:paraId="3ACE718E" w14:textId="77777777" w:rsidTr="00F0459B">
        <w:tc>
          <w:tcPr>
            <w:tcW w:w="421" w:type="dxa"/>
            <w:vMerge/>
            <w:vAlign w:val="center"/>
          </w:tcPr>
          <w:p w14:paraId="70B854E6"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restart"/>
            <w:textDirection w:val="btLr"/>
            <w:vAlign w:val="center"/>
          </w:tcPr>
          <w:p w14:paraId="6A9DEFFE" w14:textId="77777777" w:rsidR="00DC27E8" w:rsidRPr="00B24A80" w:rsidRDefault="007F5505">
            <w:pPr>
              <w:ind w:left="113" w:right="113"/>
              <w:rPr>
                <w:rFonts w:asciiTheme="majorHAnsi" w:eastAsia="Calibri" w:hAnsiTheme="majorHAnsi" w:cstheme="majorHAnsi"/>
                <w:b/>
              </w:rPr>
            </w:pPr>
            <w:r w:rsidRPr="00B24A80">
              <w:rPr>
                <w:rFonts w:asciiTheme="majorHAnsi" w:eastAsia="Calibri" w:hAnsiTheme="majorHAnsi" w:cstheme="majorHAnsi"/>
                <w:b/>
              </w:rPr>
              <w:t>ESPECIAL</w:t>
            </w:r>
          </w:p>
        </w:tc>
        <w:tc>
          <w:tcPr>
            <w:tcW w:w="1275" w:type="dxa"/>
            <w:vAlign w:val="center"/>
          </w:tcPr>
          <w:p w14:paraId="480CC79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Zonal</w:t>
            </w:r>
          </w:p>
        </w:tc>
        <w:tc>
          <w:tcPr>
            <w:tcW w:w="709" w:type="dxa"/>
            <w:shd w:val="clear" w:color="auto" w:fill="BFBFBF"/>
            <w:vAlign w:val="center"/>
          </w:tcPr>
          <w:p w14:paraId="2D52411A"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EPZ</w:t>
            </w:r>
          </w:p>
        </w:tc>
        <w:tc>
          <w:tcPr>
            <w:tcW w:w="5516" w:type="dxa"/>
            <w:vAlign w:val="center"/>
          </w:tcPr>
          <w:p w14:paraId="47985A56"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Depósitos de desechos industriales.</w:t>
            </w:r>
          </w:p>
        </w:tc>
      </w:tr>
      <w:tr w:rsidR="00DC27E8" w:rsidRPr="00B24A80" w14:paraId="73D2B677" w14:textId="77777777" w:rsidTr="00F0459B">
        <w:trPr>
          <w:trHeight w:val="747"/>
        </w:trPr>
        <w:tc>
          <w:tcPr>
            <w:tcW w:w="421" w:type="dxa"/>
            <w:vMerge/>
            <w:vAlign w:val="center"/>
          </w:tcPr>
          <w:p w14:paraId="1CE72609"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567" w:type="dxa"/>
            <w:vMerge/>
            <w:vAlign w:val="center"/>
          </w:tcPr>
          <w:p w14:paraId="6AAAEBC0" w14:textId="77777777" w:rsidR="00DC27E8" w:rsidRPr="00B24A80" w:rsidRDefault="00DC27E8">
            <w:pPr>
              <w:widowControl w:val="0"/>
              <w:pBdr>
                <w:top w:val="nil"/>
                <w:left w:val="nil"/>
                <w:bottom w:val="nil"/>
                <w:right w:val="nil"/>
                <w:between w:val="nil"/>
              </w:pBdr>
              <w:spacing w:line="276" w:lineRule="auto"/>
              <w:rPr>
                <w:rFonts w:asciiTheme="majorHAnsi" w:eastAsia="Calibri" w:hAnsiTheme="majorHAnsi" w:cstheme="majorHAnsi"/>
              </w:rPr>
            </w:pPr>
          </w:p>
        </w:tc>
        <w:tc>
          <w:tcPr>
            <w:tcW w:w="1275" w:type="dxa"/>
            <w:vAlign w:val="center"/>
          </w:tcPr>
          <w:p w14:paraId="3A2325B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Ciudad</w:t>
            </w:r>
          </w:p>
        </w:tc>
        <w:tc>
          <w:tcPr>
            <w:tcW w:w="709" w:type="dxa"/>
            <w:shd w:val="clear" w:color="auto" w:fill="BFBFBF"/>
            <w:vAlign w:val="center"/>
          </w:tcPr>
          <w:p w14:paraId="716A3504" w14:textId="77777777" w:rsidR="00DC27E8" w:rsidRPr="00B24A80" w:rsidRDefault="007F5505">
            <w:pPr>
              <w:rPr>
                <w:rFonts w:asciiTheme="majorHAnsi" w:eastAsia="Calibri" w:hAnsiTheme="majorHAnsi" w:cstheme="majorHAnsi"/>
              </w:rPr>
            </w:pPr>
            <w:r w:rsidRPr="00B24A80">
              <w:rPr>
                <w:rFonts w:asciiTheme="majorHAnsi" w:eastAsia="Calibri" w:hAnsiTheme="majorHAnsi" w:cstheme="majorHAnsi"/>
              </w:rPr>
              <w:t>EPC</w:t>
            </w:r>
          </w:p>
        </w:tc>
        <w:tc>
          <w:tcPr>
            <w:tcW w:w="5516" w:type="dxa"/>
            <w:vAlign w:val="center"/>
          </w:tcPr>
          <w:p w14:paraId="1280D75D" w14:textId="4ADDEAF4" w:rsidR="00DC27E8" w:rsidRPr="00EC4073" w:rsidRDefault="007F5505" w:rsidP="0088728B">
            <w:pPr>
              <w:tabs>
                <w:tab w:val="left" w:pos="851"/>
              </w:tabs>
              <w:spacing w:after="240" w:line="276" w:lineRule="auto"/>
              <w:ind w:right="-100"/>
              <w:rPr>
                <w:rFonts w:asciiTheme="majorHAnsi" w:eastAsia="Calibri" w:hAnsiTheme="majorHAnsi" w:cstheme="majorHAnsi"/>
              </w:rPr>
            </w:pPr>
            <w:r w:rsidRPr="00EC4073">
              <w:rPr>
                <w:rFonts w:asciiTheme="majorHAnsi" w:eastAsia="Calibri" w:hAnsiTheme="majorHAnsi" w:cstheme="majorHAnsi"/>
              </w:rPr>
              <w:t>Tratamiento de desechos sólidos y líquidos (plantas procesadoras, incineración, lagunas de oxidación, rellenos sanitarios, botaderos), gasoductos, oleoductos y similares.</w:t>
            </w:r>
            <w:r w:rsidR="00FF4365" w:rsidRPr="00EC4073">
              <w:rPr>
                <w:rFonts w:asciiTheme="majorHAnsi" w:eastAsia="Calibri" w:hAnsiTheme="majorHAnsi" w:cstheme="majorHAnsi"/>
              </w:rPr>
              <w:t xml:space="preserve"> Gestores de residuos peligrosos.</w:t>
            </w:r>
          </w:p>
        </w:tc>
      </w:tr>
    </w:tbl>
    <w:p w14:paraId="2BFE35D8" w14:textId="77777777" w:rsidR="00DC27E8" w:rsidRPr="00B24A80" w:rsidRDefault="00DC27E8">
      <w:pPr>
        <w:tabs>
          <w:tab w:val="left" w:pos="3052"/>
        </w:tabs>
        <w:spacing w:line="276" w:lineRule="auto"/>
        <w:rPr>
          <w:rFonts w:asciiTheme="majorHAnsi" w:eastAsia="Calibri" w:hAnsiTheme="majorHAnsi" w:cstheme="majorHAnsi"/>
          <w:b/>
          <w:color w:val="000000"/>
          <w:sz w:val="22"/>
          <w:szCs w:val="22"/>
        </w:rPr>
      </w:pPr>
      <w:bookmarkStart w:id="96" w:name="_heading=h.4f1mdlm" w:colFirst="0" w:colLast="0"/>
      <w:bookmarkEnd w:id="96"/>
    </w:p>
    <w:p w14:paraId="5633DD38" w14:textId="7A3D16DA" w:rsidR="009B3D47"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C</w:t>
      </w:r>
      <w:r w:rsidR="009B3D47" w:rsidRPr="00B24A80">
        <w:rPr>
          <w:rFonts w:asciiTheme="majorHAnsi" w:eastAsia="Calibri" w:hAnsiTheme="majorHAnsi" w:cstheme="majorHAnsi"/>
          <w:b/>
          <w:color w:val="000000"/>
          <w:szCs w:val="22"/>
        </w:rPr>
        <w:t xml:space="preserve">ompatibilidad de uso </w:t>
      </w:r>
      <w:r w:rsidRPr="00B24A80">
        <w:rPr>
          <w:rFonts w:asciiTheme="majorHAnsi" w:eastAsia="Calibri" w:hAnsiTheme="majorHAnsi" w:cstheme="majorHAnsi"/>
          <w:b/>
          <w:color w:val="000000"/>
          <w:szCs w:val="22"/>
        </w:rPr>
        <w:t>de suelo</w:t>
      </w:r>
      <w:r w:rsidRPr="00B24A80">
        <w:rPr>
          <w:rFonts w:asciiTheme="majorHAnsi" w:eastAsia="Calibri" w:hAnsiTheme="majorHAnsi" w:cstheme="majorHAnsi"/>
          <w:b/>
          <w:szCs w:val="22"/>
        </w:rPr>
        <w:t xml:space="preserve">. - </w:t>
      </w:r>
      <w:r w:rsidRPr="00B24A80">
        <w:rPr>
          <w:rFonts w:asciiTheme="majorHAnsi" w:eastAsia="Calibri" w:hAnsiTheme="majorHAnsi" w:cstheme="majorHAnsi"/>
          <w:szCs w:val="22"/>
        </w:rPr>
        <w:t>En correspondencia con los PITS establecidos, se determina para cada uno de ellos los usos principales, complementarios, restringidos y prohibidos.</w:t>
      </w:r>
    </w:p>
    <w:p w14:paraId="6E759815" w14:textId="77777777" w:rsidR="00DC27E8" w:rsidRPr="00B24A80" w:rsidRDefault="007F5505">
      <w:pPr>
        <w:tabs>
          <w:tab w:val="left" w:pos="3052"/>
        </w:tabs>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En los siguientes cuadros se establecen los usos compatibles de cada uso principal de los polígonos de intervención territorial:</w:t>
      </w:r>
    </w:p>
    <w:p w14:paraId="3058548B" w14:textId="77777777" w:rsidR="00DC27E8" w:rsidRPr="00B24A80" w:rsidRDefault="007F5505">
      <w:pPr>
        <w:tabs>
          <w:tab w:val="left" w:pos="3052"/>
        </w:tabs>
        <w:spacing w:before="240" w:after="240"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Compatibilidad de Uso de Suelo Residencial</w:t>
      </w:r>
    </w:p>
    <w:p w14:paraId="498B8E21" w14:textId="74B3DAAF" w:rsidR="00D708DF" w:rsidRPr="00B24A80" w:rsidRDefault="00D708DF" w:rsidP="00D708DF">
      <w:pPr>
        <w:pStyle w:val="Descripcin"/>
        <w:rPr>
          <w:rFonts w:cstheme="majorHAnsi"/>
          <w:sz w:val="22"/>
          <w:szCs w:val="22"/>
        </w:rPr>
      </w:pPr>
      <w:bookmarkStart w:id="97" w:name="_heading=h.19c6y18" w:colFirst="0" w:colLast="0"/>
      <w:bookmarkStart w:id="98" w:name="_Toc81085721"/>
      <w:bookmarkEnd w:id="97"/>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6</w:t>
      </w:r>
      <w:r w:rsidR="00203216" w:rsidRPr="00B24A80">
        <w:rPr>
          <w:rFonts w:cstheme="majorHAnsi"/>
          <w:noProof/>
          <w:sz w:val="22"/>
          <w:szCs w:val="22"/>
        </w:rPr>
        <w:fldChar w:fldCharType="end"/>
      </w:r>
      <w:r w:rsidRPr="00B24A80">
        <w:rPr>
          <w:rFonts w:cstheme="majorHAnsi"/>
          <w:sz w:val="22"/>
          <w:szCs w:val="22"/>
        </w:rPr>
        <w:t>. Compatibilidad de Uso de Suelo Residencial.</w:t>
      </w:r>
      <w:bookmarkEnd w:id="98"/>
    </w:p>
    <w:tbl>
      <w:tblPr>
        <w:tblStyle w:val="afffe"/>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2"/>
        <w:gridCol w:w="1426"/>
        <w:gridCol w:w="2353"/>
        <w:gridCol w:w="1762"/>
        <w:gridCol w:w="1605"/>
      </w:tblGrid>
      <w:tr w:rsidR="00DC27E8" w:rsidRPr="00B24A80" w14:paraId="3D219892" w14:textId="77777777">
        <w:tc>
          <w:tcPr>
            <w:tcW w:w="1342" w:type="dxa"/>
            <w:shd w:val="clear" w:color="auto" w:fill="D9D9D9"/>
            <w:vAlign w:val="center"/>
          </w:tcPr>
          <w:p w14:paraId="494F0F8A"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GENERAL</w:t>
            </w:r>
          </w:p>
        </w:tc>
        <w:tc>
          <w:tcPr>
            <w:tcW w:w="1426" w:type="dxa"/>
            <w:shd w:val="clear" w:color="auto" w:fill="D9D9D9"/>
            <w:vAlign w:val="center"/>
          </w:tcPr>
          <w:p w14:paraId="79140981"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PRINCIPAL</w:t>
            </w:r>
          </w:p>
        </w:tc>
        <w:tc>
          <w:tcPr>
            <w:tcW w:w="2353" w:type="dxa"/>
            <w:shd w:val="clear" w:color="auto" w:fill="D9D9D9"/>
            <w:vAlign w:val="center"/>
          </w:tcPr>
          <w:p w14:paraId="10BD9B0B"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COMPLEMENTARIO</w:t>
            </w:r>
          </w:p>
        </w:tc>
        <w:tc>
          <w:tcPr>
            <w:tcW w:w="1762" w:type="dxa"/>
            <w:shd w:val="clear" w:color="auto" w:fill="D9D9D9"/>
            <w:vAlign w:val="center"/>
          </w:tcPr>
          <w:p w14:paraId="54F1AE2A"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RESTRINGIDO</w:t>
            </w:r>
          </w:p>
        </w:tc>
        <w:tc>
          <w:tcPr>
            <w:tcW w:w="1605" w:type="dxa"/>
            <w:shd w:val="clear" w:color="auto" w:fill="D9D9D9"/>
            <w:vAlign w:val="center"/>
          </w:tcPr>
          <w:p w14:paraId="56B371CD"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PROHIBIDO</w:t>
            </w:r>
          </w:p>
        </w:tc>
      </w:tr>
      <w:tr w:rsidR="00DC27E8" w:rsidRPr="00B24A80" w14:paraId="68CC63F5" w14:textId="77777777">
        <w:tc>
          <w:tcPr>
            <w:tcW w:w="1342" w:type="dxa"/>
            <w:shd w:val="clear" w:color="auto" w:fill="D9D9D9"/>
            <w:vAlign w:val="center"/>
          </w:tcPr>
          <w:p w14:paraId="4CE6DD60" w14:textId="77777777" w:rsidR="00DC27E8" w:rsidRPr="00B24A80" w:rsidRDefault="007F5505">
            <w:pPr>
              <w:tabs>
                <w:tab w:val="left" w:pos="1507"/>
              </w:tabs>
              <w:spacing w:line="276" w:lineRule="auto"/>
              <w:jc w:val="center"/>
              <w:rPr>
                <w:rFonts w:asciiTheme="majorHAnsi" w:eastAsia="Calibri" w:hAnsiTheme="majorHAnsi" w:cstheme="majorHAnsi"/>
                <w:b/>
              </w:rPr>
            </w:pPr>
            <w:r w:rsidRPr="00B24A80">
              <w:rPr>
                <w:rFonts w:asciiTheme="majorHAnsi" w:eastAsia="Calibri" w:hAnsiTheme="majorHAnsi" w:cstheme="majorHAnsi"/>
                <w:b/>
              </w:rPr>
              <w:t>Residencial de baja densidad</w:t>
            </w:r>
          </w:p>
        </w:tc>
        <w:tc>
          <w:tcPr>
            <w:tcW w:w="1426" w:type="dxa"/>
            <w:vAlign w:val="center"/>
          </w:tcPr>
          <w:p w14:paraId="4FC77887" w14:textId="77777777" w:rsidR="00DC27E8" w:rsidRPr="00B24A80" w:rsidRDefault="007F5505">
            <w:pPr>
              <w:tabs>
                <w:tab w:val="left" w:pos="1507"/>
              </w:tabs>
              <w:spacing w:line="276" w:lineRule="auto"/>
              <w:jc w:val="center"/>
              <w:rPr>
                <w:rFonts w:asciiTheme="majorHAnsi" w:eastAsia="Calibri" w:hAnsiTheme="majorHAnsi" w:cstheme="majorHAnsi"/>
              </w:rPr>
            </w:pPr>
            <w:r w:rsidRPr="00B24A80">
              <w:rPr>
                <w:rFonts w:asciiTheme="majorHAnsi" w:eastAsia="Calibri" w:hAnsiTheme="majorHAnsi" w:cstheme="majorHAnsi"/>
              </w:rPr>
              <w:t>Residencial de baja densidad</w:t>
            </w:r>
          </w:p>
        </w:tc>
        <w:tc>
          <w:tcPr>
            <w:tcW w:w="2353" w:type="dxa"/>
            <w:vAlign w:val="center"/>
          </w:tcPr>
          <w:p w14:paraId="3267A5EA"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-Residencial: R</w:t>
            </w:r>
          </w:p>
          <w:p w14:paraId="4D54D7CD"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-Equipamientos: EEB, EES, ECB, ESB, ESS, EBB, EBS, EDB, EDS, EGB, EGS, ETB, EAB, EAS, EIB, EIS.</w:t>
            </w:r>
          </w:p>
          <w:p w14:paraId="4AE7AC7D"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lastRenderedPageBreak/>
              <w:t>-Protección Ecológica: PE</w:t>
            </w:r>
          </w:p>
          <w:p w14:paraId="34D10928"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-Patrimonio Cultural: H</w:t>
            </w:r>
          </w:p>
          <w:p w14:paraId="525923E3"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-Comercial y Servicio: CB1, CB2, CB3, CB4.</w:t>
            </w:r>
          </w:p>
        </w:tc>
        <w:tc>
          <w:tcPr>
            <w:tcW w:w="1762" w:type="dxa"/>
            <w:vAlign w:val="center"/>
          </w:tcPr>
          <w:p w14:paraId="40C2ABEF"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lastRenderedPageBreak/>
              <w:t>-Turismo</w:t>
            </w:r>
          </w:p>
          <w:p w14:paraId="074ABBF5"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-Industrial I2</w:t>
            </w:r>
          </w:p>
          <w:p w14:paraId="59194818"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 xml:space="preserve">-Comercio zonal </w:t>
            </w:r>
          </w:p>
          <w:p w14:paraId="39EFB35C"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 Zonal y de ciudad</w:t>
            </w:r>
          </w:p>
        </w:tc>
        <w:tc>
          <w:tcPr>
            <w:tcW w:w="1605" w:type="dxa"/>
            <w:vAlign w:val="center"/>
          </w:tcPr>
          <w:p w14:paraId="3BC0A6D1"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 xml:space="preserve">Todos los que no se encuentren contemplados en las descripciones </w:t>
            </w:r>
            <w:r w:rsidRPr="00B24A80">
              <w:rPr>
                <w:rFonts w:asciiTheme="majorHAnsi" w:eastAsia="Calibri" w:hAnsiTheme="majorHAnsi" w:cstheme="majorHAnsi"/>
              </w:rPr>
              <w:lastRenderedPageBreak/>
              <w:t>de uso anteriores.</w:t>
            </w:r>
          </w:p>
        </w:tc>
      </w:tr>
      <w:tr w:rsidR="00DC27E8" w:rsidRPr="00B24A80" w14:paraId="26568BB8" w14:textId="77777777">
        <w:tc>
          <w:tcPr>
            <w:tcW w:w="1342" w:type="dxa"/>
            <w:shd w:val="clear" w:color="auto" w:fill="D9D9D9"/>
            <w:vAlign w:val="center"/>
          </w:tcPr>
          <w:p w14:paraId="0423AB83" w14:textId="77777777" w:rsidR="00DC27E8" w:rsidRPr="00B24A80" w:rsidRDefault="007F5505">
            <w:pPr>
              <w:tabs>
                <w:tab w:val="left" w:pos="1507"/>
              </w:tabs>
              <w:spacing w:line="276" w:lineRule="auto"/>
              <w:jc w:val="center"/>
              <w:rPr>
                <w:rFonts w:asciiTheme="majorHAnsi" w:eastAsia="Calibri" w:hAnsiTheme="majorHAnsi" w:cstheme="majorHAnsi"/>
                <w:b/>
              </w:rPr>
            </w:pPr>
            <w:r w:rsidRPr="00B24A80">
              <w:rPr>
                <w:rFonts w:asciiTheme="majorHAnsi" w:eastAsia="Calibri" w:hAnsiTheme="majorHAnsi" w:cstheme="majorHAnsi"/>
                <w:b/>
              </w:rPr>
              <w:lastRenderedPageBreak/>
              <w:t>Residencial de media densidad</w:t>
            </w:r>
          </w:p>
        </w:tc>
        <w:tc>
          <w:tcPr>
            <w:tcW w:w="1426" w:type="dxa"/>
            <w:vAlign w:val="center"/>
          </w:tcPr>
          <w:p w14:paraId="67777D94" w14:textId="77777777" w:rsidR="00DC27E8" w:rsidRPr="00B24A80" w:rsidRDefault="007F5505">
            <w:pPr>
              <w:tabs>
                <w:tab w:val="left" w:pos="1507"/>
              </w:tabs>
              <w:spacing w:line="276" w:lineRule="auto"/>
              <w:jc w:val="center"/>
              <w:rPr>
                <w:rFonts w:asciiTheme="majorHAnsi" w:eastAsia="Calibri" w:hAnsiTheme="majorHAnsi" w:cstheme="majorHAnsi"/>
              </w:rPr>
            </w:pPr>
            <w:r w:rsidRPr="00B24A80">
              <w:rPr>
                <w:rFonts w:asciiTheme="majorHAnsi" w:eastAsia="Calibri" w:hAnsiTheme="majorHAnsi" w:cstheme="majorHAnsi"/>
              </w:rPr>
              <w:t>Residencial de media densidad</w:t>
            </w:r>
          </w:p>
        </w:tc>
        <w:tc>
          <w:tcPr>
            <w:tcW w:w="2353" w:type="dxa"/>
            <w:vAlign w:val="center"/>
          </w:tcPr>
          <w:p w14:paraId="6E19916C"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-Residencial: R</w:t>
            </w:r>
          </w:p>
          <w:p w14:paraId="65ECC355"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-Industrial: I1</w:t>
            </w:r>
          </w:p>
          <w:p w14:paraId="470E91AF"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-Equipamientos: EEB, EES, EED, ECB, ECS, ESB, ESS, EBB, EBS, EBD, EDB, EDS, EDD, EGB, EGS, EAS, EAD, ETB, ETS, ETD, EIB, EIS.</w:t>
            </w:r>
          </w:p>
          <w:p w14:paraId="14F7BF71"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-Protección Ecológica: PE</w:t>
            </w:r>
          </w:p>
          <w:p w14:paraId="7F7815DB"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-Patrimonio Cultural: H</w:t>
            </w:r>
          </w:p>
          <w:p w14:paraId="3CEB8186"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-Comercial y Servicio: CB1, CB2, CB3, CB4, CS1A, CS1B, CS2, CS3, CS4, CS5, CS6, CS7, CS8.</w:t>
            </w:r>
          </w:p>
        </w:tc>
        <w:tc>
          <w:tcPr>
            <w:tcW w:w="1762" w:type="dxa"/>
            <w:vAlign w:val="center"/>
          </w:tcPr>
          <w:p w14:paraId="31D4BB09"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-Turismo</w:t>
            </w:r>
          </w:p>
          <w:p w14:paraId="49181B71"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-Industrial I2</w:t>
            </w:r>
          </w:p>
          <w:p w14:paraId="3CE1895B"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-Comercio zonal</w:t>
            </w:r>
          </w:p>
          <w:p w14:paraId="335F3097"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 Zonal y de ciudad</w:t>
            </w:r>
          </w:p>
        </w:tc>
        <w:tc>
          <w:tcPr>
            <w:tcW w:w="1605" w:type="dxa"/>
            <w:vAlign w:val="center"/>
          </w:tcPr>
          <w:p w14:paraId="65D7E419"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Todos los que no se encuentren contemplados en las descripciones de uso anteriores.</w:t>
            </w:r>
          </w:p>
        </w:tc>
      </w:tr>
      <w:tr w:rsidR="00DC27E8" w:rsidRPr="00B24A80" w14:paraId="7235B2A8" w14:textId="77777777">
        <w:tc>
          <w:tcPr>
            <w:tcW w:w="1342" w:type="dxa"/>
            <w:shd w:val="clear" w:color="auto" w:fill="D9D9D9"/>
            <w:vAlign w:val="center"/>
          </w:tcPr>
          <w:p w14:paraId="613AD640" w14:textId="77777777" w:rsidR="00DC27E8" w:rsidRPr="00B24A80" w:rsidRDefault="007F5505">
            <w:pPr>
              <w:tabs>
                <w:tab w:val="left" w:pos="1507"/>
              </w:tabs>
              <w:spacing w:line="276" w:lineRule="auto"/>
              <w:jc w:val="center"/>
              <w:rPr>
                <w:rFonts w:asciiTheme="majorHAnsi" w:eastAsia="Calibri" w:hAnsiTheme="majorHAnsi" w:cstheme="majorHAnsi"/>
              </w:rPr>
            </w:pPr>
            <w:r w:rsidRPr="00B24A80">
              <w:rPr>
                <w:rFonts w:asciiTheme="majorHAnsi" w:eastAsia="Calibri" w:hAnsiTheme="majorHAnsi" w:cstheme="majorHAnsi"/>
                <w:b/>
              </w:rPr>
              <w:t>Residencial de alta densidad</w:t>
            </w:r>
          </w:p>
        </w:tc>
        <w:tc>
          <w:tcPr>
            <w:tcW w:w="1426" w:type="dxa"/>
            <w:vAlign w:val="center"/>
          </w:tcPr>
          <w:p w14:paraId="293A4F3C" w14:textId="77777777" w:rsidR="00DC27E8" w:rsidRPr="00B24A80" w:rsidRDefault="007F5505">
            <w:pPr>
              <w:tabs>
                <w:tab w:val="left" w:pos="1507"/>
              </w:tabs>
              <w:spacing w:line="276" w:lineRule="auto"/>
              <w:jc w:val="center"/>
              <w:rPr>
                <w:rFonts w:asciiTheme="majorHAnsi" w:eastAsia="Calibri" w:hAnsiTheme="majorHAnsi" w:cstheme="majorHAnsi"/>
              </w:rPr>
            </w:pPr>
            <w:r w:rsidRPr="00B24A80">
              <w:rPr>
                <w:rFonts w:asciiTheme="majorHAnsi" w:eastAsia="Calibri" w:hAnsiTheme="majorHAnsi" w:cstheme="majorHAnsi"/>
              </w:rPr>
              <w:t>Residencial de alta densidad</w:t>
            </w:r>
          </w:p>
        </w:tc>
        <w:tc>
          <w:tcPr>
            <w:tcW w:w="2353" w:type="dxa"/>
            <w:vAlign w:val="center"/>
          </w:tcPr>
          <w:p w14:paraId="3CFE7F8C"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-Residencial: R</w:t>
            </w:r>
          </w:p>
          <w:p w14:paraId="0A6FF408"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-Industrial: I1</w:t>
            </w:r>
          </w:p>
          <w:p w14:paraId="03F1860A"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-Equipamientos: EEB, EES, EED, ECB, ECS, ECD, ESB, ESS, ESD, EBB, EBS, EBD, EDB, EDS, EDD, EGB, EGS, EGD, ETS, ETD, EAS, EAD, EAZ, EIB, EIS.</w:t>
            </w:r>
          </w:p>
          <w:p w14:paraId="63AFEAC6"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-Protección Ecológica: PE</w:t>
            </w:r>
          </w:p>
          <w:p w14:paraId="6ECE9028"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-Patrimonio Cultural: H</w:t>
            </w:r>
          </w:p>
          <w:p w14:paraId="057D53C2"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-Comercial y Servicio: CB1, CB2, CB3, CB4, CS1A, CS1B, CS2, CS3, CS4, CS5, CS6, CS7, CS8, CZ2, CZ3, CZ4, CZ5, CZ9.</w:t>
            </w:r>
          </w:p>
        </w:tc>
        <w:tc>
          <w:tcPr>
            <w:tcW w:w="1762" w:type="dxa"/>
            <w:vAlign w:val="center"/>
          </w:tcPr>
          <w:p w14:paraId="3402EB74"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-Turismo</w:t>
            </w:r>
          </w:p>
          <w:p w14:paraId="6F0FA0E5"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-Industrial I2</w:t>
            </w:r>
          </w:p>
          <w:p w14:paraId="459C76A4"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-Comercio zonal</w:t>
            </w:r>
          </w:p>
          <w:p w14:paraId="1E803863"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 Zonal y de ciudad</w:t>
            </w:r>
          </w:p>
        </w:tc>
        <w:tc>
          <w:tcPr>
            <w:tcW w:w="1605" w:type="dxa"/>
            <w:vAlign w:val="center"/>
          </w:tcPr>
          <w:p w14:paraId="37FFFA64"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Todos los que no se encuentren contemplados en las descripciones de uso anteriores.</w:t>
            </w:r>
          </w:p>
        </w:tc>
      </w:tr>
    </w:tbl>
    <w:p w14:paraId="695F667F" w14:textId="77777777" w:rsidR="00237539" w:rsidRPr="00B24A80" w:rsidRDefault="00237539">
      <w:pPr>
        <w:spacing w:line="276" w:lineRule="auto"/>
        <w:rPr>
          <w:rFonts w:asciiTheme="majorHAnsi" w:eastAsia="Calibri" w:hAnsiTheme="majorHAnsi" w:cstheme="majorHAnsi"/>
          <w:i/>
          <w:sz w:val="22"/>
          <w:szCs w:val="22"/>
        </w:rPr>
      </w:pPr>
    </w:p>
    <w:p w14:paraId="260E5536" w14:textId="77777777" w:rsidR="005C4307" w:rsidRPr="00B24A80" w:rsidRDefault="005C4307">
      <w:pPr>
        <w:rPr>
          <w:rFonts w:asciiTheme="majorHAnsi" w:eastAsia="Calibri" w:hAnsiTheme="majorHAnsi" w:cstheme="majorHAnsi"/>
          <w:i/>
          <w:sz w:val="22"/>
          <w:szCs w:val="22"/>
        </w:rPr>
      </w:pPr>
      <w:r w:rsidRPr="00B24A80">
        <w:rPr>
          <w:rFonts w:asciiTheme="majorHAnsi" w:eastAsia="Calibri" w:hAnsiTheme="majorHAnsi" w:cstheme="majorHAnsi"/>
          <w:i/>
          <w:sz w:val="22"/>
          <w:szCs w:val="22"/>
        </w:rPr>
        <w:br w:type="page"/>
      </w:r>
    </w:p>
    <w:p w14:paraId="69CDB891" w14:textId="77777777" w:rsidR="00DC27E8" w:rsidRPr="00B24A80" w:rsidRDefault="007F5505">
      <w:pPr>
        <w:tabs>
          <w:tab w:val="left" w:pos="3052"/>
        </w:tabs>
        <w:spacing w:before="240" w:after="240"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lastRenderedPageBreak/>
        <w:t>Compatibilidad de Uso de Suelo Múltiple</w:t>
      </w:r>
    </w:p>
    <w:p w14:paraId="26E72C9F" w14:textId="5F945FAE" w:rsidR="001F268A" w:rsidRPr="00B24A80" w:rsidRDefault="001F268A" w:rsidP="001F268A">
      <w:pPr>
        <w:pStyle w:val="Descripcin"/>
        <w:rPr>
          <w:rFonts w:cstheme="majorHAnsi"/>
          <w:sz w:val="22"/>
          <w:szCs w:val="22"/>
        </w:rPr>
      </w:pPr>
      <w:bookmarkStart w:id="99" w:name="_heading=h.3tbugp1" w:colFirst="0" w:colLast="0"/>
      <w:bookmarkStart w:id="100" w:name="_Toc81085722"/>
      <w:bookmarkEnd w:id="99"/>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7</w:t>
      </w:r>
      <w:r w:rsidR="00203216" w:rsidRPr="00B24A80">
        <w:rPr>
          <w:rFonts w:cstheme="majorHAnsi"/>
          <w:noProof/>
          <w:sz w:val="22"/>
          <w:szCs w:val="22"/>
        </w:rPr>
        <w:fldChar w:fldCharType="end"/>
      </w:r>
      <w:r w:rsidRPr="00B24A80">
        <w:rPr>
          <w:rFonts w:cstheme="majorHAnsi"/>
          <w:sz w:val="22"/>
          <w:szCs w:val="22"/>
        </w:rPr>
        <w:t>. Compatibilidad de Uso de Suelo Múltiple.</w:t>
      </w:r>
      <w:bookmarkEnd w:id="100"/>
    </w:p>
    <w:tbl>
      <w:tblPr>
        <w:tblStyle w:val="affff"/>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1474"/>
        <w:gridCol w:w="2577"/>
        <w:gridCol w:w="1686"/>
        <w:gridCol w:w="1647"/>
      </w:tblGrid>
      <w:tr w:rsidR="00DC27E8" w:rsidRPr="00B24A80" w14:paraId="5A9C8DED" w14:textId="77777777" w:rsidTr="00166473">
        <w:trPr>
          <w:trHeight w:val="474"/>
        </w:trPr>
        <w:tc>
          <w:tcPr>
            <w:tcW w:w="1327" w:type="dxa"/>
            <w:shd w:val="clear" w:color="auto" w:fill="D9D9D9"/>
            <w:vAlign w:val="center"/>
          </w:tcPr>
          <w:p w14:paraId="5747701F"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GENERAL</w:t>
            </w:r>
          </w:p>
        </w:tc>
        <w:tc>
          <w:tcPr>
            <w:tcW w:w="1474" w:type="dxa"/>
            <w:shd w:val="clear" w:color="auto" w:fill="D9D9D9"/>
            <w:vAlign w:val="center"/>
          </w:tcPr>
          <w:p w14:paraId="6AA528CE"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PRINCIPAL</w:t>
            </w:r>
          </w:p>
        </w:tc>
        <w:tc>
          <w:tcPr>
            <w:tcW w:w="2577" w:type="dxa"/>
            <w:shd w:val="clear" w:color="auto" w:fill="D9D9D9"/>
            <w:vAlign w:val="center"/>
          </w:tcPr>
          <w:p w14:paraId="5D1B54FB"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COMPLEMENTARIO</w:t>
            </w:r>
          </w:p>
        </w:tc>
        <w:tc>
          <w:tcPr>
            <w:tcW w:w="1686" w:type="dxa"/>
            <w:shd w:val="clear" w:color="auto" w:fill="D9D9D9"/>
            <w:vAlign w:val="center"/>
          </w:tcPr>
          <w:p w14:paraId="7C97FB78"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RESTRINGIDO</w:t>
            </w:r>
          </w:p>
        </w:tc>
        <w:tc>
          <w:tcPr>
            <w:tcW w:w="1647" w:type="dxa"/>
            <w:shd w:val="clear" w:color="auto" w:fill="D9D9D9"/>
            <w:vAlign w:val="center"/>
          </w:tcPr>
          <w:p w14:paraId="6D972613" w14:textId="77777777" w:rsidR="00DC27E8" w:rsidRPr="00B24A80" w:rsidRDefault="007F5505">
            <w:pPr>
              <w:spacing w:line="276" w:lineRule="auto"/>
              <w:jc w:val="center"/>
              <w:rPr>
                <w:rFonts w:asciiTheme="majorHAnsi" w:eastAsia="Calibri" w:hAnsiTheme="majorHAnsi" w:cstheme="majorHAnsi"/>
                <w:b/>
              </w:rPr>
            </w:pPr>
            <w:r w:rsidRPr="00B24A80">
              <w:rPr>
                <w:rFonts w:asciiTheme="majorHAnsi" w:eastAsia="Calibri" w:hAnsiTheme="majorHAnsi" w:cstheme="majorHAnsi"/>
                <w:b/>
              </w:rPr>
              <w:t>USO PROHIBIDO</w:t>
            </w:r>
          </w:p>
        </w:tc>
      </w:tr>
      <w:tr w:rsidR="00DC27E8" w:rsidRPr="00B24A80" w14:paraId="799C72F4" w14:textId="77777777" w:rsidTr="00166473">
        <w:trPr>
          <w:trHeight w:val="4916"/>
        </w:trPr>
        <w:tc>
          <w:tcPr>
            <w:tcW w:w="1327" w:type="dxa"/>
            <w:shd w:val="clear" w:color="auto" w:fill="D9D9D9"/>
            <w:vAlign w:val="center"/>
          </w:tcPr>
          <w:p w14:paraId="42FDB402" w14:textId="77777777" w:rsidR="00DC27E8" w:rsidRPr="00B24A80" w:rsidRDefault="007F5505">
            <w:pPr>
              <w:tabs>
                <w:tab w:val="left" w:pos="1507"/>
              </w:tabs>
              <w:spacing w:line="276" w:lineRule="auto"/>
              <w:jc w:val="center"/>
              <w:rPr>
                <w:rFonts w:asciiTheme="majorHAnsi" w:eastAsia="Calibri" w:hAnsiTheme="majorHAnsi" w:cstheme="majorHAnsi"/>
              </w:rPr>
            </w:pPr>
            <w:r w:rsidRPr="00B24A80">
              <w:rPr>
                <w:rFonts w:asciiTheme="majorHAnsi" w:eastAsia="Calibri" w:hAnsiTheme="majorHAnsi" w:cstheme="majorHAnsi"/>
                <w:b/>
              </w:rPr>
              <w:t>Múltiple</w:t>
            </w:r>
          </w:p>
        </w:tc>
        <w:tc>
          <w:tcPr>
            <w:tcW w:w="1474" w:type="dxa"/>
            <w:vAlign w:val="center"/>
          </w:tcPr>
          <w:p w14:paraId="19EF94AF" w14:textId="77777777" w:rsidR="00DC27E8" w:rsidRPr="00B24A80" w:rsidRDefault="007F5505">
            <w:pPr>
              <w:tabs>
                <w:tab w:val="left" w:pos="1507"/>
              </w:tabs>
              <w:spacing w:line="276" w:lineRule="auto"/>
              <w:jc w:val="center"/>
              <w:rPr>
                <w:rFonts w:asciiTheme="majorHAnsi" w:eastAsia="Calibri" w:hAnsiTheme="majorHAnsi" w:cstheme="majorHAnsi"/>
              </w:rPr>
            </w:pPr>
            <w:r w:rsidRPr="00B24A80">
              <w:rPr>
                <w:rFonts w:asciiTheme="majorHAnsi" w:eastAsia="Calibri" w:hAnsiTheme="majorHAnsi" w:cstheme="majorHAnsi"/>
              </w:rPr>
              <w:t>Residencial / Comercio</w:t>
            </w:r>
          </w:p>
        </w:tc>
        <w:tc>
          <w:tcPr>
            <w:tcW w:w="2577" w:type="dxa"/>
            <w:vAlign w:val="center"/>
          </w:tcPr>
          <w:p w14:paraId="1727BCE4"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-Residencial: R</w:t>
            </w:r>
          </w:p>
          <w:p w14:paraId="6A863CF5"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-Industrial: I1</w:t>
            </w:r>
          </w:p>
          <w:p w14:paraId="3ADD83CE"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-Equipamientos: EEB, EES, EED, EEZ, ECB, ECS, ECD, ECZ, ESB, ESS, ESD, ESZ, EBB, EBS, EBD, EDB, EDS, EDD, EDZ, EAS, EAD, EAZ, ETB, ETS, ETD, EIB, EIS.</w:t>
            </w:r>
          </w:p>
          <w:p w14:paraId="5F1658E4"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-Protección Ecológica: PE</w:t>
            </w:r>
          </w:p>
          <w:p w14:paraId="775D019C"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-Patrimonio Cultural: H</w:t>
            </w:r>
          </w:p>
          <w:p w14:paraId="4613B542"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-Comercial y Servicio: CB1, CB2, CB3, CB4, CS1A, CS1B, CS2, CS3, CS4, CS5, CS6, CS7, CS8, CZ1A, CZ1B, CZ2, CZ3, CZ4, CZ5, CZ6, CZ7, CZ8, CZ9.</w:t>
            </w:r>
          </w:p>
        </w:tc>
        <w:tc>
          <w:tcPr>
            <w:tcW w:w="1686" w:type="dxa"/>
          </w:tcPr>
          <w:p w14:paraId="7D1D7AEA" w14:textId="77777777" w:rsidR="00DC27E8" w:rsidRPr="00B24A80" w:rsidRDefault="00DC27E8">
            <w:pPr>
              <w:tabs>
                <w:tab w:val="left" w:pos="1507"/>
              </w:tabs>
              <w:spacing w:line="276" w:lineRule="auto"/>
              <w:rPr>
                <w:rFonts w:asciiTheme="majorHAnsi" w:eastAsia="Calibri" w:hAnsiTheme="majorHAnsi" w:cstheme="majorHAnsi"/>
              </w:rPr>
            </w:pPr>
          </w:p>
          <w:p w14:paraId="6F017052" w14:textId="77777777" w:rsidR="00DC27E8" w:rsidRPr="00B24A80" w:rsidRDefault="00DC27E8">
            <w:pPr>
              <w:tabs>
                <w:tab w:val="left" w:pos="1507"/>
              </w:tabs>
              <w:spacing w:line="276" w:lineRule="auto"/>
              <w:rPr>
                <w:rFonts w:asciiTheme="majorHAnsi" w:eastAsia="Calibri" w:hAnsiTheme="majorHAnsi" w:cstheme="majorHAnsi"/>
              </w:rPr>
            </w:pPr>
          </w:p>
        </w:tc>
        <w:tc>
          <w:tcPr>
            <w:tcW w:w="1647" w:type="dxa"/>
            <w:vAlign w:val="center"/>
          </w:tcPr>
          <w:p w14:paraId="253EE9CF" w14:textId="77777777" w:rsidR="00DC27E8" w:rsidRPr="00B24A80" w:rsidRDefault="007F5505">
            <w:pPr>
              <w:tabs>
                <w:tab w:val="left" w:pos="1507"/>
              </w:tabs>
              <w:spacing w:line="276" w:lineRule="auto"/>
              <w:rPr>
                <w:rFonts w:asciiTheme="majorHAnsi" w:eastAsia="Calibri" w:hAnsiTheme="majorHAnsi" w:cstheme="majorHAnsi"/>
              </w:rPr>
            </w:pPr>
            <w:r w:rsidRPr="00B24A80">
              <w:rPr>
                <w:rFonts w:asciiTheme="majorHAnsi" w:eastAsia="Calibri" w:hAnsiTheme="majorHAnsi" w:cstheme="majorHAnsi"/>
              </w:rPr>
              <w:t>Todos los que no se encuentren contemplados en las descripciones de uso anteriores.</w:t>
            </w:r>
          </w:p>
        </w:tc>
      </w:tr>
    </w:tbl>
    <w:p w14:paraId="2E7C85E1" w14:textId="77777777" w:rsidR="009B3D47" w:rsidRPr="00B24A80" w:rsidRDefault="009B3D47">
      <w:pPr>
        <w:tabs>
          <w:tab w:val="left" w:pos="3052"/>
        </w:tabs>
        <w:spacing w:line="276" w:lineRule="auto"/>
        <w:rPr>
          <w:rFonts w:asciiTheme="majorHAnsi" w:eastAsia="Calibri" w:hAnsiTheme="majorHAnsi" w:cstheme="majorHAnsi"/>
          <w:b/>
          <w:sz w:val="22"/>
          <w:szCs w:val="22"/>
        </w:rPr>
      </w:pPr>
    </w:p>
    <w:p w14:paraId="4202BFEE" w14:textId="77777777" w:rsidR="00F0459B" w:rsidRPr="00B24A80" w:rsidRDefault="00F0459B">
      <w:pPr>
        <w:tabs>
          <w:tab w:val="left" w:pos="3052"/>
        </w:tabs>
        <w:spacing w:line="276" w:lineRule="auto"/>
        <w:rPr>
          <w:rFonts w:asciiTheme="majorHAnsi" w:eastAsia="Calibri" w:hAnsiTheme="majorHAnsi" w:cstheme="majorHAnsi"/>
          <w:b/>
          <w:sz w:val="22"/>
          <w:szCs w:val="22"/>
        </w:rPr>
      </w:pPr>
    </w:p>
    <w:p w14:paraId="75CD952D" w14:textId="29C33CDD" w:rsidR="00DC27E8" w:rsidRPr="00B24A80" w:rsidRDefault="007F5505">
      <w:pPr>
        <w:tabs>
          <w:tab w:val="left" w:pos="3052"/>
        </w:tabs>
        <w:spacing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Compatibilidad de Uso de Suelo Industrial</w:t>
      </w:r>
    </w:p>
    <w:p w14:paraId="6AE0C9D2" w14:textId="77777777" w:rsidR="00DC27E8" w:rsidRPr="00B24A80" w:rsidRDefault="00DC27E8">
      <w:pPr>
        <w:tabs>
          <w:tab w:val="left" w:pos="3052"/>
        </w:tabs>
        <w:spacing w:line="276" w:lineRule="auto"/>
        <w:rPr>
          <w:rFonts w:asciiTheme="majorHAnsi" w:eastAsia="Calibri" w:hAnsiTheme="majorHAnsi" w:cstheme="majorHAnsi"/>
          <w:b/>
          <w:sz w:val="22"/>
          <w:szCs w:val="22"/>
        </w:rPr>
      </w:pPr>
    </w:p>
    <w:p w14:paraId="39F68E69" w14:textId="6B4ECEEB" w:rsidR="001F268A" w:rsidRDefault="001F268A" w:rsidP="001F268A">
      <w:pPr>
        <w:pStyle w:val="Descripcin"/>
        <w:rPr>
          <w:rFonts w:cstheme="majorHAnsi"/>
          <w:sz w:val="22"/>
          <w:szCs w:val="22"/>
        </w:rPr>
      </w:pPr>
      <w:bookmarkStart w:id="101" w:name="_Toc81085723"/>
      <w:r w:rsidRPr="009A13F3">
        <w:rPr>
          <w:rFonts w:cstheme="majorHAnsi"/>
          <w:sz w:val="22"/>
          <w:szCs w:val="22"/>
        </w:rPr>
        <w:t xml:space="preserve">Tabla </w:t>
      </w:r>
      <w:r w:rsidR="00203216" w:rsidRPr="009A13F3">
        <w:rPr>
          <w:rFonts w:cstheme="majorHAnsi"/>
          <w:sz w:val="22"/>
          <w:szCs w:val="22"/>
        </w:rPr>
        <w:fldChar w:fldCharType="begin"/>
      </w:r>
      <w:r w:rsidR="00203216" w:rsidRPr="009A13F3">
        <w:rPr>
          <w:rFonts w:cstheme="majorHAnsi"/>
          <w:sz w:val="22"/>
          <w:szCs w:val="22"/>
        </w:rPr>
        <w:instrText xml:space="preserve"> SEQ Tabla \* ARABIC </w:instrText>
      </w:r>
      <w:r w:rsidR="00203216" w:rsidRPr="009A13F3">
        <w:rPr>
          <w:rFonts w:cstheme="majorHAnsi"/>
          <w:sz w:val="22"/>
          <w:szCs w:val="22"/>
        </w:rPr>
        <w:fldChar w:fldCharType="separate"/>
      </w:r>
      <w:r w:rsidR="00F53605">
        <w:rPr>
          <w:rFonts w:cstheme="majorHAnsi"/>
          <w:noProof/>
          <w:sz w:val="22"/>
          <w:szCs w:val="22"/>
        </w:rPr>
        <w:t>8</w:t>
      </w:r>
      <w:r w:rsidR="00203216" w:rsidRPr="009A13F3">
        <w:rPr>
          <w:rFonts w:cstheme="majorHAnsi"/>
          <w:noProof/>
          <w:sz w:val="22"/>
          <w:szCs w:val="22"/>
        </w:rPr>
        <w:fldChar w:fldCharType="end"/>
      </w:r>
      <w:r w:rsidRPr="009A13F3">
        <w:rPr>
          <w:rFonts w:cstheme="majorHAnsi"/>
          <w:sz w:val="22"/>
          <w:szCs w:val="22"/>
        </w:rPr>
        <w:t xml:space="preserve">. Compatibilidad de Uso de Suelo Industrial </w:t>
      </w:r>
      <w:bookmarkEnd w:id="101"/>
    </w:p>
    <w:p w14:paraId="46B74559" w14:textId="75BCB31D" w:rsidR="002C0994" w:rsidRDefault="002C0994" w:rsidP="002C0994"/>
    <w:p w14:paraId="6330650E" w14:textId="77777777" w:rsidR="002C0994" w:rsidRPr="002C0994" w:rsidRDefault="002C0994" w:rsidP="002C0994"/>
    <w:tbl>
      <w:tblPr>
        <w:tblStyle w:val="affff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15"/>
        <w:gridCol w:w="2133"/>
        <w:gridCol w:w="2233"/>
        <w:gridCol w:w="1504"/>
        <w:gridCol w:w="1303"/>
      </w:tblGrid>
      <w:tr w:rsidR="00DC27E8" w:rsidRPr="00B24A80" w14:paraId="1A982656" w14:textId="77777777" w:rsidTr="0080438B">
        <w:tc>
          <w:tcPr>
            <w:tcW w:w="0" w:type="auto"/>
            <w:shd w:val="clear" w:color="auto" w:fill="D9D9D9"/>
            <w:vAlign w:val="center"/>
          </w:tcPr>
          <w:p w14:paraId="64E1173B" w14:textId="77777777" w:rsidR="00DC27E8" w:rsidRPr="00B24A80" w:rsidRDefault="007F5505" w:rsidP="0080438B">
            <w:pPr>
              <w:spacing w:line="276" w:lineRule="auto"/>
              <w:jc w:val="left"/>
              <w:rPr>
                <w:rFonts w:asciiTheme="majorHAnsi" w:eastAsia="Calibri" w:hAnsiTheme="majorHAnsi" w:cstheme="majorHAnsi"/>
                <w:b/>
              </w:rPr>
            </w:pPr>
            <w:r w:rsidRPr="00B24A80">
              <w:rPr>
                <w:rFonts w:asciiTheme="majorHAnsi" w:eastAsia="Calibri" w:hAnsiTheme="majorHAnsi" w:cstheme="majorHAnsi"/>
                <w:b/>
              </w:rPr>
              <w:t>USO GENERAL</w:t>
            </w:r>
          </w:p>
        </w:tc>
        <w:tc>
          <w:tcPr>
            <w:tcW w:w="0" w:type="auto"/>
            <w:shd w:val="clear" w:color="auto" w:fill="D9D9D9"/>
            <w:vAlign w:val="center"/>
          </w:tcPr>
          <w:p w14:paraId="2A453051" w14:textId="77777777" w:rsidR="00DC27E8" w:rsidRPr="00B24A80" w:rsidRDefault="007F5505" w:rsidP="0080438B">
            <w:pPr>
              <w:spacing w:line="276" w:lineRule="auto"/>
              <w:jc w:val="left"/>
              <w:rPr>
                <w:rFonts w:asciiTheme="majorHAnsi" w:eastAsia="Calibri" w:hAnsiTheme="majorHAnsi" w:cstheme="majorHAnsi"/>
                <w:b/>
              </w:rPr>
            </w:pPr>
            <w:r w:rsidRPr="00B24A80">
              <w:rPr>
                <w:rFonts w:asciiTheme="majorHAnsi" w:eastAsia="Calibri" w:hAnsiTheme="majorHAnsi" w:cstheme="majorHAnsi"/>
                <w:b/>
              </w:rPr>
              <w:t>USO PRINCIPAL</w:t>
            </w:r>
          </w:p>
        </w:tc>
        <w:tc>
          <w:tcPr>
            <w:tcW w:w="0" w:type="auto"/>
            <w:shd w:val="clear" w:color="auto" w:fill="D9D9D9"/>
            <w:vAlign w:val="center"/>
          </w:tcPr>
          <w:p w14:paraId="3B5B4CE5" w14:textId="77777777" w:rsidR="00DC27E8" w:rsidRPr="00B24A80" w:rsidRDefault="007F5505" w:rsidP="0080438B">
            <w:pPr>
              <w:spacing w:line="276" w:lineRule="auto"/>
              <w:jc w:val="left"/>
              <w:rPr>
                <w:rFonts w:asciiTheme="majorHAnsi" w:eastAsia="Calibri" w:hAnsiTheme="majorHAnsi" w:cstheme="majorHAnsi"/>
                <w:b/>
              </w:rPr>
            </w:pPr>
            <w:r w:rsidRPr="00B24A80">
              <w:rPr>
                <w:rFonts w:asciiTheme="majorHAnsi" w:eastAsia="Calibri" w:hAnsiTheme="majorHAnsi" w:cstheme="majorHAnsi"/>
                <w:b/>
              </w:rPr>
              <w:t>USO COMPLEMENTARIO</w:t>
            </w:r>
          </w:p>
        </w:tc>
        <w:tc>
          <w:tcPr>
            <w:tcW w:w="0" w:type="auto"/>
            <w:shd w:val="clear" w:color="auto" w:fill="D9D9D9"/>
            <w:vAlign w:val="center"/>
          </w:tcPr>
          <w:p w14:paraId="38A1D33F" w14:textId="77777777" w:rsidR="00DC27E8" w:rsidRPr="00B24A80" w:rsidRDefault="007F5505" w:rsidP="0080438B">
            <w:pPr>
              <w:spacing w:line="276" w:lineRule="auto"/>
              <w:jc w:val="left"/>
              <w:rPr>
                <w:rFonts w:asciiTheme="majorHAnsi" w:eastAsia="Calibri" w:hAnsiTheme="majorHAnsi" w:cstheme="majorHAnsi"/>
                <w:b/>
              </w:rPr>
            </w:pPr>
            <w:r w:rsidRPr="00B24A80">
              <w:rPr>
                <w:rFonts w:asciiTheme="majorHAnsi" w:eastAsia="Calibri" w:hAnsiTheme="majorHAnsi" w:cstheme="majorHAnsi"/>
                <w:b/>
              </w:rPr>
              <w:t>USO RESTRINGIDO</w:t>
            </w:r>
          </w:p>
        </w:tc>
        <w:tc>
          <w:tcPr>
            <w:tcW w:w="0" w:type="auto"/>
            <w:shd w:val="clear" w:color="auto" w:fill="D9D9D9"/>
            <w:vAlign w:val="center"/>
          </w:tcPr>
          <w:p w14:paraId="3331DA80" w14:textId="77777777" w:rsidR="00DC27E8" w:rsidRPr="00B24A80" w:rsidRDefault="007F5505" w:rsidP="0080438B">
            <w:pPr>
              <w:spacing w:line="276" w:lineRule="auto"/>
              <w:jc w:val="left"/>
              <w:rPr>
                <w:rFonts w:asciiTheme="majorHAnsi" w:eastAsia="Calibri" w:hAnsiTheme="majorHAnsi" w:cstheme="majorHAnsi"/>
                <w:b/>
              </w:rPr>
            </w:pPr>
            <w:r w:rsidRPr="00B24A80">
              <w:rPr>
                <w:rFonts w:asciiTheme="majorHAnsi" w:eastAsia="Calibri" w:hAnsiTheme="majorHAnsi" w:cstheme="majorHAnsi"/>
                <w:b/>
              </w:rPr>
              <w:t>USO PROHIBIDO</w:t>
            </w:r>
          </w:p>
        </w:tc>
      </w:tr>
      <w:tr w:rsidR="002C0994" w:rsidRPr="00B24A80" w14:paraId="63B00A04" w14:textId="77777777" w:rsidTr="0080438B">
        <w:trPr>
          <w:trHeight w:val="566"/>
        </w:trPr>
        <w:tc>
          <w:tcPr>
            <w:tcW w:w="0" w:type="auto"/>
            <w:shd w:val="clear" w:color="auto" w:fill="D9D9D9"/>
            <w:vAlign w:val="center"/>
          </w:tcPr>
          <w:p w14:paraId="3A199B3F" w14:textId="0B6FDD3A" w:rsidR="002C0994" w:rsidRPr="00B24A80" w:rsidRDefault="002C0994" w:rsidP="0080438B">
            <w:pPr>
              <w:tabs>
                <w:tab w:val="left" w:pos="1507"/>
              </w:tabs>
              <w:spacing w:line="276" w:lineRule="auto"/>
              <w:jc w:val="left"/>
              <w:rPr>
                <w:rFonts w:asciiTheme="majorHAnsi" w:eastAsia="Calibri" w:hAnsiTheme="majorHAnsi" w:cstheme="majorHAnsi"/>
                <w:b/>
              </w:rPr>
            </w:pPr>
            <w:r>
              <w:rPr>
                <w:rFonts w:asciiTheme="majorHAnsi" w:eastAsia="Calibri" w:hAnsiTheme="majorHAnsi" w:cstheme="majorHAnsi"/>
                <w:b/>
              </w:rPr>
              <w:t>INDUSTRIA I1- ALTO IMPACTO</w:t>
            </w:r>
          </w:p>
        </w:tc>
        <w:tc>
          <w:tcPr>
            <w:tcW w:w="0" w:type="auto"/>
            <w:tcBorders>
              <w:top w:val="nil"/>
              <w:left w:val="nil"/>
              <w:bottom w:val="nil"/>
              <w:right w:val="nil"/>
            </w:tcBorders>
            <w:shd w:val="clear" w:color="auto" w:fill="auto"/>
            <w:vAlign w:val="center"/>
          </w:tcPr>
          <w:p w14:paraId="0365844D" w14:textId="04508DF5" w:rsidR="002C0994" w:rsidRPr="00B24A80" w:rsidRDefault="002C0994" w:rsidP="0080438B">
            <w:pPr>
              <w:tabs>
                <w:tab w:val="left" w:pos="1507"/>
              </w:tabs>
              <w:spacing w:line="276" w:lineRule="auto"/>
              <w:jc w:val="left"/>
              <w:rPr>
                <w:rFonts w:asciiTheme="majorHAnsi" w:eastAsia="Calibri" w:hAnsiTheme="majorHAnsi" w:cstheme="majorHAnsi"/>
              </w:rPr>
            </w:pPr>
            <w:r>
              <w:rPr>
                <w:rFonts w:ascii="Arial Narrow" w:eastAsia="Times New Roman" w:hAnsi="Arial Narrow" w:cs="Calibri"/>
                <w:color w:val="000000"/>
                <w:lang w:val="es-EC" w:eastAsia="es-EC"/>
              </w:rPr>
              <w:t xml:space="preserve">Residuos Químicos Peligrosos: </w:t>
            </w:r>
            <w:r w:rsidRPr="00B24A80">
              <w:rPr>
                <w:rFonts w:ascii="Arial Narrow" w:eastAsia="Times New Roman" w:hAnsi="Arial Narrow" w:cs="Calibri"/>
                <w:color w:val="000000"/>
                <w:lang w:val="es-EC" w:eastAsia="es-EC"/>
              </w:rPr>
              <w:t>S</w:t>
            </w:r>
            <w:r>
              <w:rPr>
                <w:rFonts w:ascii="Arial Narrow" w:eastAsia="Times New Roman" w:hAnsi="Arial Narrow" w:cs="Calibri"/>
                <w:color w:val="000000"/>
                <w:lang w:val="es-EC" w:eastAsia="es-EC"/>
              </w:rPr>
              <w:t xml:space="preserve">olventes industriales (benceno, tolueno, xileno). </w:t>
            </w:r>
            <w:r w:rsidRPr="00B24A80">
              <w:rPr>
                <w:rFonts w:ascii="Arial Narrow" w:eastAsia="Times New Roman" w:hAnsi="Arial Narrow" w:cs="Calibri"/>
                <w:color w:val="000000"/>
                <w:lang w:val="es-EC" w:eastAsia="es-EC"/>
              </w:rPr>
              <w:t>Ácidos y bases fuertes (ácido sulfúrico, hidr</w:t>
            </w:r>
            <w:r>
              <w:rPr>
                <w:rFonts w:ascii="Arial Narrow" w:eastAsia="Times New Roman" w:hAnsi="Arial Narrow" w:cs="Calibri"/>
                <w:color w:val="000000"/>
                <w:lang w:val="es-EC" w:eastAsia="es-EC"/>
              </w:rPr>
              <w:t xml:space="preserve">óxido de </w:t>
            </w:r>
            <w:r w:rsidRPr="00B24A80">
              <w:rPr>
                <w:rFonts w:ascii="Arial Narrow" w:eastAsia="Times New Roman" w:hAnsi="Arial Narrow" w:cs="Calibri"/>
                <w:color w:val="000000"/>
                <w:lang w:val="es-EC" w:eastAsia="es-EC"/>
              </w:rPr>
              <w:t>sodio).</w:t>
            </w:r>
            <w:r w:rsidRPr="00B24A80">
              <w:rPr>
                <w:rFonts w:ascii="Arial Narrow" w:eastAsia="Times New Roman" w:hAnsi="Arial Narrow" w:cs="Calibri"/>
                <w:color w:val="000000"/>
                <w:lang w:val="es-EC" w:eastAsia="es-EC"/>
              </w:rPr>
              <w:br/>
              <w:t xml:space="preserve">Productos químicos reactivos (peróxidos </w:t>
            </w:r>
            <w:r w:rsidRPr="00B24A80">
              <w:rPr>
                <w:rFonts w:ascii="Arial Narrow" w:eastAsia="Times New Roman" w:hAnsi="Arial Narrow" w:cs="Calibri"/>
                <w:color w:val="000000"/>
                <w:lang w:val="es-EC" w:eastAsia="es-EC"/>
              </w:rPr>
              <w:lastRenderedPageBreak/>
              <w:t>orgánicos, cianuros).</w:t>
            </w:r>
            <w:r w:rsidRPr="00B24A80">
              <w:rPr>
                <w:rFonts w:ascii="Arial Narrow" w:eastAsia="Times New Roman" w:hAnsi="Arial Narrow" w:cs="Calibri"/>
                <w:color w:val="000000"/>
                <w:lang w:val="es-EC" w:eastAsia="es-EC"/>
              </w:rPr>
              <w:br/>
              <w:t>Residuos Médicos/Biológicos Peligrosos:</w:t>
            </w:r>
            <w:r w:rsidRPr="00B24A80">
              <w:rPr>
                <w:rFonts w:ascii="Arial Narrow" w:eastAsia="Times New Roman" w:hAnsi="Arial Narrow" w:cs="Calibri"/>
                <w:color w:val="000000"/>
                <w:lang w:val="es-EC" w:eastAsia="es-EC"/>
              </w:rPr>
              <w:br/>
              <w:t>Desechos infecciosos (materiales contaminados con agentes patógenos).</w:t>
            </w:r>
            <w:r w:rsidRPr="00B24A80">
              <w:rPr>
                <w:rFonts w:ascii="Arial Narrow" w:eastAsia="Times New Roman" w:hAnsi="Arial Narrow" w:cs="Calibri"/>
                <w:color w:val="000000"/>
                <w:lang w:val="es-EC" w:eastAsia="es-EC"/>
              </w:rPr>
              <w:br/>
              <w:t>Productos farmacéuticos vencidos o no utilizados.</w:t>
            </w:r>
            <w:r w:rsidRPr="00B24A80">
              <w:rPr>
                <w:rFonts w:ascii="Arial Narrow" w:eastAsia="Times New Roman" w:hAnsi="Arial Narrow" w:cs="Calibri"/>
                <w:color w:val="000000"/>
                <w:lang w:val="es-EC" w:eastAsia="es-EC"/>
              </w:rPr>
              <w:br/>
              <w:t xml:space="preserve">Restos de tejidos y fluidos </w:t>
            </w:r>
            <w:r>
              <w:rPr>
                <w:rFonts w:ascii="Arial Narrow" w:eastAsia="Times New Roman" w:hAnsi="Arial Narrow" w:cs="Calibri"/>
                <w:color w:val="000000"/>
                <w:lang w:val="es-EC" w:eastAsia="es-EC"/>
              </w:rPr>
              <w:t>humanos.</w:t>
            </w:r>
            <w:r>
              <w:rPr>
                <w:rFonts w:ascii="Arial Narrow" w:eastAsia="Times New Roman" w:hAnsi="Arial Narrow" w:cs="Calibri"/>
                <w:color w:val="000000"/>
                <w:lang w:val="es-EC" w:eastAsia="es-EC"/>
              </w:rPr>
              <w:br/>
              <w:t>Residuos Radiactivos:</w:t>
            </w:r>
            <w:r>
              <w:rPr>
                <w:rFonts w:ascii="Arial Narrow" w:eastAsia="Times New Roman" w:hAnsi="Arial Narrow" w:cs="Calibri"/>
                <w:color w:val="000000"/>
                <w:lang w:val="es-EC" w:eastAsia="es-EC"/>
              </w:rPr>
              <w:br/>
            </w:r>
            <w:r w:rsidRPr="00B24A80">
              <w:rPr>
                <w:rFonts w:ascii="Arial Narrow" w:eastAsia="Times New Roman" w:hAnsi="Arial Narrow" w:cs="Calibri"/>
                <w:color w:val="000000"/>
                <w:lang w:val="es-EC" w:eastAsia="es-EC"/>
              </w:rPr>
              <w:t>Materiales de desecho provenientes de la industria nuclear (residuos de plantas de energía nuclear).</w:t>
            </w:r>
            <w:r w:rsidRPr="00B24A80">
              <w:rPr>
                <w:rFonts w:ascii="Arial Narrow" w:eastAsia="Times New Roman" w:hAnsi="Arial Narrow" w:cs="Calibri"/>
                <w:color w:val="000000"/>
                <w:lang w:val="es-EC" w:eastAsia="es-EC"/>
              </w:rPr>
              <w:br/>
              <w:t>Materiales radiactivos utilizados en medicina (isótopos radiactivos para tratamientos y diagnósticos).</w:t>
            </w:r>
            <w:r w:rsidRPr="00B24A80">
              <w:rPr>
                <w:rFonts w:ascii="Arial Narrow" w:eastAsia="Times New Roman" w:hAnsi="Arial Narrow" w:cs="Calibri"/>
                <w:color w:val="000000"/>
                <w:lang w:val="es-EC" w:eastAsia="es-EC"/>
              </w:rPr>
              <w:br/>
              <w:t xml:space="preserve">Residuos </w:t>
            </w:r>
            <w:r>
              <w:rPr>
                <w:rFonts w:ascii="Arial Narrow" w:eastAsia="Times New Roman" w:hAnsi="Arial Narrow" w:cs="Calibri"/>
                <w:color w:val="000000"/>
                <w:lang w:val="es-EC" w:eastAsia="es-EC"/>
              </w:rPr>
              <w:t>de la Industria Petrolera:</w:t>
            </w:r>
            <w:r>
              <w:rPr>
                <w:rFonts w:ascii="Arial Narrow" w:eastAsia="Times New Roman" w:hAnsi="Arial Narrow" w:cs="Calibri"/>
                <w:color w:val="000000"/>
                <w:lang w:val="es-EC" w:eastAsia="es-EC"/>
              </w:rPr>
              <w:br/>
            </w:r>
            <w:r w:rsidRPr="00B24A80">
              <w:rPr>
                <w:rFonts w:ascii="Arial Narrow" w:eastAsia="Times New Roman" w:hAnsi="Arial Narrow" w:cs="Calibri"/>
                <w:color w:val="000000"/>
                <w:lang w:val="es-EC" w:eastAsia="es-EC"/>
              </w:rPr>
              <w:t>Lodos de perforación.</w:t>
            </w:r>
            <w:r w:rsidRPr="00B24A80">
              <w:rPr>
                <w:rFonts w:ascii="Arial Narrow" w:eastAsia="Times New Roman" w:hAnsi="Arial Narrow" w:cs="Calibri"/>
                <w:color w:val="000000"/>
                <w:lang w:val="es-EC" w:eastAsia="es-EC"/>
              </w:rPr>
              <w:br/>
              <w:t>Aguas residuales de fracturación hidráulica (fracking).</w:t>
            </w:r>
            <w:r w:rsidRPr="00B24A80">
              <w:rPr>
                <w:rFonts w:ascii="Arial Narrow" w:eastAsia="Times New Roman" w:hAnsi="Arial Narrow" w:cs="Calibri"/>
                <w:color w:val="000000"/>
                <w:lang w:val="es-EC" w:eastAsia="es-EC"/>
              </w:rPr>
              <w:br/>
              <w:t>Productos químicos utilizados en la extracción de petróleo y gas.</w:t>
            </w:r>
            <w:r w:rsidRPr="00B24A80">
              <w:rPr>
                <w:rFonts w:ascii="Arial Narrow" w:eastAsia="Times New Roman" w:hAnsi="Arial Narrow" w:cs="Calibri"/>
                <w:color w:val="000000"/>
                <w:lang w:val="es-EC" w:eastAsia="es-EC"/>
              </w:rPr>
              <w:br/>
              <w:t>Residuos de Productos Químicos</w:t>
            </w:r>
            <w:r>
              <w:rPr>
                <w:rFonts w:ascii="Arial Narrow" w:eastAsia="Times New Roman" w:hAnsi="Arial Narrow" w:cs="Calibri"/>
                <w:color w:val="000000"/>
                <w:lang w:val="es-EC" w:eastAsia="es-EC"/>
              </w:rPr>
              <w:t xml:space="preserve"> Orgánicos Persistentes (POP):</w:t>
            </w:r>
            <w:r w:rsidRPr="00B24A80">
              <w:rPr>
                <w:rFonts w:ascii="Arial Narrow" w:eastAsia="Times New Roman" w:hAnsi="Arial Narrow" w:cs="Calibri"/>
                <w:color w:val="000000"/>
                <w:lang w:val="es-EC" w:eastAsia="es-EC"/>
              </w:rPr>
              <w:t>PCB (bifenilos policlorados) utilizados en transformadores eléctricos.</w:t>
            </w:r>
            <w:r w:rsidRPr="00B24A80">
              <w:rPr>
                <w:rFonts w:ascii="Arial Narrow" w:eastAsia="Times New Roman" w:hAnsi="Arial Narrow" w:cs="Calibri"/>
                <w:color w:val="000000"/>
                <w:lang w:val="es-EC" w:eastAsia="es-EC"/>
              </w:rPr>
              <w:br/>
              <w:t>Pesticidas organoclorados (DDT, dieldrín, endrín).</w:t>
            </w:r>
            <w:r w:rsidRPr="00B24A80">
              <w:rPr>
                <w:rFonts w:ascii="Arial Narrow" w:eastAsia="Times New Roman" w:hAnsi="Arial Narrow" w:cs="Calibri"/>
                <w:color w:val="000000"/>
                <w:lang w:val="es-EC" w:eastAsia="es-EC"/>
              </w:rPr>
              <w:br/>
              <w:t>Residuos de Metales Pesados:</w:t>
            </w:r>
            <w:r w:rsidRPr="00B24A80">
              <w:rPr>
                <w:rFonts w:ascii="Arial Narrow" w:eastAsia="Times New Roman" w:hAnsi="Arial Narrow" w:cs="Calibri"/>
                <w:color w:val="000000"/>
                <w:lang w:val="es-EC" w:eastAsia="es-EC"/>
              </w:rPr>
              <w:br/>
            </w:r>
            <w:r w:rsidRPr="00B24A80">
              <w:rPr>
                <w:rFonts w:ascii="Arial Narrow" w:eastAsia="Times New Roman" w:hAnsi="Arial Narrow" w:cs="Calibri"/>
                <w:color w:val="000000"/>
                <w:lang w:val="es-EC" w:eastAsia="es-EC"/>
              </w:rPr>
              <w:br/>
              <w:t xml:space="preserve">Mercurio (termómetros, </w:t>
            </w:r>
            <w:r w:rsidRPr="00B24A80">
              <w:rPr>
                <w:rFonts w:ascii="Arial Narrow" w:eastAsia="Times New Roman" w:hAnsi="Arial Narrow" w:cs="Calibri"/>
                <w:color w:val="000000"/>
                <w:lang w:val="es-EC" w:eastAsia="es-EC"/>
              </w:rPr>
              <w:lastRenderedPageBreak/>
              <w:t>interruptores).</w:t>
            </w:r>
            <w:r w:rsidRPr="00B24A80">
              <w:rPr>
                <w:rFonts w:ascii="Arial Narrow" w:eastAsia="Times New Roman" w:hAnsi="Arial Narrow" w:cs="Calibri"/>
                <w:color w:val="000000"/>
                <w:lang w:val="es-EC" w:eastAsia="es-EC"/>
              </w:rPr>
              <w:br/>
              <w:t>Plomo (baterías de plomo-ácido, pintura a base de plomo).</w:t>
            </w:r>
            <w:r w:rsidRPr="00B24A80">
              <w:rPr>
                <w:rFonts w:ascii="Arial Narrow" w:eastAsia="Times New Roman" w:hAnsi="Arial Narrow" w:cs="Calibri"/>
                <w:color w:val="000000"/>
                <w:lang w:val="es-EC" w:eastAsia="es-EC"/>
              </w:rPr>
              <w:br/>
              <w:t>Cadmio (baterías de níquel-cadmio, pigmentos).</w:t>
            </w:r>
            <w:r w:rsidRPr="00B24A80">
              <w:rPr>
                <w:rFonts w:ascii="Arial Narrow" w:eastAsia="Times New Roman" w:hAnsi="Arial Narrow" w:cs="Calibri"/>
                <w:color w:val="000000"/>
                <w:lang w:val="es-EC" w:eastAsia="es-EC"/>
              </w:rPr>
              <w:br/>
              <w:t>Residuos de Explosivos:</w:t>
            </w:r>
            <w:r w:rsidRPr="00B24A80">
              <w:rPr>
                <w:rFonts w:ascii="Arial Narrow" w:eastAsia="Times New Roman" w:hAnsi="Arial Narrow" w:cs="Calibri"/>
                <w:color w:val="000000"/>
                <w:lang w:val="es-EC" w:eastAsia="es-EC"/>
              </w:rPr>
              <w:br/>
            </w:r>
            <w:r w:rsidRPr="00B24A80">
              <w:rPr>
                <w:rFonts w:ascii="Arial Narrow" w:eastAsia="Times New Roman" w:hAnsi="Arial Narrow" w:cs="Calibri"/>
                <w:color w:val="000000"/>
                <w:lang w:val="es-EC" w:eastAsia="es-EC"/>
              </w:rPr>
              <w:br/>
              <w:t>Materiales explosivos industriales (nitrato de amonio, dinamita).</w:t>
            </w:r>
            <w:r w:rsidRPr="00B24A80">
              <w:rPr>
                <w:rFonts w:ascii="Arial Narrow" w:eastAsia="Times New Roman" w:hAnsi="Arial Narrow" w:cs="Calibri"/>
                <w:color w:val="000000"/>
                <w:lang w:val="es-EC" w:eastAsia="es-EC"/>
              </w:rPr>
              <w:br/>
              <w:t>Desechos de fabricación de municiones y armas.</w:t>
            </w:r>
          </w:p>
        </w:tc>
        <w:tc>
          <w:tcPr>
            <w:tcW w:w="0" w:type="auto"/>
            <w:tcBorders>
              <w:top w:val="nil"/>
              <w:left w:val="single" w:sz="4" w:space="0" w:color="auto"/>
              <w:bottom w:val="single" w:sz="4" w:space="0" w:color="auto"/>
              <w:right w:val="single" w:sz="4" w:space="0" w:color="auto"/>
            </w:tcBorders>
            <w:shd w:val="clear" w:color="auto" w:fill="auto"/>
            <w:vAlign w:val="center"/>
          </w:tcPr>
          <w:p w14:paraId="68912B3A" w14:textId="63D1706B" w:rsidR="002C0994" w:rsidRPr="00B24A80" w:rsidRDefault="002C0994"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lastRenderedPageBreak/>
              <w:t>Residuos de Amianto (Asbesto):</w:t>
            </w:r>
            <w:r w:rsidRPr="00B24A80">
              <w:rPr>
                <w:rFonts w:ascii="Arial Narrow" w:eastAsia="Times New Roman" w:hAnsi="Arial Narrow" w:cs="Calibri"/>
                <w:color w:val="000000"/>
                <w:lang w:val="es-EC" w:eastAsia="es-EC"/>
              </w:rPr>
              <w:br/>
            </w:r>
            <w:r w:rsidRPr="00B24A80">
              <w:rPr>
                <w:rFonts w:ascii="Arial Narrow" w:eastAsia="Times New Roman" w:hAnsi="Arial Narrow" w:cs="Calibri"/>
                <w:color w:val="000000"/>
                <w:lang w:val="es-EC" w:eastAsia="es-EC"/>
              </w:rPr>
              <w:br/>
              <w:t>Materiales de construcción que contienen asbesto (aislamiento, tejas de techo).</w:t>
            </w:r>
          </w:p>
        </w:tc>
        <w:tc>
          <w:tcPr>
            <w:tcW w:w="0" w:type="auto"/>
            <w:tcBorders>
              <w:top w:val="nil"/>
              <w:left w:val="nil"/>
              <w:bottom w:val="single" w:sz="4" w:space="0" w:color="auto"/>
              <w:right w:val="single" w:sz="4" w:space="0" w:color="auto"/>
            </w:tcBorders>
            <w:shd w:val="clear" w:color="auto" w:fill="auto"/>
            <w:vAlign w:val="center"/>
          </w:tcPr>
          <w:p w14:paraId="2434452F" w14:textId="74D2A60A" w:rsidR="002C0994" w:rsidRPr="00B24A80" w:rsidRDefault="002C0994"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Reciclaje</w:t>
            </w:r>
          </w:p>
        </w:tc>
        <w:tc>
          <w:tcPr>
            <w:tcW w:w="0" w:type="auto"/>
            <w:tcBorders>
              <w:top w:val="nil"/>
              <w:left w:val="nil"/>
              <w:bottom w:val="single" w:sz="4" w:space="0" w:color="auto"/>
              <w:right w:val="single" w:sz="4" w:space="0" w:color="auto"/>
            </w:tcBorders>
            <w:shd w:val="clear" w:color="auto" w:fill="auto"/>
            <w:vAlign w:val="center"/>
          </w:tcPr>
          <w:p w14:paraId="044EF23F" w14:textId="3E2D7E81" w:rsidR="002C0994" w:rsidRPr="00B24A80" w:rsidRDefault="00A35002" w:rsidP="0080438B">
            <w:pPr>
              <w:tabs>
                <w:tab w:val="left" w:pos="1507"/>
              </w:tabs>
              <w:spacing w:line="276" w:lineRule="auto"/>
              <w:jc w:val="left"/>
              <w:rPr>
                <w:rFonts w:asciiTheme="majorHAnsi" w:eastAsia="Calibri" w:hAnsiTheme="majorHAnsi" w:cstheme="majorHAnsi"/>
              </w:rPr>
            </w:pPr>
            <w:r>
              <w:rPr>
                <w:rFonts w:ascii="Arial Narrow" w:eastAsia="Times New Roman" w:hAnsi="Arial Narrow" w:cs="Calibri"/>
                <w:color w:val="000000"/>
                <w:lang w:val="es-EC" w:eastAsia="es-EC"/>
              </w:rPr>
              <w:t>Rural</w:t>
            </w:r>
            <w:r w:rsidR="002C0994" w:rsidRPr="00B24A80">
              <w:rPr>
                <w:rFonts w:ascii="Arial Narrow" w:eastAsia="Times New Roman" w:hAnsi="Arial Narrow" w:cs="Calibri"/>
                <w:color w:val="000000"/>
                <w:lang w:val="es-EC" w:eastAsia="es-EC"/>
              </w:rPr>
              <w:t xml:space="preserve"> y pecuario</w:t>
            </w:r>
            <w:r w:rsidR="002C0994" w:rsidRPr="00B24A80">
              <w:rPr>
                <w:rFonts w:ascii="Arial Narrow" w:eastAsia="Times New Roman" w:hAnsi="Arial Narrow" w:cs="Calibri"/>
                <w:color w:val="000000"/>
                <w:lang w:val="es-EC" w:eastAsia="es-EC"/>
              </w:rPr>
              <w:br/>
              <w:t>Vivienda</w:t>
            </w:r>
          </w:p>
        </w:tc>
      </w:tr>
      <w:tr w:rsidR="009A13F3" w:rsidRPr="00B24A80" w14:paraId="2F4ED9D9" w14:textId="77777777" w:rsidTr="0080438B">
        <w:trPr>
          <w:trHeight w:val="566"/>
        </w:trPr>
        <w:tc>
          <w:tcPr>
            <w:tcW w:w="0" w:type="auto"/>
            <w:shd w:val="clear" w:color="auto" w:fill="D9D9D9"/>
            <w:vAlign w:val="center"/>
          </w:tcPr>
          <w:p w14:paraId="5A036FCE" w14:textId="489B0358" w:rsidR="009A13F3" w:rsidRPr="00B24A80" w:rsidRDefault="009A13F3" w:rsidP="0080438B">
            <w:pPr>
              <w:tabs>
                <w:tab w:val="left" w:pos="1507"/>
              </w:tabs>
              <w:spacing w:line="276" w:lineRule="auto"/>
              <w:jc w:val="left"/>
              <w:rPr>
                <w:rFonts w:asciiTheme="majorHAnsi" w:eastAsia="Calibri" w:hAnsiTheme="majorHAnsi" w:cstheme="majorHAnsi"/>
                <w:b/>
              </w:rPr>
            </w:pPr>
            <w:r w:rsidRPr="00B24A80">
              <w:rPr>
                <w:rFonts w:asciiTheme="majorHAnsi" w:eastAsia="Calibri" w:hAnsiTheme="majorHAnsi" w:cstheme="majorHAnsi"/>
                <w:b/>
              </w:rPr>
              <w:lastRenderedPageBreak/>
              <w:t>Industrial I2</w:t>
            </w:r>
            <w:r>
              <w:rPr>
                <w:rFonts w:asciiTheme="majorHAnsi" w:eastAsia="Calibri" w:hAnsiTheme="majorHAnsi" w:cstheme="majorHAnsi"/>
                <w:b/>
              </w:rPr>
              <w:t xml:space="preserve"> – Mediano Impacto</w:t>
            </w:r>
          </w:p>
        </w:tc>
        <w:tc>
          <w:tcPr>
            <w:tcW w:w="0" w:type="auto"/>
            <w:tcBorders>
              <w:top w:val="single" w:sz="4" w:space="0" w:color="auto"/>
              <w:left w:val="nil"/>
              <w:bottom w:val="single" w:sz="4" w:space="0" w:color="auto"/>
              <w:right w:val="single" w:sz="4" w:space="0" w:color="auto"/>
            </w:tcBorders>
            <w:shd w:val="clear" w:color="auto" w:fill="auto"/>
            <w:vAlign w:val="center"/>
          </w:tcPr>
          <w:p w14:paraId="50E52560" w14:textId="24B2A2DA" w:rsidR="009A13F3" w:rsidRPr="00B24A80" w:rsidRDefault="009A13F3"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tratamiento biológico, físico-químico y algunas formas de reciclaje especializado.</w:t>
            </w:r>
            <w:r w:rsidRPr="00B24A80">
              <w:rPr>
                <w:rFonts w:ascii="Arial Narrow" w:eastAsia="Times New Roman" w:hAnsi="Arial Narrow" w:cs="Calibri"/>
                <w:color w:val="000000"/>
                <w:lang w:val="es-EC" w:eastAsia="es-EC"/>
              </w:rPr>
              <w:br/>
              <w:t xml:space="preserve">Residuos de producción </w:t>
            </w:r>
            <w:r w:rsidR="00A35002">
              <w:rPr>
                <w:rFonts w:ascii="Arial Narrow" w:eastAsia="Times New Roman" w:hAnsi="Arial Narrow" w:cs="Calibri"/>
                <w:color w:val="000000"/>
                <w:lang w:val="es-EC" w:eastAsia="es-EC"/>
              </w:rPr>
              <w:t>rural</w:t>
            </w:r>
            <w:r w:rsidRPr="00B24A80">
              <w:rPr>
                <w:rFonts w:ascii="Arial Narrow" w:eastAsia="Times New Roman" w:hAnsi="Arial Narrow" w:cs="Calibri"/>
                <w:color w:val="000000"/>
                <w:lang w:val="es-EC" w:eastAsia="es-EC"/>
              </w:rPr>
              <w:t xml:space="preserve"> con niveles moderados de pesticidas.</w:t>
            </w:r>
            <w:r w:rsidRPr="00B24A80">
              <w:rPr>
                <w:rFonts w:ascii="Arial Narrow" w:eastAsia="Times New Roman" w:hAnsi="Arial Narrow" w:cs="Calibri"/>
                <w:color w:val="000000"/>
                <w:lang w:val="es-EC" w:eastAsia="es-EC"/>
              </w:rPr>
              <w:br/>
              <w:t xml:space="preserve">Residuos electrónicos que contienen </w:t>
            </w:r>
            <w:r w:rsidRPr="00FF752A">
              <w:rPr>
                <w:rFonts w:ascii="Arial Narrow" w:eastAsia="Times New Roman" w:hAnsi="Arial Narrow" w:cs="Calibri"/>
                <w:lang w:val="es-EC" w:eastAsia="es-EC"/>
              </w:rPr>
              <w:t xml:space="preserve">pequeñas cantidades </w:t>
            </w:r>
            <w:r w:rsidR="0077276A" w:rsidRPr="00FF752A">
              <w:rPr>
                <w:rFonts w:ascii="Arial Narrow" w:eastAsia="Times New Roman" w:hAnsi="Arial Narrow" w:cs="Calibri"/>
                <w:lang w:val="es-EC" w:eastAsia="es-EC"/>
              </w:rPr>
              <w:t xml:space="preserve">de acuerdo a la tabla establecida por la autoridad ambiental nacional vigente. </w:t>
            </w:r>
          </w:p>
        </w:tc>
        <w:tc>
          <w:tcPr>
            <w:tcW w:w="0" w:type="auto"/>
            <w:tcBorders>
              <w:top w:val="nil"/>
              <w:left w:val="nil"/>
              <w:bottom w:val="single" w:sz="4" w:space="0" w:color="auto"/>
              <w:right w:val="single" w:sz="4" w:space="0" w:color="auto"/>
            </w:tcBorders>
            <w:shd w:val="clear" w:color="auto" w:fill="auto"/>
            <w:vAlign w:val="center"/>
          </w:tcPr>
          <w:p w14:paraId="3FCD448E" w14:textId="4238049A" w:rsidR="009A13F3" w:rsidRPr="00B24A80" w:rsidRDefault="009A13F3"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Residuos industriales que contienen pequeñas cantidades de sustancias químicas peligrosas.</w:t>
            </w:r>
            <w:r w:rsidRPr="00B24A80">
              <w:rPr>
                <w:rFonts w:ascii="Arial Narrow" w:eastAsia="Times New Roman" w:hAnsi="Arial Narrow" w:cs="Calibri"/>
                <w:color w:val="000000"/>
                <w:lang w:val="es-EC" w:eastAsia="es-EC"/>
              </w:rPr>
              <w:br/>
              <w:t>Residuos de laboratorios que no son extremadamente tóxicos.</w:t>
            </w:r>
          </w:p>
        </w:tc>
        <w:tc>
          <w:tcPr>
            <w:tcW w:w="0" w:type="auto"/>
            <w:tcBorders>
              <w:top w:val="nil"/>
              <w:left w:val="nil"/>
              <w:bottom w:val="single" w:sz="4" w:space="0" w:color="auto"/>
              <w:right w:val="single" w:sz="4" w:space="0" w:color="auto"/>
            </w:tcBorders>
            <w:shd w:val="clear" w:color="auto" w:fill="auto"/>
            <w:vAlign w:val="center"/>
          </w:tcPr>
          <w:p w14:paraId="46B821BE" w14:textId="7A1554BE" w:rsidR="009A13F3" w:rsidRPr="00B24A80" w:rsidRDefault="009A13F3"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Reciclaje</w:t>
            </w:r>
          </w:p>
        </w:tc>
        <w:tc>
          <w:tcPr>
            <w:tcW w:w="0" w:type="auto"/>
            <w:tcBorders>
              <w:top w:val="nil"/>
              <w:left w:val="nil"/>
              <w:bottom w:val="single" w:sz="4" w:space="0" w:color="auto"/>
              <w:right w:val="single" w:sz="4" w:space="0" w:color="auto"/>
            </w:tcBorders>
            <w:shd w:val="clear" w:color="auto" w:fill="auto"/>
            <w:vAlign w:val="center"/>
          </w:tcPr>
          <w:p w14:paraId="20F3429A" w14:textId="48E393F7" w:rsidR="009A13F3" w:rsidRPr="00B24A80" w:rsidRDefault="00A35002" w:rsidP="0080438B">
            <w:pPr>
              <w:tabs>
                <w:tab w:val="left" w:pos="1507"/>
              </w:tabs>
              <w:spacing w:line="276" w:lineRule="auto"/>
              <w:jc w:val="left"/>
              <w:rPr>
                <w:rFonts w:asciiTheme="majorHAnsi" w:eastAsia="Calibri" w:hAnsiTheme="majorHAnsi" w:cstheme="majorHAnsi"/>
              </w:rPr>
            </w:pPr>
            <w:r>
              <w:rPr>
                <w:rFonts w:ascii="Arial Narrow" w:eastAsia="Times New Roman" w:hAnsi="Arial Narrow" w:cs="Calibri"/>
                <w:color w:val="000000"/>
                <w:lang w:val="es-EC" w:eastAsia="es-EC"/>
              </w:rPr>
              <w:t>Rural</w:t>
            </w:r>
            <w:r w:rsidR="009A13F3" w:rsidRPr="00B24A80">
              <w:rPr>
                <w:rFonts w:ascii="Arial Narrow" w:eastAsia="Times New Roman" w:hAnsi="Arial Narrow" w:cs="Calibri"/>
                <w:color w:val="000000"/>
                <w:lang w:val="es-EC" w:eastAsia="es-EC"/>
              </w:rPr>
              <w:t xml:space="preserve"> y pecuario</w:t>
            </w:r>
            <w:r w:rsidR="009A13F3" w:rsidRPr="00B24A80">
              <w:rPr>
                <w:rFonts w:ascii="Arial Narrow" w:eastAsia="Times New Roman" w:hAnsi="Arial Narrow" w:cs="Calibri"/>
                <w:color w:val="000000"/>
                <w:lang w:val="es-EC" w:eastAsia="es-EC"/>
              </w:rPr>
              <w:br/>
              <w:t>Vivienda</w:t>
            </w:r>
          </w:p>
        </w:tc>
      </w:tr>
      <w:tr w:rsidR="009A13F3" w:rsidRPr="00B24A80" w14:paraId="78996084" w14:textId="77777777" w:rsidTr="0080438B">
        <w:trPr>
          <w:trHeight w:val="566"/>
        </w:trPr>
        <w:tc>
          <w:tcPr>
            <w:tcW w:w="0" w:type="auto"/>
            <w:shd w:val="clear" w:color="auto" w:fill="D9D9D9"/>
            <w:vAlign w:val="center"/>
          </w:tcPr>
          <w:p w14:paraId="3F6E4FB6" w14:textId="575D52BD" w:rsidR="009A13F3" w:rsidRPr="00B24A80" w:rsidRDefault="009A13F3" w:rsidP="0080438B">
            <w:pPr>
              <w:tabs>
                <w:tab w:val="left" w:pos="1507"/>
              </w:tabs>
              <w:spacing w:line="276" w:lineRule="auto"/>
              <w:jc w:val="left"/>
              <w:rPr>
                <w:rFonts w:asciiTheme="majorHAnsi" w:eastAsia="Calibri" w:hAnsiTheme="majorHAnsi" w:cstheme="majorHAnsi"/>
                <w:b/>
              </w:rPr>
            </w:pPr>
            <w:r>
              <w:rPr>
                <w:rFonts w:asciiTheme="majorHAnsi" w:eastAsia="Calibri" w:hAnsiTheme="majorHAnsi" w:cstheme="majorHAnsi"/>
                <w:b/>
              </w:rPr>
              <w:t xml:space="preserve">Industria I3- </w:t>
            </w:r>
            <w:r w:rsidR="00001B0F">
              <w:rPr>
                <w:rFonts w:asciiTheme="majorHAnsi" w:eastAsia="Calibri" w:hAnsiTheme="majorHAnsi" w:cstheme="majorHAnsi"/>
                <w:b/>
              </w:rPr>
              <w:t>Bajo Impacto</w:t>
            </w:r>
          </w:p>
        </w:tc>
        <w:tc>
          <w:tcPr>
            <w:tcW w:w="0" w:type="auto"/>
            <w:tcBorders>
              <w:top w:val="single" w:sz="4" w:space="0" w:color="auto"/>
              <w:left w:val="nil"/>
              <w:bottom w:val="single" w:sz="4" w:space="0" w:color="auto"/>
              <w:right w:val="single" w:sz="4" w:space="0" w:color="auto"/>
            </w:tcBorders>
            <w:shd w:val="clear" w:color="auto" w:fill="auto"/>
            <w:vAlign w:val="center"/>
          </w:tcPr>
          <w:p w14:paraId="05F4CDA4" w14:textId="1C16AC2C" w:rsidR="009A13F3" w:rsidRPr="00B24A80" w:rsidRDefault="009A13F3"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Residuos orgánicos y de jardinería (para compostaje).</w:t>
            </w:r>
            <w:r w:rsidRPr="00B24A80">
              <w:rPr>
                <w:rFonts w:ascii="Arial Narrow" w:eastAsia="Times New Roman" w:hAnsi="Arial Narrow" w:cs="Calibri"/>
                <w:color w:val="000000"/>
                <w:lang w:val="es-EC" w:eastAsia="es-EC"/>
              </w:rPr>
              <w:br/>
              <w:t>Residuos de construcción y demolición no peligrosos.</w:t>
            </w:r>
            <w:r w:rsidRPr="00B24A80">
              <w:rPr>
                <w:rFonts w:ascii="Arial Narrow" w:eastAsia="Times New Roman" w:hAnsi="Arial Narrow" w:cs="Calibri"/>
                <w:color w:val="000000"/>
                <w:lang w:val="es-EC" w:eastAsia="es-EC"/>
              </w:rPr>
              <w:br/>
              <w:t>Residuos reciclables como papel, cartón, plástico y vidrio.</w:t>
            </w:r>
            <w:r w:rsidRPr="00B24A80">
              <w:rPr>
                <w:rFonts w:ascii="Arial Narrow" w:eastAsia="Times New Roman" w:hAnsi="Arial Narrow" w:cs="Calibri"/>
                <w:color w:val="000000"/>
                <w:lang w:val="es-EC" w:eastAsia="es-EC"/>
              </w:rPr>
              <w:br/>
              <w:t>Residuos electrónicos que no contienen sustancias peligrosas.</w:t>
            </w:r>
          </w:p>
        </w:tc>
        <w:tc>
          <w:tcPr>
            <w:tcW w:w="0" w:type="auto"/>
            <w:tcBorders>
              <w:top w:val="nil"/>
              <w:left w:val="nil"/>
              <w:bottom w:val="single" w:sz="4" w:space="0" w:color="auto"/>
              <w:right w:val="single" w:sz="4" w:space="0" w:color="auto"/>
            </w:tcBorders>
            <w:shd w:val="clear" w:color="auto" w:fill="auto"/>
            <w:vAlign w:val="center"/>
          </w:tcPr>
          <w:p w14:paraId="1B81BBDC" w14:textId="2CD7E06A" w:rsidR="009A13F3" w:rsidRPr="00B24A80" w:rsidRDefault="009A13F3"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economía circular al facilitar el reciclaje y la reutilización de materiales (compostaje)</w:t>
            </w:r>
          </w:p>
        </w:tc>
        <w:tc>
          <w:tcPr>
            <w:tcW w:w="0" w:type="auto"/>
            <w:tcBorders>
              <w:top w:val="nil"/>
              <w:left w:val="nil"/>
              <w:bottom w:val="single" w:sz="4" w:space="0" w:color="auto"/>
              <w:right w:val="single" w:sz="4" w:space="0" w:color="auto"/>
            </w:tcBorders>
            <w:shd w:val="clear" w:color="auto" w:fill="auto"/>
            <w:vAlign w:val="center"/>
          </w:tcPr>
          <w:p w14:paraId="5B10B200" w14:textId="4BCB032A" w:rsidR="009A13F3" w:rsidRPr="00B24A80" w:rsidRDefault="00A35002" w:rsidP="0080438B">
            <w:pPr>
              <w:tabs>
                <w:tab w:val="left" w:pos="1507"/>
              </w:tabs>
              <w:spacing w:line="276" w:lineRule="auto"/>
              <w:jc w:val="left"/>
              <w:rPr>
                <w:rFonts w:asciiTheme="majorHAnsi" w:eastAsia="Calibri" w:hAnsiTheme="majorHAnsi" w:cstheme="majorHAnsi"/>
              </w:rPr>
            </w:pPr>
            <w:r>
              <w:rPr>
                <w:rFonts w:ascii="Arial Narrow" w:eastAsia="Times New Roman" w:hAnsi="Arial Narrow" w:cs="Calibri"/>
                <w:color w:val="000000"/>
                <w:lang w:val="es-EC" w:eastAsia="es-EC"/>
              </w:rPr>
              <w:t>Rural</w:t>
            </w:r>
            <w:r w:rsidR="009A13F3" w:rsidRPr="00B24A80">
              <w:rPr>
                <w:rFonts w:ascii="Arial Narrow" w:eastAsia="Times New Roman" w:hAnsi="Arial Narrow" w:cs="Calibri"/>
                <w:color w:val="000000"/>
                <w:lang w:val="es-EC" w:eastAsia="es-EC"/>
              </w:rPr>
              <w:t xml:space="preserve"> y pecuario</w:t>
            </w:r>
          </w:p>
        </w:tc>
        <w:tc>
          <w:tcPr>
            <w:tcW w:w="0" w:type="auto"/>
            <w:tcBorders>
              <w:top w:val="nil"/>
              <w:left w:val="nil"/>
              <w:bottom w:val="single" w:sz="4" w:space="0" w:color="auto"/>
              <w:right w:val="single" w:sz="4" w:space="0" w:color="auto"/>
            </w:tcBorders>
            <w:shd w:val="clear" w:color="auto" w:fill="auto"/>
            <w:vAlign w:val="center"/>
          </w:tcPr>
          <w:p w14:paraId="2A8983FE" w14:textId="6A24041C" w:rsidR="009A13F3" w:rsidRPr="00B24A80" w:rsidRDefault="009A13F3" w:rsidP="0080438B">
            <w:pPr>
              <w:tabs>
                <w:tab w:val="left" w:pos="1507"/>
              </w:tabs>
              <w:spacing w:line="276" w:lineRule="auto"/>
              <w:jc w:val="left"/>
              <w:rPr>
                <w:rFonts w:asciiTheme="majorHAnsi" w:eastAsia="Calibri" w:hAnsiTheme="majorHAnsi" w:cstheme="majorHAnsi"/>
              </w:rPr>
            </w:pPr>
            <w:r w:rsidRPr="00B24A80">
              <w:rPr>
                <w:rFonts w:ascii="Arial Narrow" w:eastAsia="Times New Roman" w:hAnsi="Arial Narrow" w:cs="Calibri"/>
                <w:color w:val="000000"/>
                <w:lang w:val="es-EC" w:eastAsia="es-EC"/>
              </w:rPr>
              <w:t>Vivienda</w:t>
            </w:r>
          </w:p>
        </w:tc>
      </w:tr>
    </w:tbl>
    <w:p w14:paraId="78B5FF06" w14:textId="77777777" w:rsidR="00DC27E8" w:rsidRPr="00B24A80" w:rsidRDefault="00DC27E8">
      <w:pPr>
        <w:pBdr>
          <w:top w:val="nil"/>
          <w:left w:val="nil"/>
          <w:bottom w:val="nil"/>
          <w:right w:val="nil"/>
          <w:between w:val="nil"/>
        </w:pBdr>
        <w:spacing w:line="276" w:lineRule="auto"/>
        <w:ind w:right="-100"/>
        <w:rPr>
          <w:rFonts w:asciiTheme="majorHAnsi" w:eastAsia="Calibri" w:hAnsiTheme="majorHAnsi" w:cstheme="majorHAnsi"/>
          <w:b/>
          <w:color w:val="000000"/>
          <w:sz w:val="22"/>
          <w:szCs w:val="22"/>
        </w:rPr>
      </w:pPr>
    </w:p>
    <w:p w14:paraId="63C7CE1B" w14:textId="35DA0F2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lastRenderedPageBreak/>
        <w:t>O</w:t>
      </w:r>
      <w:r w:rsidRPr="00B24A80">
        <w:rPr>
          <w:rFonts w:asciiTheme="majorHAnsi" w:eastAsia="Calibri" w:hAnsiTheme="majorHAnsi" w:cstheme="majorHAnsi"/>
          <w:b/>
          <w:szCs w:val="22"/>
        </w:rPr>
        <w:t xml:space="preserve">cupación del suelo. - </w:t>
      </w:r>
      <w:r w:rsidRPr="00B24A80">
        <w:rPr>
          <w:rFonts w:asciiTheme="majorHAnsi" w:eastAsia="Calibri" w:hAnsiTheme="majorHAnsi" w:cstheme="majorHAnsi"/>
          <w:szCs w:val="22"/>
        </w:rPr>
        <w:t>La ocupación del suelo corresponde a la distribución del volumen edificable en un determinado terreno, considerando su altura, dimensiones y localización de los volúmenes, forma de edificación, retiros y otras determinaciones morfológicas.</w:t>
      </w:r>
    </w:p>
    <w:p w14:paraId="033AD354" w14:textId="77777777" w:rsidR="00DC27E8" w:rsidRPr="00B24A80" w:rsidRDefault="00DC27E8">
      <w:pPr>
        <w:spacing w:line="276" w:lineRule="auto"/>
        <w:rPr>
          <w:rFonts w:asciiTheme="majorHAnsi" w:eastAsia="Calibri" w:hAnsiTheme="majorHAnsi" w:cstheme="majorHAnsi"/>
          <w:b/>
          <w:sz w:val="22"/>
          <w:szCs w:val="22"/>
        </w:rPr>
      </w:pPr>
    </w:p>
    <w:p w14:paraId="194025AA" w14:textId="29D1BA2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Formas de ocupación. -</w:t>
      </w:r>
      <w:r w:rsidRPr="00B24A80">
        <w:rPr>
          <w:rFonts w:asciiTheme="majorHAnsi" w:eastAsia="Calibri" w:hAnsiTheme="majorHAnsi" w:cstheme="majorHAnsi"/>
          <w:szCs w:val="22"/>
        </w:rPr>
        <w:t>Las edificaciones observarán el alineamiento teniendo como referencia la línea de fábrica y las colindancias del terreno para cada una de las siguientes tipologías en conformidad en la Ley:</w:t>
      </w:r>
    </w:p>
    <w:p w14:paraId="4CF1ACEA" w14:textId="77777777" w:rsidR="00DC27E8" w:rsidRPr="00B24A80" w:rsidRDefault="007F5505" w:rsidP="009F132D">
      <w:pPr>
        <w:widowControl/>
        <w:numPr>
          <w:ilvl w:val="0"/>
          <w:numId w:val="42"/>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Aislada. -</w:t>
      </w:r>
      <w:r w:rsidRPr="00B24A80">
        <w:rPr>
          <w:rFonts w:asciiTheme="majorHAnsi" w:eastAsia="Calibri" w:hAnsiTheme="majorHAnsi" w:cstheme="majorHAnsi"/>
          <w:color w:val="000000"/>
          <w:sz w:val="22"/>
          <w:szCs w:val="22"/>
        </w:rPr>
        <w:t xml:space="preserve"> Mantendrá retiros a todas las colindancias; frontal, dos laterales y posterior; corresponde al uso residencial de baja densidad, industrial y asentamientos rurales.</w:t>
      </w:r>
    </w:p>
    <w:p w14:paraId="6E836E22" w14:textId="77777777" w:rsidR="00DC27E8" w:rsidRPr="00B24A80" w:rsidRDefault="007F5505" w:rsidP="009F132D">
      <w:pPr>
        <w:widowControl/>
        <w:numPr>
          <w:ilvl w:val="0"/>
          <w:numId w:val="42"/>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Pareada. -</w:t>
      </w:r>
      <w:r w:rsidRPr="00B24A80">
        <w:rPr>
          <w:rFonts w:asciiTheme="majorHAnsi" w:eastAsia="Calibri" w:hAnsiTheme="majorHAnsi" w:cstheme="majorHAnsi"/>
          <w:color w:val="000000"/>
          <w:sz w:val="22"/>
          <w:szCs w:val="22"/>
        </w:rPr>
        <w:t xml:space="preserve"> Mantendrá retiros a tres colindancias: retiro frontal, un lateral y posterior; se permite la construcción adosada a una de las colindancias laterales; corresponde a los usos residenciales de baja y media densidad.</w:t>
      </w:r>
    </w:p>
    <w:p w14:paraId="4324EFE9" w14:textId="77777777" w:rsidR="00DC27E8" w:rsidRPr="00B24A80" w:rsidRDefault="007F5505" w:rsidP="009F132D">
      <w:pPr>
        <w:widowControl/>
        <w:numPr>
          <w:ilvl w:val="0"/>
          <w:numId w:val="42"/>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Continua. -</w:t>
      </w:r>
      <w:r w:rsidRPr="00B24A80">
        <w:rPr>
          <w:rFonts w:asciiTheme="majorHAnsi" w:eastAsia="Calibri" w:hAnsiTheme="majorHAnsi" w:cstheme="majorHAnsi"/>
          <w:color w:val="000000"/>
          <w:sz w:val="22"/>
          <w:szCs w:val="22"/>
        </w:rPr>
        <w:t xml:space="preserve"> Mantendrá retiros a dos colindancias: retiro frontal y posterior, y se permite adosamiento a las dos colindancias laterales; corresponde a los usos residenciales de media y alta densidad y uso múltiple.</w:t>
      </w:r>
    </w:p>
    <w:p w14:paraId="5D2462D3" w14:textId="0C331960" w:rsidR="00DC27E8" w:rsidRDefault="007F5505" w:rsidP="009F132D">
      <w:pPr>
        <w:widowControl/>
        <w:numPr>
          <w:ilvl w:val="0"/>
          <w:numId w:val="42"/>
        </w:numPr>
        <w:pBdr>
          <w:top w:val="nil"/>
          <w:left w:val="nil"/>
          <w:bottom w:val="nil"/>
          <w:right w:val="nil"/>
          <w:between w:val="nil"/>
        </w:pBdr>
        <w:spacing w:after="20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Sobre línea de fábrica. -</w:t>
      </w:r>
      <w:r w:rsidRPr="00B24A80">
        <w:rPr>
          <w:rFonts w:asciiTheme="majorHAnsi" w:eastAsia="Calibri" w:hAnsiTheme="majorHAnsi" w:cstheme="majorHAnsi"/>
          <w:color w:val="000000"/>
          <w:sz w:val="22"/>
          <w:szCs w:val="22"/>
        </w:rPr>
        <w:t xml:space="preserve"> Mantendrá solo un retiro posterior y se permite el adosamiento a las colindancias frontal y laterales; corresponde al uso residencial de alta densidad, cabeceras parroquiales y asentamientos rurales.</w:t>
      </w:r>
    </w:p>
    <w:p w14:paraId="7B9216B1" w14:textId="77777777" w:rsidR="00B723E9" w:rsidRPr="00B24A80" w:rsidRDefault="00B723E9" w:rsidP="00B723E9">
      <w:pPr>
        <w:widowControl/>
        <w:pBdr>
          <w:top w:val="nil"/>
          <w:left w:val="nil"/>
          <w:bottom w:val="nil"/>
          <w:right w:val="nil"/>
          <w:between w:val="nil"/>
        </w:pBdr>
        <w:spacing w:after="200" w:line="276" w:lineRule="auto"/>
        <w:ind w:left="720"/>
        <w:rPr>
          <w:rFonts w:asciiTheme="majorHAnsi" w:eastAsia="Calibri" w:hAnsiTheme="majorHAnsi" w:cstheme="majorHAnsi"/>
          <w:color w:val="000000"/>
          <w:sz w:val="22"/>
          <w:szCs w:val="22"/>
        </w:rPr>
      </w:pPr>
    </w:p>
    <w:p w14:paraId="457297EA" w14:textId="6B0FFE71" w:rsidR="001F268A" w:rsidRPr="00B24A80" w:rsidRDefault="001F268A" w:rsidP="001F268A">
      <w:pPr>
        <w:pStyle w:val="Descripcin"/>
        <w:rPr>
          <w:rFonts w:cstheme="majorHAnsi"/>
          <w:sz w:val="22"/>
          <w:szCs w:val="22"/>
        </w:rPr>
      </w:pPr>
      <w:r w:rsidRPr="00B24A80">
        <w:rPr>
          <w:rFonts w:cstheme="majorHAnsi"/>
          <w:sz w:val="22"/>
          <w:szCs w:val="22"/>
        </w:rPr>
        <w:t xml:space="preserve">Gráfico </w:t>
      </w:r>
      <w:r w:rsidR="00203216" w:rsidRPr="00B24A80">
        <w:rPr>
          <w:rFonts w:cstheme="majorHAnsi"/>
          <w:sz w:val="22"/>
          <w:szCs w:val="22"/>
        </w:rPr>
        <w:fldChar w:fldCharType="begin"/>
      </w:r>
      <w:r w:rsidR="00203216" w:rsidRPr="00B24A80">
        <w:rPr>
          <w:rFonts w:cstheme="majorHAnsi"/>
          <w:sz w:val="22"/>
          <w:szCs w:val="22"/>
        </w:rPr>
        <w:instrText xml:space="preserve"> SEQ Gráfico \* ARABIC </w:instrText>
      </w:r>
      <w:r w:rsidR="00203216" w:rsidRPr="00B24A80">
        <w:rPr>
          <w:rFonts w:cstheme="majorHAnsi"/>
          <w:sz w:val="22"/>
          <w:szCs w:val="22"/>
        </w:rPr>
        <w:fldChar w:fldCharType="separate"/>
      </w:r>
      <w:r w:rsidR="00F53605">
        <w:rPr>
          <w:rFonts w:cstheme="majorHAnsi"/>
          <w:noProof/>
          <w:sz w:val="22"/>
          <w:szCs w:val="22"/>
        </w:rPr>
        <w:t>1</w:t>
      </w:r>
      <w:r w:rsidR="00203216" w:rsidRPr="00B24A80">
        <w:rPr>
          <w:rFonts w:cstheme="majorHAnsi"/>
          <w:noProof/>
          <w:sz w:val="22"/>
          <w:szCs w:val="22"/>
        </w:rPr>
        <w:fldChar w:fldCharType="end"/>
      </w:r>
      <w:r w:rsidRPr="00B24A80">
        <w:rPr>
          <w:rFonts w:cstheme="majorHAnsi"/>
          <w:sz w:val="22"/>
          <w:szCs w:val="22"/>
        </w:rPr>
        <w:t>. Formas de ocupación</w:t>
      </w:r>
    </w:p>
    <w:p w14:paraId="32D69CDB" w14:textId="77777777" w:rsidR="00DC27E8" w:rsidRPr="00B24A80" w:rsidRDefault="007F5505">
      <w:pPr>
        <w:tabs>
          <w:tab w:val="left" w:pos="3052"/>
        </w:tabs>
        <w:spacing w:line="276" w:lineRule="auto"/>
        <w:rPr>
          <w:rFonts w:asciiTheme="majorHAnsi" w:eastAsia="Calibri" w:hAnsiTheme="majorHAnsi" w:cstheme="majorHAnsi"/>
          <w:sz w:val="22"/>
          <w:szCs w:val="22"/>
        </w:rPr>
      </w:pPr>
      <w:r w:rsidRPr="00B24A80">
        <w:rPr>
          <w:rFonts w:asciiTheme="majorHAnsi" w:eastAsia="Calibri" w:hAnsiTheme="majorHAnsi" w:cstheme="majorHAnsi"/>
          <w:noProof/>
          <w:sz w:val="22"/>
          <w:szCs w:val="22"/>
          <w:lang w:val="es-EC" w:eastAsia="es-EC"/>
        </w:rPr>
        <w:drawing>
          <wp:inline distT="0" distB="0" distL="0" distR="0" wp14:anchorId="623C01EE" wp14:editId="55817EC3">
            <wp:extent cx="5648325" cy="1257300"/>
            <wp:effectExtent l="0" t="0" r="9525" b="0"/>
            <wp:docPr id="21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rotWithShape="1">
                    <a:blip r:embed="rId10"/>
                    <a:srcRect b="12000"/>
                    <a:stretch/>
                  </pic:blipFill>
                  <pic:spPr bwMode="auto">
                    <a:xfrm>
                      <a:off x="0" y="0"/>
                      <a:ext cx="5648325" cy="1257300"/>
                    </a:xfrm>
                    <a:prstGeom prst="rect">
                      <a:avLst/>
                    </a:prstGeom>
                    <a:ln>
                      <a:noFill/>
                    </a:ln>
                    <a:extLst>
                      <a:ext uri="{53640926-AAD7-44D8-BBD7-CCE9431645EC}">
                        <a14:shadowObscured xmlns:a14="http://schemas.microsoft.com/office/drawing/2010/main"/>
                      </a:ext>
                    </a:extLst>
                  </pic:spPr>
                </pic:pic>
              </a:graphicData>
            </a:graphic>
          </wp:inline>
        </w:drawing>
      </w:r>
    </w:p>
    <w:p w14:paraId="4EC6E4DB" w14:textId="77777777" w:rsidR="00166473" w:rsidRDefault="00166473">
      <w:pPr>
        <w:tabs>
          <w:tab w:val="left" w:pos="3052"/>
        </w:tabs>
        <w:spacing w:line="276" w:lineRule="auto"/>
        <w:rPr>
          <w:rFonts w:asciiTheme="majorHAnsi" w:eastAsia="Calibri" w:hAnsiTheme="majorHAnsi" w:cstheme="majorHAnsi"/>
          <w:b/>
          <w:i/>
          <w:sz w:val="22"/>
          <w:szCs w:val="22"/>
        </w:rPr>
      </w:pPr>
    </w:p>
    <w:p w14:paraId="09ACD886" w14:textId="77777777" w:rsidR="00BE78AB" w:rsidRPr="00B24A80" w:rsidRDefault="00BE78AB">
      <w:pPr>
        <w:tabs>
          <w:tab w:val="left" w:pos="3052"/>
        </w:tabs>
        <w:spacing w:line="276" w:lineRule="auto"/>
        <w:rPr>
          <w:rFonts w:asciiTheme="majorHAnsi" w:eastAsia="Calibri" w:hAnsiTheme="majorHAnsi" w:cstheme="majorHAnsi"/>
          <w:sz w:val="22"/>
          <w:szCs w:val="22"/>
        </w:rPr>
      </w:pPr>
    </w:p>
    <w:p w14:paraId="687F7813" w14:textId="77777777" w:rsidR="00DC27E8" w:rsidRPr="00B24A80" w:rsidRDefault="007F5505">
      <w:pPr>
        <w:pBdr>
          <w:top w:val="nil"/>
          <w:left w:val="nil"/>
          <w:bottom w:val="nil"/>
          <w:right w:val="nil"/>
          <w:between w:val="nil"/>
        </w:pBdr>
        <w:spacing w:line="276" w:lineRule="auto"/>
        <w:ind w:right="-100"/>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Ocupación del Suelo - </w:t>
      </w:r>
    </w:p>
    <w:p w14:paraId="7D2E68EF" w14:textId="1738AF98" w:rsidR="00DC27E8" w:rsidRPr="00B24A80" w:rsidRDefault="007F5505" w:rsidP="009F132D">
      <w:pPr>
        <w:numPr>
          <w:ilvl w:val="0"/>
          <w:numId w:val="12"/>
        </w:numPr>
        <w:pBdr>
          <w:top w:val="nil"/>
          <w:left w:val="nil"/>
          <w:bottom w:val="nil"/>
          <w:right w:val="nil"/>
          <w:between w:val="nil"/>
        </w:pBdr>
        <w:spacing w:after="240" w:line="276" w:lineRule="auto"/>
        <w:ind w:right="-100"/>
        <w:rPr>
          <w:rFonts w:asciiTheme="majorHAnsi" w:eastAsia="Calibri" w:hAnsiTheme="majorHAnsi" w:cstheme="majorHAnsi"/>
          <w:b/>
          <w:color w:val="000000"/>
          <w:sz w:val="22"/>
          <w:szCs w:val="22"/>
        </w:rPr>
      </w:pPr>
      <w:r w:rsidRPr="00B24A80">
        <w:rPr>
          <w:rFonts w:asciiTheme="majorHAnsi" w:eastAsia="Calibri" w:hAnsiTheme="majorHAnsi" w:cstheme="majorHAnsi"/>
          <w:b/>
          <w:color w:val="000000"/>
          <w:sz w:val="22"/>
          <w:szCs w:val="22"/>
        </w:rPr>
        <w:t xml:space="preserve">Parroquia </w:t>
      </w:r>
      <w:r w:rsidR="00E30701" w:rsidRPr="00B24A80">
        <w:rPr>
          <w:rFonts w:asciiTheme="majorHAnsi" w:eastAsia="Calibri" w:hAnsiTheme="majorHAnsi" w:cstheme="majorHAnsi"/>
          <w:b/>
          <w:color w:val="000000"/>
          <w:sz w:val="22"/>
          <w:szCs w:val="22"/>
        </w:rPr>
        <w:t>La Joya de los Sachas</w:t>
      </w:r>
      <w:r w:rsidRPr="00B24A80">
        <w:rPr>
          <w:rFonts w:asciiTheme="majorHAnsi" w:eastAsia="Calibri" w:hAnsiTheme="majorHAnsi" w:cstheme="majorHAnsi"/>
          <w:b/>
          <w:color w:val="000000"/>
          <w:sz w:val="22"/>
          <w:szCs w:val="22"/>
        </w:rPr>
        <w:t xml:space="preserve">, </w:t>
      </w:r>
    </w:p>
    <w:p w14:paraId="127A5341" w14:textId="2C8672DC" w:rsidR="00A07B87" w:rsidRPr="0080438B" w:rsidRDefault="00A07B87" w:rsidP="0080438B">
      <w:pPr>
        <w:pStyle w:val="Descripcin"/>
      </w:pPr>
      <w:bookmarkStart w:id="102" w:name="_Toc81085704"/>
      <w:r w:rsidRPr="0080438B">
        <w:lastRenderedPageBreak/>
        <w:t xml:space="preserve">Mapa </w:t>
      </w:r>
      <w:r w:rsidR="00F53605">
        <w:fldChar w:fldCharType="begin"/>
      </w:r>
      <w:r w:rsidR="00F53605">
        <w:instrText xml:space="preserve"> SEQ Mapa \* ARABIC </w:instrText>
      </w:r>
      <w:r w:rsidR="00F53605">
        <w:fldChar w:fldCharType="separate"/>
      </w:r>
      <w:r w:rsidR="00F53605">
        <w:rPr>
          <w:noProof/>
        </w:rPr>
        <w:t>1</w:t>
      </w:r>
      <w:r w:rsidR="00F53605">
        <w:rPr>
          <w:noProof/>
        </w:rPr>
        <w:fldChar w:fldCharType="end"/>
      </w:r>
      <w:r w:rsidRPr="0080438B">
        <w:t xml:space="preserve">. </w:t>
      </w:r>
      <w:r w:rsidR="001647F4" w:rsidRPr="0080438B">
        <w:t>D</w:t>
      </w:r>
      <w:r w:rsidRPr="0080438B">
        <w:t xml:space="preserve">elimitación general del suelo urbano por zonas </w:t>
      </w:r>
      <w:r w:rsidR="003033CC" w:rsidRPr="0080438B">
        <w:t>–</w:t>
      </w:r>
      <w:r w:rsidR="00E30701" w:rsidRPr="0080438B">
        <w:t>La Joya de los Sachas</w:t>
      </w:r>
      <w:bookmarkEnd w:id="102"/>
    </w:p>
    <w:p w14:paraId="787C9893" w14:textId="2FF5E078" w:rsidR="00DC27E8" w:rsidRPr="00B24A80" w:rsidRDefault="00C55D62">
      <w:pPr>
        <w:rPr>
          <w:rFonts w:asciiTheme="majorHAnsi" w:eastAsia="Calibri" w:hAnsiTheme="majorHAnsi" w:cstheme="majorHAnsi"/>
          <w:sz w:val="22"/>
          <w:szCs w:val="22"/>
        </w:rPr>
      </w:pPr>
      <w:r w:rsidRPr="00B24A80">
        <w:rPr>
          <w:rFonts w:asciiTheme="majorHAnsi" w:eastAsia="Calibri" w:hAnsiTheme="majorHAnsi" w:cstheme="majorHAnsi"/>
          <w:noProof/>
          <w:sz w:val="22"/>
          <w:szCs w:val="22"/>
          <w:lang w:val="es-EC" w:eastAsia="es-EC"/>
        </w:rPr>
        <w:drawing>
          <wp:inline distT="0" distB="0" distL="0" distR="0" wp14:anchorId="35D16D9E" wp14:editId="70B1E1B2">
            <wp:extent cx="5400000" cy="76999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8"/>
                    <a:stretch/>
                  </pic:blipFill>
                  <pic:spPr bwMode="auto">
                    <a:xfrm>
                      <a:off x="0" y="0"/>
                      <a:ext cx="5400000" cy="7699998"/>
                    </a:xfrm>
                    <a:prstGeom prst="rect">
                      <a:avLst/>
                    </a:prstGeom>
                    <a:ln>
                      <a:noFill/>
                    </a:ln>
                    <a:extLst>
                      <a:ext uri="{53640926-AAD7-44D8-BBD7-CCE9431645EC}">
                        <a14:shadowObscured xmlns:a14="http://schemas.microsoft.com/office/drawing/2010/main"/>
                      </a:ext>
                    </a:extLst>
                  </pic:spPr>
                </pic:pic>
              </a:graphicData>
            </a:graphic>
          </wp:inline>
        </w:drawing>
      </w:r>
      <w:r w:rsidRPr="00B24A80">
        <w:rPr>
          <w:rFonts w:asciiTheme="majorHAnsi" w:eastAsia="Calibri" w:hAnsiTheme="majorHAnsi" w:cstheme="majorHAnsi"/>
          <w:noProof/>
          <w:sz w:val="22"/>
          <w:szCs w:val="22"/>
          <w:lang w:val="es-EC" w:eastAsia="es-EC"/>
        </w:rPr>
        <w:t xml:space="preserve"> </w:t>
      </w:r>
    </w:p>
    <w:p w14:paraId="4B928809" w14:textId="61173671" w:rsidR="00A07B87" w:rsidRPr="00B24A80" w:rsidRDefault="00A07B87" w:rsidP="00A07B87">
      <w:pPr>
        <w:spacing w:line="276" w:lineRule="auto"/>
        <w:rPr>
          <w:rFonts w:asciiTheme="majorHAnsi" w:eastAsia="Calibri" w:hAnsiTheme="majorHAnsi" w:cstheme="majorHAnsi"/>
          <w:i/>
          <w:sz w:val="22"/>
          <w:szCs w:val="22"/>
        </w:rPr>
      </w:pPr>
    </w:p>
    <w:p w14:paraId="687C662D" w14:textId="76415AED" w:rsidR="003033CC" w:rsidRPr="0080438B" w:rsidRDefault="001C6F36" w:rsidP="0080438B">
      <w:pPr>
        <w:pStyle w:val="Descripcin"/>
      </w:pPr>
      <w:r w:rsidRPr="00B24A80">
        <w:br w:type="page"/>
      </w:r>
      <w:bookmarkStart w:id="103" w:name="_Toc81085705"/>
      <w:r w:rsidR="003033CC" w:rsidRPr="0080438B">
        <w:lastRenderedPageBreak/>
        <w:t xml:space="preserve">Mapa </w:t>
      </w:r>
      <w:r w:rsidR="00F53605">
        <w:fldChar w:fldCharType="begin"/>
      </w:r>
      <w:r w:rsidR="00F53605">
        <w:instrText xml:space="preserve"> SEQ Mapa \* ARABIC </w:instrText>
      </w:r>
      <w:r w:rsidR="00F53605">
        <w:fldChar w:fldCharType="separate"/>
      </w:r>
      <w:r w:rsidR="00F53605">
        <w:rPr>
          <w:noProof/>
        </w:rPr>
        <w:t>2</w:t>
      </w:r>
      <w:r w:rsidR="00F53605">
        <w:rPr>
          <w:noProof/>
        </w:rPr>
        <w:fldChar w:fldCharType="end"/>
      </w:r>
      <w:r w:rsidR="003033CC" w:rsidRPr="0080438B">
        <w:t xml:space="preserve">. </w:t>
      </w:r>
      <w:r w:rsidR="001647F4" w:rsidRPr="0080438B">
        <w:t>D</w:t>
      </w:r>
      <w:r w:rsidR="003033CC" w:rsidRPr="0080438B">
        <w:t xml:space="preserve">elimitación general del suelo urbano por zonas – </w:t>
      </w:r>
      <w:bookmarkEnd w:id="103"/>
      <w:r w:rsidR="00C42232" w:rsidRPr="0080438B">
        <w:t>Cabecera Parroquial</w:t>
      </w:r>
      <w:r w:rsidR="001647F4" w:rsidRPr="0080438B">
        <w:t xml:space="preserve"> </w:t>
      </w:r>
      <w:r w:rsidR="00D56CFB" w:rsidRPr="0080438B">
        <w:t>Enokanqu</w:t>
      </w:r>
      <w:r w:rsidR="00C55D62" w:rsidRPr="0080438B">
        <w:t>i</w:t>
      </w:r>
    </w:p>
    <w:p w14:paraId="5A6ACFAB" w14:textId="63E940BA" w:rsidR="003033CC" w:rsidRPr="00B24A80" w:rsidRDefault="00C55D62" w:rsidP="00A07B87">
      <w:pPr>
        <w:spacing w:line="276" w:lineRule="auto"/>
        <w:rPr>
          <w:rFonts w:asciiTheme="majorHAnsi" w:eastAsia="Calibri" w:hAnsiTheme="majorHAnsi" w:cstheme="majorHAnsi"/>
          <w:i/>
          <w:sz w:val="22"/>
          <w:szCs w:val="22"/>
        </w:rPr>
      </w:pPr>
      <w:r w:rsidRPr="00B24A80">
        <w:rPr>
          <w:rFonts w:asciiTheme="majorHAnsi" w:eastAsia="Calibri" w:hAnsiTheme="majorHAnsi" w:cstheme="majorHAnsi"/>
          <w:i/>
          <w:noProof/>
          <w:sz w:val="22"/>
          <w:szCs w:val="22"/>
          <w:lang w:val="es-EC" w:eastAsia="es-EC"/>
        </w:rPr>
        <w:drawing>
          <wp:inline distT="0" distB="0" distL="0" distR="0" wp14:anchorId="066515E3" wp14:editId="44CA2CB2">
            <wp:extent cx="5400000" cy="770523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6" t="1" r="1" b="810"/>
                    <a:stretch/>
                  </pic:blipFill>
                  <pic:spPr bwMode="auto">
                    <a:xfrm>
                      <a:off x="0" y="0"/>
                      <a:ext cx="5400000" cy="7705233"/>
                    </a:xfrm>
                    <a:prstGeom prst="rect">
                      <a:avLst/>
                    </a:prstGeom>
                    <a:ln>
                      <a:noFill/>
                    </a:ln>
                    <a:extLst>
                      <a:ext uri="{53640926-AAD7-44D8-BBD7-CCE9431645EC}">
                        <a14:shadowObscured xmlns:a14="http://schemas.microsoft.com/office/drawing/2010/main"/>
                      </a:ext>
                    </a:extLst>
                  </pic:spPr>
                </pic:pic>
              </a:graphicData>
            </a:graphic>
          </wp:inline>
        </w:drawing>
      </w:r>
    </w:p>
    <w:p w14:paraId="40C51860" w14:textId="5C1B1CF9" w:rsidR="003033CC" w:rsidRPr="00B24A80" w:rsidRDefault="003033CC" w:rsidP="00A07B87">
      <w:pPr>
        <w:spacing w:line="276" w:lineRule="auto"/>
        <w:rPr>
          <w:rFonts w:asciiTheme="majorHAnsi" w:eastAsia="Calibri" w:hAnsiTheme="majorHAnsi" w:cstheme="majorHAnsi"/>
          <w:i/>
          <w:sz w:val="22"/>
          <w:szCs w:val="22"/>
        </w:rPr>
      </w:pPr>
    </w:p>
    <w:p w14:paraId="29BE798C" w14:textId="5E023D0E" w:rsidR="003033CC" w:rsidRPr="00B24A80" w:rsidRDefault="001C6F36" w:rsidP="0080438B">
      <w:pPr>
        <w:pStyle w:val="Descripcin"/>
      </w:pPr>
      <w:r w:rsidRPr="00B24A80">
        <w:br w:type="page"/>
      </w:r>
      <w:bookmarkStart w:id="104" w:name="_Toc81085706"/>
      <w:r w:rsidR="003033CC" w:rsidRPr="00B24A80">
        <w:lastRenderedPageBreak/>
        <w:t xml:space="preserve">Mapa </w:t>
      </w:r>
      <w:r w:rsidR="00F53605">
        <w:fldChar w:fldCharType="begin"/>
      </w:r>
      <w:r w:rsidR="00F53605">
        <w:instrText xml:space="preserve"> SEQ Mapa \* ARABIC </w:instrText>
      </w:r>
      <w:r w:rsidR="00F53605">
        <w:fldChar w:fldCharType="separate"/>
      </w:r>
      <w:r w:rsidR="00F53605">
        <w:rPr>
          <w:noProof/>
        </w:rPr>
        <w:t>3</w:t>
      </w:r>
      <w:r w:rsidR="00F53605">
        <w:rPr>
          <w:noProof/>
        </w:rPr>
        <w:fldChar w:fldCharType="end"/>
      </w:r>
      <w:r w:rsidR="003033CC" w:rsidRPr="00B24A80">
        <w:t xml:space="preserve">. </w:t>
      </w:r>
      <w:r w:rsidR="001647F4" w:rsidRPr="00B24A80">
        <w:t>D</w:t>
      </w:r>
      <w:r w:rsidR="003033CC" w:rsidRPr="00B24A80">
        <w:t xml:space="preserve">elimitación general del suelo urbano por zonas – </w:t>
      </w:r>
      <w:bookmarkEnd w:id="104"/>
      <w:r w:rsidR="00C42232">
        <w:t xml:space="preserve"> Cabecera Parroquial </w:t>
      </w:r>
      <w:r w:rsidR="00313418" w:rsidRPr="00B24A80">
        <w:t>Lago San Pedro.</w:t>
      </w:r>
    </w:p>
    <w:p w14:paraId="5EA82939" w14:textId="1328FCF7" w:rsidR="003033CC" w:rsidRPr="00B24A80" w:rsidRDefault="00313418" w:rsidP="003033CC">
      <w:pPr>
        <w:rPr>
          <w:sz w:val="22"/>
          <w:szCs w:val="22"/>
        </w:rPr>
      </w:pPr>
      <w:r w:rsidRPr="00B24A80">
        <w:rPr>
          <w:noProof/>
          <w:sz w:val="22"/>
          <w:szCs w:val="22"/>
          <w:lang w:val="es-EC" w:eastAsia="es-EC"/>
        </w:rPr>
        <w:drawing>
          <wp:inline distT="0" distB="0" distL="0" distR="0" wp14:anchorId="267D4D53" wp14:editId="1FC96C90">
            <wp:extent cx="5400000" cy="77229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9" t="949" r="2413" b="1897"/>
                    <a:stretch/>
                  </pic:blipFill>
                  <pic:spPr bwMode="auto">
                    <a:xfrm>
                      <a:off x="0" y="0"/>
                      <a:ext cx="5400000" cy="7722905"/>
                    </a:xfrm>
                    <a:prstGeom prst="rect">
                      <a:avLst/>
                    </a:prstGeom>
                    <a:ln>
                      <a:noFill/>
                    </a:ln>
                    <a:extLst>
                      <a:ext uri="{53640926-AAD7-44D8-BBD7-CCE9431645EC}">
                        <a14:shadowObscured xmlns:a14="http://schemas.microsoft.com/office/drawing/2010/main"/>
                      </a:ext>
                    </a:extLst>
                  </pic:spPr>
                </pic:pic>
              </a:graphicData>
            </a:graphic>
          </wp:inline>
        </w:drawing>
      </w:r>
    </w:p>
    <w:p w14:paraId="4B528AD2" w14:textId="77777777" w:rsidR="0080438B" w:rsidRPr="00B24A80" w:rsidRDefault="0080438B" w:rsidP="003033CC">
      <w:pPr>
        <w:spacing w:line="276" w:lineRule="auto"/>
        <w:rPr>
          <w:rFonts w:asciiTheme="majorHAnsi" w:eastAsia="Calibri" w:hAnsiTheme="majorHAnsi" w:cstheme="majorHAnsi"/>
          <w:i/>
          <w:sz w:val="22"/>
          <w:szCs w:val="22"/>
        </w:rPr>
      </w:pPr>
    </w:p>
    <w:p w14:paraId="0C9CF258" w14:textId="793F8E77" w:rsidR="003033CC" w:rsidRPr="0080438B" w:rsidRDefault="003033CC" w:rsidP="0080438B">
      <w:pPr>
        <w:pStyle w:val="Descripcin"/>
      </w:pPr>
      <w:bookmarkStart w:id="105" w:name="_Toc81085707"/>
      <w:r w:rsidRPr="0080438B">
        <w:lastRenderedPageBreak/>
        <w:t xml:space="preserve">Mapa </w:t>
      </w:r>
      <w:r w:rsidR="00F53605">
        <w:fldChar w:fldCharType="begin"/>
      </w:r>
      <w:r w:rsidR="00F53605">
        <w:instrText xml:space="preserve"> SEQ Mapa \* ARABIC </w:instrText>
      </w:r>
      <w:r w:rsidR="00F53605">
        <w:fldChar w:fldCharType="separate"/>
      </w:r>
      <w:r w:rsidR="00F53605">
        <w:rPr>
          <w:noProof/>
        </w:rPr>
        <w:t>4</w:t>
      </w:r>
      <w:r w:rsidR="00F53605">
        <w:rPr>
          <w:noProof/>
        </w:rPr>
        <w:fldChar w:fldCharType="end"/>
      </w:r>
      <w:r w:rsidRPr="0080438B">
        <w:t xml:space="preserve">. </w:t>
      </w:r>
      <w:r w:rsidR="001647F4" w:rsidRPr="0080438B">
        <w:t>D</w:t>
      </w:r>
      <w:r w:rsidRPr="0080438B">
        <w:t xml:space="preserve">elimitación general del </w:t>
      </w:r>
      <w:r w:rsidR="00C42232" w:rsidRPr="0080438B">
        <w:t>suelo urbano por zonas – Cabecera Parroquia</w:t>
      </w:r>
      <w:r w:rsidRPr="0080438B">
        <w:t xml:space="preserve"> </w:t>
      </w:r>
      <w:bookmarkEnd w:id="105"/>
      <w:r w:rsidR="00313418" w:rsidRPr="0080438B">
        <w:t>Pompeya.</w:t>
      </w:r>
    </w:p>
    <w:p w14:paraId="70F98356" w14:textId="1C9BF645" w:rsidR="003033CC" w:rsidRPr="00B24A80" w:rsidRDefault="00313418" w:rsidP="003033CC">
      <w:pPr>
        <w:rPr>
          <w:sz w:val="22"/>
          <w:szCs w:val="22"/>
        </w:rPr>
      </w:pPr>
      <w:r w:rsidRPr="00B24A80">
        <w:rPr>
          <w:noProof/>
          <w:sz w:val="22"/>
          <w:szCs w:val="22"/>
          <w:lang w:val="es-EC" w:eastAsia="es-EC"/>
        </w:rPr>
        <w:drawing>
          <wp:inline distT="0" distB="0" distL="0" distR="0" wp14:anchorId="26437EB9" wp14:editId="6C135435">
            <wp:extent cx="5400000" cy="755439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09" b="-1"/>
                    <a:stretch/>
                  </pic:blipFill>
                  <pic:spPr bwMode="auto">
                    <a:xfrm>
                      <a:off x="0" y="0"/>
                      <a:ext cx="5400000" cy="7554396"/>
                    </a:xfrm>
                    <a:prstGeom prst="rect">
                      <a:avLst/>
                    </a:prstGeom>
                    <a:ln>
                      <a:noFill/>
                    </a:ln>
                    <a:extLst>
                      <a:ext uri="{53640926-AAD7-44D8-BBD7-CCE9431645EC}">
                        <a14:shadowObscured xmlns:a14="http://schemas.microsoft.com/office/drawing/2010/main"/>
                      </a:ext>
                    </a:extLst>
                  </pic:spPr>
                </pic:pic>
              </a:graphicData>
            </a:graphic>
          </wp:inline>
        </w:drawing>
      </w:r>
    </w:p>
    <w:p w14:paraId="2DDCC0C9" w14:textId="54FFABE7" w:rsidR="00D5642C" w:rsidRPr="00B24A80" w:rsidRDefault="00D5642C">
      <w:pPr>
        <w:rPr>
          <w:rFonts w:asciiTheme="majorHAnsi" w:eastAsia="Calibri" w:hAnsiTheme="majorHAnsi" w:cstheme="majorHAnsi"/>
          <w:sz w:val="22"/>
          <w:szCs w:val="22"/>
        </w:rPr>
      </w:pPr>
    </w:p>
    <w:p w14:paraId="3AD9FE19" w14:textId="77777777" w:rsidR="001C6F36" w:rsidRPr="00B24A80" w:rsidRDefault="001C6F36">
      <w:pPr>
        <w:rPr>
          <w:rFonts w:asciiTheme="majorHAnsi" w:hAnsiTheme="majorHAnsi" w:cstheme="majorHAnsi"/>
          <w:b/>
          <w:iCs/>
          <w:sz w:val="22"/>
          <w:szCs w:val="22"/>
        </w:rPr>
      </w:pPr>
      <w:r w:rsidRPr="00B24A80">
        <w:rPr>
          <w:rFonts w:cstheme="majorHAnsi"/>
          <w:sz w:val="22"/>
          <w:szCs w:val="22"/>
        </w:rPr>
        <w:br w:type="page"/>
      </w:r>
    </w:p>
    <w:p w14:paraId="487B1CDD" w14:textId="66C7F0C1" w:rsidR="003033CC" w:rsidRPr="0080438B" w:rsidRDefault="003033CC" w:rsidP="0080438B">
      <w:pPr>
        <w:pStyle w:val="Descripcin"/>
      </w:pPr>
      <w:bookmarkStart w:id="106" w:name="_Toc81085708"/>
      <w:r w:rsidRPr="0080438B">
        <w:lastRenderedPageBreak/>
        <w:t xml:space="preserve">Mapa </w:t>
      </w:r>
      <w:r w:rsidR="00F53605">
        <w:fldChar w:fldCharType="begin"/>
      </w:r>
      <w:r w:rsidR="00F53605">
        <w:instrText xml:space="preserve"> SEQ Mapa \* ARABIC </w:instrText>
      </w:r>
      <w:r w:rsidR="00F53605">
        <w:fldChar w:fldCharType="separate"/>
      </w:r>
      <w:r w:rsidR="00F53605">
        <w:rPr>
          <w:noProof/>
        </w:rPr>
        <w:t>5</w:t>
      </w:r>
      <w:r w:rsidR="00F53605">
        <w:rPr>
          <w:noProof/>
        </w:rPr>
        <w:fldChar w:fldCharType="end"/>
      </w:r>
      <w:r w:rsidRPr="0080438B">
        <w:t xml:space="preserve">. </w:t>
      </w:r>
      <w:r w:rsidR="001647F4" w:rsidRPr="0080438B">
        <w:t>D</w:t>
      </w:r>
      <w:r w:rsidRPr="0080438B">
        <w:t>elimitación general del suelo</w:t>
      </w:r>
      <w:r w:rsidR="00C42232" w:rsidRPr="0080438B">
        <w:t xml:space="preserve"> urbano por zonas – Cabecera Parroquial</w:t>
      </w:r>
      <w:r w:rsidRPr="0080438B">
        <w:t xml:space="preserve"> </w:t>
      </w:r>
      <w:bookmarkEnd w:id="106"/>
      <w:r w:rsidR="00313418" w:rsidRPr="0080438B">
        <w:t>San Carlos</w:t>
      </w:r>
    </w:p>
    <w:p w14:paraId="23A1D9DF" w14:textId="7C74644D" w:rsidR="003033CC" w:rsidRPr="00B24A80" w:rsidRDefault="00313418" w:rsidP="003033CC">
      <w:pPr>
        <w:rPr>
          <w:sz w:val="22"/>
          <w:szCs w:val="22"/>
        </w:rPr>
      </w:pPr>
      <w:r w:rsidRPr="00B24A80">
        <w:rPr>
          <w:noProof/>
          <w:sz w:val="22"/>
          <w:szCs w:val="22"/>
          <w:lang w:val="es-EC" w:eastAsia="es-EC"/>
        </w:rPr>
        <w:drawing>
          <wp:inline distT="0" distB="0" distL="0" distR="0" wp14:anchorId="1838CE38" wp14:editId="46F134D6">
            <wp:extent cx="5400000" cy="769678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9" t="782" r="2002" b="873"/>
                    <a:stretch/>
                  </pic:blipFill>
                  <pic:spPr bwMode="auto">
                    <a:xfrm>
                      <a:off x="0" y="0"/>
                      <a:ext cx="5400000" cy="7696786"/>
                    </a:xfrm>
                    <a:prstGeom prst="rect">
                      <a:avLst/>
                    </a:prstGeom>
                    <a:ln>
                      <a:noFill/>
                    </a:ln>
                    <a:extLst>
                      <a:ext uri="{53640926-AAD7-44D8-BBD7-CCE9431645EC}">
                        <a14:shadowObscured xmlns:a14="http://schemas.microsoft.com/office/drawing/2010/main"/>
                      </a:ext>
                    </a:extLst>
                  </pic:spPr>
                </pic:pic>
              </a:graphicData>
            </a:graphic>
          </wp:inline>
        </w:drawing>
      </w:r>
    </w:p>
    <w:p w14:paraId="776A85B1" w14:textId="77777777" w:rsidR="003033CC" w:rsidRPr="00B24A80" w:rsidRDefault="003033CC" w:rsidP="003033CC">
      <w:pPr>
        <w:rPr>
          <w:sz w:val="22"/>
          <w:szCs w:val="22"/>
        </w:rPr>
      </w:pPr>
    </w:p>
    <w:p w14:paraId="50684A86" w14:textId="5C0FF4F4" w:rsidR="003033CC" w:rsidRPr="0080438B" w:rsidRDefault="003033CC" w:rsidP="0080438B">
      <w:pPr>
        <w:pStyle w:val="Descripcin"/>
      </w:pPr>
      <w:bookmarkStart w:id="107" w:name="_Toc81085709"/>
      <w:r w:rsidRPr="0080438B">
        <w:lastRenderedPageBreak/>
        <w:t xml:space="preserve">Mapa </w:t>
      </w:r>
      <w:r w:rsidR="00F53605">
        <w:fldChar w:fldCharType="begin"/>
      </w:r>
      <w:r w:rsidR="00F53605">
        <w:instrText xml:space="preserve"> SEQ Mapa \* ARABIC </w:instrText>
      </w:r>
      <w:r w:rsidR="00F53605">
        <w:fldChar w:fldCharType="separate"/>
      </w:r>
      <w:r w:rsidR="00F53605">
        <w:rPr>
          <w:noProof/>
        </w:rPr>
        <w:t>6</w:t>
      </w:r>
      <w:r w:rsidR="00F53605">
        <w:rPr>
          <w:noProof/>
        </w:rPr>
        <w:fldChar w:fldCharType="end"/>
      </w:r>
      <w:r w:rsidRPr="0080438B">
        <w:t xml:space="preserve">. </w:t>
      </w:r>
      <w:r w:rsidR="001647F4" w:rsidRPr="0080438B">
        <w:t>D</w:t>
      </w:r>
      <w:r w:rsidRPr="0080438B">
        <w:t>elimitación general del suelo</w:t>
      </w:r>
      <w:r w:rsidR="00C42232" w:rsidRPr="0080438B">
        <w:t xml:space="preserve"> urbano por zonas – Cabecera Parroquial</w:t>
      </w:r>
      <w:r w:rsidRPr="0080438B">
        <w:t xml:space="preserve"> </w:t>
      </w:r>
      <w:bookmarkEnd w:id="107"/>
      <w:r w:rsidR="00313418" w:rsidRPr="0080438B">
        <w:t>San Sebastián del Coca</w:t>
      </w:r>
    </w:p>
    <w:p w14:paraId="28ED2936" w14:textId="12B6324F" w:rsidR="001C6F36" w:rsidRPr="00B24A80" w:rsidRDefault="00313418" w:rsidP="001C6F36">
      <w:pPr>
        <w:rPr>
          <w:sz w:val="22"/>
          <w:szCs w:val="22"/>
        </w:rPr>
      </w:pPr>
      <w:r w:rsidRPr="00B24A80">
        <w:rPr>
          <w:noProof/>
          <w:sz w:val="22"/>
          <w:szCs w:val="22"/>
          <w:lang w:val="es-EC" w:eastAsia="es-EC"/>
        </w:rPr>
        <w:drawing>
          <wp:inline distT="0" distB="0" distL="0" distR="0" wp14:anchorId="32919DB7" wp14:editId="21941168">
            <wp:extent cx="5400000" cy="762618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2" b="392"/>
                    <a:stretch/>
                  </pic:blipFill>
                  <pic:spPr bwMode="auto">
                    <a:xfrm>
                      <a:off x="0" y="0"/>
                      <a:ext cx="5400000" cy="7626184"/>
                    </a:xfrm>
                    <a:prstGeom prst="rect">
                      <a:avLst/>
                    </a:prstGeom>
                    <a:ln>
                      <a:noFill/>
                    </a:ln>
                    <a:extLst>
                      <a:ext uri="{53640926-AAD7-44D8-BBD7-CCE9431645EC}">
                        <a14:shadowObscured xmlns:a14="http://schemas.microsoft.com/office/drawing/2010/main"/>
                      </a:ext>
                    </a:extLst>
                  </pic:spPr>
                </pic:pic>
              </a:graphicData>
            </a:graphic>
          </wp:inline>
        </w:drawing>
      </w:r>
      <w:r w:rsidRPr="00B24A80">
        <w:rPr>
          <w:noProof/>
          <w:sz w:val="22"/>
          <w:szCs w:val="22"/>
          <w:lang w:val="es-EC" w:eastAsia="es-EC"/>
        </w:rPr>
        <w:t xml:space="preserve"> </w:t>
      </w:r>
    </w:p>
    <w:p w14:paraId="4EC93A0C" w14:textId="77777777" w:rsidR="008D2E7A" w:rsidRPr="00B24A80" w:rsidRDefault="008D2E7A" w:rsidP="00313418">
      <w:pPr>
        <w:spacing w:line="276" w:lineRule="auto"/>
        <w:rPr>
          <w:rFonts w:asciiTheme="majorHAnsi" w:eastAsia="Calibri" w:hAnsiTheme="majorHAnsi" w:cstheme="majorHAnsi"/>
          <w:i/>
          <w:sz w:val="22"/>
          <w:szCs w:val="22"/>
        </w:rPr>
      </w:pPr>
      <w:bookmarkStart w:id="108" w:name="_Toc81085710"/>
    </w:p>
    <w:p w14:paraId="26B6EAB8" w14:textId="13185AE2" w:rsidR="001C6F36" w:rsidRPr="00B24A80" w:rsidRDefault="001C6F36" w:rsidP="0080438B">
      <w:pPr>
        <w:pStyle w:val="Descripcin"/>
      </w:pPr>
      <w:r w:rsidRPr="00B24A80">
        <w:lastRenderedPageBreak/>
        <w:t xml:space="preserve">Mapa </w:t>
      </w:r>
      <w:r w:rsidR="00F53605">
        <w:fldChar w:fldCharType="begin"/>
      </w:r>
      <w:r w:rsidR="00F53605">
        <w:instrText xml:space="preserve"> SEQ Mapa \* ARABIC </w:instrText>
      </w:r>
      <w:r w:rsidR="00F53605">
        <w:fldChar w:fldCharType="separate"/>
      </w:r>
      <w:r w:rsidR="00F53605">
        <w:rPr>
          <w:noProof/>
        </w:rPr>
        <w:t>7</w:t>
      </w:r>
      <w:r w:rsidR="00F53605">
        <w:rPr>
          <w:noProof/>
        </w:rPr>
        <w:fldChar w:fldCharType="end"/>
      </w:r>
      <w:r w:rsidRPr="00B24A80">
        <w:t xml:space="preserve">. </w:t>
      </w:r>
      <w:r w:rsidR="001647F4" w:rsidRPr="00B24A80">
        <w:t>D</w:t>
      </w:r>
      <w:r w:rsidRPr="00B24A80">
        <w:t xml:space="preserve">elimitación general del suelo urbano por zonas – </w:t>
      </w:r>
      <w:bookmarkEnd w:id="108"/>
      <w:r w:rsidR="00C42232">
        <w:t xml:space="preserve">Cabecera Parroquial </w:t>
      </w:r>
      <w:r w:rsidR="00313418" w:rsidRPr="00B24A80">
        <w:t>Unión Milagreña</w:t>
      </w:r>
    </w:p>
    <w:p w14:paraId="6617D1AB" w14:textId="12832B2B" w:rsidR="001C6F36" w:rsidRDefault="00313418" w:rsidP="0080438B">
      <w:pPr>
        <w:rPr>
          <w:rFonts w:asciiTheme="majorHAnsi" w:eastAsia="Calibri" w:hAnsiTheme="majorHAnsi" w:cstheme="majorHAnsi"/>
          <w:i/>
          <w:sz w:val="22"/>
          <w:szCs w:val="22"/>
        </w:rPr>
      </w:pPr>
      <w:r w:rsidRPr="00B24A80">
        <w:rPr>
          <w:noProof/>
          <w:sz w:val="22"/>
          <w:szCs w:val="22"/>
          <w:lang w:val="es-EC" w:eastAsia="es-EC"/>
        </w:rPr>
        <w:drawing>
          <wp:inline distT="0" distB="0" distL="0" distR="0" wp14:anchorId="6C0A2668" wp14:editId="186D2742">
            <wp:extent cx="5400000" cy="7693481"/>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7693481"/>
                    </a:xfrm>
                    <a:prstGeom prst="rect">
                      <a:avLst/>
                    </a:prstGeom>
                  </pic:spPr>
                </pic:pic>
              </a:graphicData>
            </a:graphic>
          </wp:inline>
        </w:drawing>
      </w:r>
    </w:p>
    <w:p w14:paraId="2BC83075" w14:textId="77777777" w:rsidR="0080438B" w:rsidRPr="0080438B" w:rsidRDefault="0080438B" w:rsidP="0080438B">
      <w:pPr>
        <w:rPr>
          <w:sz w:val="22"/>
          <w:szCs w:val="22"/>
        </w:rPr>
      </w:pPr>
    </w:p>
    <w:p w14:paraId="42F866DD" w14:textId="04B4566A" w:rsidR="001C6F36" w:rsidRDefault="001C6F36" w:rsidP="0080438B">
      <w:pPr>
        <w:pStyle w:val="Descripcin"/>
      </w:pPr>
      <w:bookmarkStart w:id="109" w:name="_Toc81085711"/>
      <w:r w:rsidRPr="0080438B">
        <w:lastRenderedPageBreak/>
        <w:t xml:space="preserve">Mapa </w:t>
      </w:r>
      <w:r w:rsidR="00F53605">
        <w:fldChar w:fldCharType="begin"/>
      </w:r>
      <w:r w:rsidR="00F53605">
        <w:instrText xml:space="preserve"> SEQ Mapa \* ARABIC </w:instrText>
      </w:r>
      <w:r w:rsidR="00F53605">
        <w:fldChar w:fldCharType="separate"/>
      </w:r>
      <w:r w:rsidR="00F53605">
        <w:rPr>
          <w:noProof/>
        </w:rPr>
        <w:t>8</w:t>
      </w:r>
      <w:r w:rsidR="00F53605">
        <w:rPr>
          <w:noProof/>
        </w:rPr>
        <w:fldChar w:fldCharType="end"/>
      </w:r>
      <w:r w:rsidRPr="0080438B">
        <w:t xml:space="preserve">. </w:t>
      </w:r>
      <w:r w:rsidR="001647F4" w:rsidRPr="0080438B">
        <w:t>D</w:t>
      </w:r>
      <w:r w:rsidRPr="0080438B">
        <w:t xml:space="preserve">elimitación general del suelo urbano por zonas – </w:t>
      </w:r>
      <w:bookmarkEnd w:id="109"/>
      <w:r w:rsidR="00C42232" w:rsidRPr="0080438B">
        <w:t xml:space="preserve">Cabecera Parroquial </w:t>
      </w:r>
      <w:r w:rsidR="0029126A" w:rsidRPr="0080438B">
        <w:t>Tres de Noviembre</w:t>
      </w:r>
    </w:p>
    <w:p w14:paraId="596BC8CF" w14:textId="1C3C4776" w:rsidR="001C6F36" w:rsidRPr="00150CA3" w:rsidRDefault="0029126A" w:rsidP="00150CA3">
      <w:pPr>
        <w:rPr>
          <w:sz w:val="22"/>
          <w:szCs w:val="22"/>
        </w:rPr>
      </w:pPr>
      <w:r w:rsidRPr="00B24A80">
        <w:rPr>
          <w:noProof/>
          <w:sz w:val="22"/>
          <w:szCs w:val="22"/>
          <w:lang w:val="es-EC" w:eastAsia="es-EC"/>
        </w:rPr>
        <w:drawing>
          <wp:inline distT="0" distB="0" distL="0" distR="0" wp14:anchorId="73325060" wp14:editId="31CE3949">
            <wp:extent cx="5572304" cy="79819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3258" cy="7997641"/>
                    </a:xfrm>
                    <a:prstGeom prst="rect">
                      <a:avLst/>
                    </a:prstGeom>
                  </pic:spPr>
                </pic:pic>
              </a:graphicData>
            </a:graphic>
          </wp:inline>
        </w:drawing>
      </w:r>
    </w:p>
    <w:p w14:paraId="3526CC5D" w14:textId="32C9ECB8" w:rsidR="001C6F36" w:rsidRPr="00B24A80" w:rsidRDefault="001C6F36" w:rsidP="0080438B">
      <w:pPr>
        <w:pStyle w:val="Descripcin"/>
      </w:pPr>
      <w:r w:rsidRPr="00B24A80">
        <w:br w:type="page"/>
      </w:r>
      <w:bookmarkStart w:id="110" w:name="_Toc81085712"/>
      <w:r w:rsidRPr="00B24A80">
        <w:lastRenderedPageBreak/>
        <w:t xml:space="preserve">Mapa </w:t>
      </w:r>
      <w:r w:rsidR="00F53605">
        <w:fldChar w:fldCharType="begin"/>
      </w:r>
      <w:r w:rsidR="00F53605">
        <w:instrText xml:space="preserve"> SEQ Mapa \* ARABIC </w:instrText>
      </w:r>
      <w:r w:rsidR="00F53605">
        <w:fldChar w:fldCharType="separate"/>
      </w:r>
      <w:r w:rsidR="00F53605">
        <w:rPr>
          <w:noProof/>
        </w:rPr>
        <w:t>9</w:t>
      </w:r>
      <w:r w:rsidR="00F53605">
        <w:rPr>
          <w:noProof/>
        </w:rPr>
        <w:fldChar w:fldCharType="end"/>
      </w:r>
      <w:r w:rsidRPr="00B24A80">
        <w:t xml:space="preserve">. </w:t>
      </w:r>
      <w:r w:rsidR="00917E20" w:rsidRPr="00B24A80">
        <w:t>D</w:t>
      </w:r>
      <w:r w:rsidRPr="00B24A80">
        <w:t xml:space="preserve">elimitación general del suelo urbano por zonas – </w:t>
      </w:r>
      <w:bookmarkEnd w:id="110"/>
      <w:r w:rsidR="00C42232">
        <w:t xml:space="preserve">Cabecera </w:t>
      </w:r>
      <w:r w:rsidR="0005226E">
        <w:t xml:space="preserve">Urbano </w:t>
      </w:r>
      <w:r w:rsidR="00C42232">
        <w:t xml:space="preserve">Parroquial </w:t>
      </w:r>
      <w:r w:rsidR="00F4350A" w:rsidRPr="00B24A80">
        <w:t>Rumipamba</w:t>
      </w:r>
    </w:p>
    <w:p w14:paraId="12BBAEFD" w14:textId="3169C74A" w:rsidR="00D5642C" w:rsidRPr="00B24A80" w:rsidRDefault="00F4350A">
      <w:pPr>
        <w:rPr>
          <w:rFonts w:asciiTheme="majorHAnsi" w:eastAsia="Calibri" w:hAnsiTheme="majorHAnsi" w:cstheme="majorHAnsi"/>
          <w:sz w:val="22"/>
          <w:szCs w:val="22"/>
        </w:rPr>
      </w:pPr>
      <w:r w:rsidRPr="00B24A80">
        <w:rPr>
          <w:rFonts w:asciiTheme="majorHAnsi" w:eastAsia="Calibri" w:hAnsiTheme="majorHAnsi" w:cstheme="majorHAnsi"/>
          <w:noProof/>
          <w:sz w:val="22"/>
          <w:szCs w:val="22"/>
          <w:lang w:val="es-EC" w:eastAsia="es-EC"/>
        </w:rPr>
        <w:drawing>
          <wp:inline distT="0" distB="0" distL="0" distR="0" wp14:anchorId="420F3BDF" wp14:editId="6A171820">
            <wp:extent cx="5400000" cy="7745359"/>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1382" b="-57"/>
                    <a:stretch/>
                  </pic:blipFill>
                  <pic:spPr bwMode="auto">
                    <a:xfrm>
                      <a:off x="0" y="0"/>
                      <a:ext cx="5400000" cy="7745359"/>
                    </a:xfrm>
                    <a:prstGeom prst="rect">
                      <a:avLst/>
                    </a:prstGeom>
                    <a:ln>
                      <a:noFill/>
                    </a:ln>
                    <a:extLst>
                      <a:ext uri="{53640926-AAD7-44D8-BBD7-CCE9431645EC}">
                        <a14:shadowObscured xmlns:a14="http://schemas.microsoft.com/office/drawing/2010/main"/>
                      </a:ext>
                    </a:extLst>
                  </pic:spPr>
                </pic:pic>
              </a:graphicData>
            </a:graphic>
          </wp:inline>
        </w:drawing>
      </w:r>
    </w:p>
    <w:p w14:paraId="7518C34F" w14:textId="3200AEE8" w:rsidR="001C6F36" w:rsidRPr="00B24A80" w:rsidRDefault="001C6F36" w:rsidP="001C6F36">
      <w:pPr>
        <w:spacing w:line="276" w:lineRule="auto"/>
        <w:rPr>
          <w:rFonts w:asciiTheme="majorHAnsi" w:eastAsia="Calibri" w:hAnsiTheme="majorHAnsi" w:cstheme="majorHAnsi"/>
          <w:i/>
          <w:sz w:val="22"/>
          <w:szCs w:val="22"/>
        </w:rPr>
      </w:pPr>
    </w:p>
    <w:p w14:paraId="1289C250" w14:textId="7852702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lastRenderedPageBreak/>
        <w:t xml:space="preserve">Estándares Urbanísticos. - </w:t>
      </w:r>
      <w:r w:rsidRPr="00B24A80">
        <w:rPr>
          <w:rFonts w:asciiTheme="majorHAnsi" w:eastAsia="Calibri" w:hAnsiTheme="majorHAnsi" w:cstheme="majorHAnsi"/>
          <w:szCs w:val="22"/>
        </w:rPr>
        <w:t>De acuerdo con el reglamento de la LOOTUGS los estándares “Son parámetros o patrones de calidad y medida que obligatoriamente deben observarse en el planeamiento y actuaciones urbanísticas con relación al espacio público, equipamientos, previsión de suelo para vivienda social, perfiles viales, protección y conservación ambiental y aprovechamiento del paisaje, prevención y mitigación de riesgos, y cualquier otro que se considere necesario, en función de las características geográficas, demográficas, socioeconómicas y culturales del lugar.</w:t>
      </w:r>
    </w:p>
    <w:p w14:paraId="49F03447" w14:textId="7C52B4DA"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Siguiendo los lineamientos de la LOOTUGS y su decreto reglamentario, los estándares urbanísticos definidos para el cantón </w:t>
      </w:r>
      <w:r w:rsidR="00E30701" w:rsidRPr="00B24A80">
        <w:rPr>
          <w:rFonts w:asciiTheme="majorHAnsi" w:eastAsia="Calibri" w:hAnsiTheme="majorHAnsi" w:cstheme="majorHAnsi"/>
          <w:sz w:val="22"/>
          <w:szCs w:val="22"/>
        </w:rPr>
        <w:t>La Joya de los Sachas</w:t>
      </w:r>
      <w:r w:rsidRPr="00B24A80">
        <w:rPr>
          <w:rFonts w:asciiTheme="majorHAnsi" w:eastAsia="Calibri" w:hAnsiTheme="majorHAnsi" w:cstheme="majorHAnsi"/>
          <w:sz w:val="22"/>
          <w:szCs w:val="22"/>
        </w:rPr>
        <w:t xml:space="preserve"> son los siguientes:</w:t>
      </w:r>
    </w:p>
    <w:p w14:paraId="1F1270FF" w14:textId="7B752E3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Estándares de equipamientos. - </w:t>
      </w:r>
      <w:r w:rsidRPr="00B24A80">
        <w:rPr>
          <w:rFonts w:asciiTheme="majorHAnsi" w:eastAsia="Calibri" w:hAnsiTheme="majorHAnsi" w:cstheme="majorHAnsi"/>
          <w:szCs w:val="22"/>
        </w:rPr>
        <w:t xml:space="preserve">Entendiéndose que el equipamiento se refiere a suelo destinado para la edificación o construcción de un espacio para la prestación de un servicio público o social; </w:t>
      </w:r>
      <w:r w:rsidR="005C0E83" w:rsidRPr="00B24A80">
        <w:rPr>
          <w:rFonts w:asciiTheme="majorHAnsi" w:eastAsia="Calibri" w:hAnsiTheme="majorHAnsi" w:cstheme="majorHAnsi"/>
          <w:szCs w:val="22"/>
        </w:rPr>
        <w:t xml:space="preserve">para el cantón de </w:t>
      </w:r>
      <w:r w:rsidR="00E30701" w:rsidRPr="00B24A80">
        <w:rPr>
          <w:rFonts w:asciiTheme="majorHAnsi" w:eastAsia="Calibri" w:hAnsiTheme="majorHAnsi" w:cstheme="majorHAnsi"/>
          <w:szCs w:val="22"/>
        </w:rPr>
        <w:t>La Joya de los Sachas</w:t>
      </w:r>
      <w:r w:rsidR="005C0E83" w:rsidRPr="00B24A80">
        <w:rPr>
          <w:rFonts w:asciiTheme="majorHAnsi" w:eastAsia="Calibri" w:hAnsiTheme="majorHAnsi" w:cstheme="majorHAnsi"/>
          <w:szCs w:val="22"/>
        </w:rPr>
        <w:t xml:space="preserve"> se </w:t>
      </w:r>
      <w:r w:rsidR="00A536CA" w:rsidRPr="00B24A80">
        <w:rPr>
          <w:rFonts w:asciiTheme="majorHAnsi" w:eastAsia="Calibri" w:hAnsiTheme="majorHAnsi" w:cstheme="majorHAnsi"/>
          <w:szCs w:val="22"/>
        </w:rPr>
        <w:t>ha</w:t>
      </w:r>
      <w:r w:rsidR="005C0E83" w:rsidRPr="00B24A80">
        <w:rPr>
          <w:rFonts w:asciiTheme="majorHAnsi" w:eastAsia="Calibri" w:hAnsiTheme="majorHAnsi" w:cstheme="majorHAnsi"/>
          <w:szCs w:val="22"/>
        </w:rPr>
        <w:t xml:space="preserve"> determinado</w:t>
      </w:r>
      <w:r w:rsidRPr="00B24A80">
        <w:rPr>
          <w:rFonts w:asciiTheme="majorHAnsi" w:eastAsia="Calibri" w:hAnsiTheme="majorHAnsi" w:cstheme="majorHAnsi"/>
          <w:szCs w:val="22"/>
        </w:rPr>
        <w:t xml:space="preserve"> los siguientes estándares:</w:t>
      </w:r>
    </w:p>
    <w:p w14:paraId="21859B04" w14:textId="073551BB" w:rsidR="00DC27E8" w:rsidRPr="00B24A80" w:rsidRDefault="007F5505" w:rsidP="009F132D">
      <w:pPr>
        <w:widowControl/>
        <w:numPr>
          <w:ilvl w:val="0"/>
          <w:numId w:val="44"/>
        </w:numPr>
        <w:pBdr>
          <w:top w:val="nil"/>
          <w:left w:val="nil"/>
          <w:bottom w:val="nil"/>
          <w:right w:val="nil"/>
          <w:between w:val="nil"/>
        </w:pBdr>
        <w:spacing w:before="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 en Suelo Urbano Consolidado. -</w:t>
      </w:r>
      <w:r w:rsidRPr="00B24A80">
        <w:rPr>
          <w:rFonts w:asciiTheme="majorHAnsi" w:eastAsia="Calibri" w:hAnsiTheme="majorHAnsi" w:cstheme="majorHAnsi"/>
          <w:color w:val="000000"/>
          <w:sz w:val="22"/>
          <w:szCs w:val="22"/>
        </w:rPr>
        <w:t xml:space="preserve"> Para suelos urbanos consolidados se ha determinado un estándar de 5m2/hab., o 15 m2/vivienda; en caso de aplicación de porcentajes el suelo destinado a </w:t>
      </w:r>
      <w:r w:rsidR="00FA3759" w:rsidRPr="00B24A80">
        <w:rPr>
          <w:rFonts w:asciiTheme="majorHAnsi" w:eastAsia="Calibri" w:hAnsiTheme="majorHAnsi" w:cstheme="majorHAnsi"/>
          <w:color w:val="000000"/>
          <w:sz w:val="22"/>
          <w:szCs w:val="22"/>
        </w:rPr>
        <w:t>equipamiento</w:t>
      </w:r>
      <w:r w:rsidRPr="00B24A80">
        <w:rPr>
          <w:rFonts w:asciiTheme="majorHAnsi" w:eastAsia="Calibri" w:hAnsiTheme="majorHAnsi" w:cstheme="majorHAnsi"/>
          <w:color w:val="000000"/>
          <w:sz w:val="22"/>
          <w:szCs w:val="22"/>
        </w:rPr>
        <w:t xml:space="preserve"> no será en ningún caso, inferior al 8% del suelo urbanizable del sector.</w:t>
      </w:r>
    </w:p>
    <w:p w14:paraId="1D989AA8" w14:textId="26AB8F4C" w:rsidR="00DC27E8" w:rsidRPr="00B24A80" w:rsidRDefault="007F5505" w:rsidP="009F132D">
      <w:pPr>
        <w:widowControl/>
        <w:numPr>
          <w:ilvl w:val="0"/>
          <w:numId w:val="44"/>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 en Suelo Urbano No Consolidado. -</w:t>
      </w:r>
      <w:r w:rsidRPr="00B24A80">
        <w:rPr>
          <w:rFonts w:asciiTheme="majorHAnsi" w:eastAsia="Calibri" w:hAnsiTheme="majorHAnsi" w:cstheme="majorHAnsi"/>
          <w:color w:val="000000"/>
          <w:sz w:val="22"/>
          <w:szCs w:val="22"/>
        </w:rPr>
        <w:t xml:space="preserve"> Para suelos urbanos no consolidados se ha determinado un estándar de 5,5 m2/hab., o 20 m2/vivienda; en caso de aplicación de porcentajes el suelo destinado a </w:t>
      </w:r>
      <w:r w:rsidR="00FA3759" w:rsidRPr="00B24A80">
        <w:rPr>
          <w:rFonts w:asciiTheme="majorHAnsi" w:eastAsia="Calibri" w:hAnsiTheme="majorHAnsi" w:cstheme="majorHAnsi"/>
          <w:color w:val="000000"/>
          <w:sz w:val="22"/>
          <w:szCs w:val="22"/>
        </w:rPr>
        <w:t>equipamiento</w:t>
      </w:r>
      <w:r w:rsidRPr="00B24A80">
        <w:rPr>
          <w:rFonts w:asciiTheme="majorHAnsi" w:eastAsia="Calibri" w:hAnsiTheme="majorHAnsi" w:cstheme="majorHAnsi"/>
          <w:color w:val="000000"/>
          <w:sz w:val="22"/>
          <w:szCs w:val="22"/>
        </w:rPr>
        <w:t xml:space="preserve"> no será en ningún caso inferior al 10% del suelo urbanizable del sector.</w:t>
      </w:r>
    </w:p>
    <w:p w14:paraId="0271ED56" w14:textId="12DB7D5C" w:rsidR="00DC27E8" w:rsidRPr="00B24A80" w:rsidRDefault="007F5505" w:rsidP="009F132D">
      <w:pPr>
        <w:widowControl/>
        <w:numPr>
          <w:ilvl w:val="0"/>
          <w:numId w:val="44"/>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 xml:space="preserve">Estándar en áreas de Expansión </w:t>
      </w:r>
      <w:r w:rsidR="008C37F8" w:rsidRPr="00B24A80">
        <w:rPr>
          <w:rFonts w:asciiTheme="majorHAnsi" w:eastAsia="Calibri" w:hAnsiTheme="majorHAnsi" w:cstheme="majorHAnsi"/>
          <w:b/>
          <w:color w:val="000000"/>
          <w:sz w:val="22"/>
          <w:szCs w:val="22"/>
        </w:rPr>
        <w:t>Urbana. -</w:t>
      </w:r>
      <w:r w:rsidRPr="00B24A80">
        <w:rPr>
          <w:rFonts w:asciiTheme="majorHAnsi" w:eastAsia="Calibri" w:hAnsiTheme="majorHAnsi" w:cstheme="majorHAnsi"/>
          <w:color w:val="000000"/>
          <w:sz w:val="22"/>
          <w:szCs w:val="22"/>
        </w:rPr>
        <w:t xml:space="preserve"> Para suelos urbanos no consolidados se ha determinado un estándar de 6 m2/hab., o 25 m2/vivienda; en caso de aplicación de porcentajes el suelo destinado a equipamiento, no será en ningún caso, inferior al 15% del suelo urbanizable del sector.</w:t>
      </w:r>
    </w:p>
    <w:p w14:paraId="67AAA899" w14:textId="73626815" w:rsidR="00DC27E8" w:rsidRPr="00B24A80" w:rsidRDefault="007F5505" w:rsidP="009F132D">
      <w:pPr>
        <w:widowControl/>
        <w:numPr>
          <w:ilvl w:val="0"/>
          <w:numId w:val="44"/>
        </w:numPr>
        <w:pBdr>
          <w:top w:val="nil"/>
          <w:left w:val="nil"/>
          <w:bottom w:val="nil"/>
          <w:right w:val="nil"/>
          <w:between w:val="nil"/>
        </w:pBdr>
        <w:spacing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 en Cabeceras Urbano Parroquiales. -</w:t>
      </w:r>
      <w:r w:rsidRPr="00B24A80">
        <w:rPr>
          <w:rFonts w:asciiTheme="majorHAnsi" w:eastAsia="Calibri" w:hAnsiTheme="majorHAnsi" w:cstheme="majorHAnsi"/>
          <w:color w:val="000000"/>
          <w:sz w:val="22"/>
          <w:szCs w:val="22"/>
        </w:rPr>
        <w:t xml:space="preserve"> Para las Cabeceras Urbano Parroquiales se ha determinado un estándar de 5 a 6 m2/hab. aplicado en baja densidad., o de 15 a 25 m2/</w:t>
      </w:r>
      <w:r w:rsidR="001C6F36" w:rsidRPr="00B24A80">
        <w:rPr>
          <w:rFonts w:asciiTheme="majorHAnsi" w:eastAsia="Calibri" w:hAnsiTheme="majorHAnsi" w:cstheme="majorHAnsi"/>
          <w:color w:val="000000"/>
          <w:sz w:val="22"/>
          <w:szCs w:val="22"/>
        </w:rPr>
        <w:t>vivienda aplicada</w:t>
      </w:r>
      <w:r w:rsidRPr="00B24A80">
        <w:rPr>
          <w:rFonts w:asciiTheme="majorHAnsi" w:eastAsia="Calibri" w:hAnsiTheme="majorHAnsi" w:cstheme="majorHAnsi"/>
          <w:color w:val="000000"/>
          <w:sz w:val="22"/>
          <w:szCs w:val="22"/>
        </w:rPr>
        <w:t xml:space="preserve"> en media densidad; en caso de aplicación de porcentajes el suelo destinado a </w:t>
      </w:r>
      <w:r w:rsidR="008C37F8" w:rsidRPr="00B24A80">
        <w:rPr>
          <w:rFonts w:asciiTheme="majorHAnsi" w:eastAsia="Calibri" w:hAnsiTheme="majorHAnsi" w:cstheme="majorHAnsi"/>
          <w:color w:val="000000"/>
          <w:sz w:val="22"/>
          <w:szCs w:val="22"/>
        </w:rPr>
        <w:t>equipamiento</w:t>
      </w:r>
      <w:r w:rsidRPr="00B24A80">
        <w:rPr>
          <w:rFonts w:asciiTheme="majorHAnsi" w:eastAsia="Calibri" w:hAnsiTheme="majorHAnsi" w:cstheme="majorHAnsi"/>
          <w:color w:val="000000"/>
          <w:sz w:val="22"/>
          <w:szCs w:val="22"/>
        </w:rPr>
        <w:t xml:space="preserve"> no será en ningún caso inferior al 15% del suelo urbanizable.</w:t>
      </w:r>
    </w:p>
    <w:p w14:paraId="1912E3CE" w14:textId="5A71B5C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Estándares de vías. </w:t>
      </w:r>
      <w:r w:rsidR="005C0E83" w:rsidRPr="00B24A80">
        <w:rPr>
          <w:rFonts w:asciiTheme="majorHAnsi" w:eastAsia="Calibri" w:hAnsiTheme="majorHAnsi" w:cstheme="majorHAnsi"/>
          <w:b/>
          <w:szCs w:val="22"/>
        </w:rPr>
        <w:t>–</w:t>
      </w:r>
      <w:r w:rsidRPr="00B24A80">
        <w:rPr>
          <w:rFonts w:asciiTheme="majorHAnsi" w:eastAsia="Calibri" w:hAnsiTheme="majorHAnsi" w:cstheme="majorHAnsi"/>
          <w:b/>
          <w:szCs w:val="22"/>
        </w:rPr>
        <w:t xml:space="preserve"> </w:t>
      </w:r>
      <w:r w:rsidR="005C0E83" w:rsidRPr="00B24A80">
        <w:rPr>
          <w:rFonts w:asciiTheme="majorHAnsi" w:eastAsia="Calibri" w:hAnsiTheme="majorHAnsi" w:cstheme="majorHAnsi"/>
          <w:szCs w:val="22"/>
        </w:rPr>
        <w:t xml:space="preserve">para el presente PUGS se ha determinado </w:t>
      </w:r>
      <w:r w:rsidRPr="00B24A80">
        <w:rPr>
          <w:rFonts w:asciiTheme="majorHAnsi" w:eastAsia="Calibri" w:hAnsiTheme="majorHAnsi" w:cstheme="majorHAnsi"/>
          <w:szCs w:val="22"/>
        </w:rPr>
        <w:t>los siguientes estándares:</w:t>
      </w:r>
    </w:p>
    <w:p w14:paraId="04BA27BD" w14:textId="77777777" w:rsidR="00DC27E8" w:rsidRPr="00B24A80" w:rsidRDefault="007F5505" w:rsidP="009F132D">
      <w:pPr>
        <w:widowControl/>
        <w:numPr>
          <w:ilvl w:val="0"/>
          <w:numId w:val="28"/>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Estándares en Suelo Urbano Consolidado. -</w:t>
      </w:r>
      <w:r w:rsidRPr="00B24A80">
        <w:rPr>
          <w:rFonts w:asciiTheme="majorHAnsi" w:eastAsia="Calibri" w:hAnsiTheme="majorHAnsi" w:cstheme="majorHAnsi"/>
          <w:color w:val="000000"/>
          <w:sz w:val="22"/>
          <w:szCs w:val="22"/>
        </w:rPr>
        <w:t xml:space="preserve"> Para suelos urbanos consolidados, la superficie destinada a suelo para vías no será en ningún caso, inferior al 20% del suelo urbanizable y máximo el 25% del suelo urbanizable.</w:t>
      </w:r>
    </w:p>
    <w:p w14:paraId="74931F3A" w14:textId="77777777" w:rsidR="00DC27E8" w:rsidRPr="00B24A80" w:rsidRDefault="007F5505" w:rsidP="009F132D">
      <w:pPr>
        <w:widowControl/>
        <w:numPr>
          <w:ilvl w:val="0"/>
          <w:numId w:val="28"/>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 en Suelo Urbano No Consolidado. -</w:t>
      </w:r>
      <w:r w:rsidRPr="00B24A80">
        <w:rPr>
          <w:rFonts w:asciiTheme="majorHAnsi" w:eastAsia="Calibri" w:hAnsiTheme="majorHAnsi" w:cstheme="majorHAnsi"/>
          <w:color w:val="000000"/>
          <w:sz w:val="22"/>
          <w:szCs w:val="22"/>
        </w:rPr>
        <w:t xml:space="preserve"> Para suelos urbanos no consolidados, la superficie destinada a suelo para vías no será en ningún caso, inferior al 25% del suelo urbanizable y máximo el 30% del suelo urbanizable.</w:t>
      </w:r>
    </w:p>
    <w:p w14:paraId="4B21DC4C" w14:textId="77777777" w:rsidR="00DC27E8" w:rsidRPr="00B24A80" w:rsidRDefault="007F5505" w:rsidP="009F132D">
      <w:pPr>
        <w:widowControl/>
        <w:numPr>
          <w:ilvl w:val="0"/>
          <w:numId w:val="28"/>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lastRenderedPageBreak/>
        <w:t>Estándar en áreas de Expansión Urbana. -</w:t>
      </w:r>
      <w:r w:rsidRPr="00B24A80">
        <w:rPr>
          <w:rFonts w:asciiTheme="majorHAnsi" w:eastAsia="Calibri" w:hAnsiTheme="majorHAnsi" w:cstheme="majorHAnsi"/>
          <w:color w:val="000000"/>
          <w:sz w:val="22"/>
          <w:szCs w:val="22"/>
        </w:rPr>
        <w:t xml:space="preserve"> Para suelos urbanos consolidados, la superficie destinada a suelo para vías no será en ningún caso, inferior al 30% del suelo urbanizable y máximo el 35% del suelo urbanizable.</w:t>
      </w:r>
    </w:p>
    <w:p w14:paraId="6D0D1C8F" w14:textId="3E6EBD29" w:rsidR="00DC27E8" w:rsidRPr="00B24A80" w:rsidRDefault="007F5505" w:rsidP="009F132D">
      <w:pPr>
        <w:widowControl/>
        <w:numPr>
          <w:ilvl w:val="0"/>
          <w:numId w:val="28"/>
        </w:numPr>
        <w:pBdr>
          <w:top w:val="nil"/>
          <w:left w:val="nil"/>
          <w:bottom w:val="nil"/>
          <w:right w:val="nil"/>
          <w:between w:val="nil"/>
        </w:pBdr>
        <w:spacing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 en Cabeceras Urbano Parroquiales. -</w:t>
      </w:r>
      <w:r w:rsidRPr="00B24A80">
        <w:rPr>
          <w:rFonts w:asciiTheme="majorHAnsi" w:eastAsia="Calibri" w:hAnsiTheme="majorHAnsi" w:cstheme="majorHAnsi"/>
          <w:color w:val="000000"/>
          <w:sz w:val="22"/>
          <w:szCs w:val="22"/>
        </w:rPr>
        <w:t xml:space="preserve"> Para las Cabeceras Urbano Parroquiales la superficie destinada a suelo para vías no será en ningún caso, inferior al 25 % del suelo urbanizable.</w:t>
      </w:r>
    </w:p>
    <w:p w14:paraId="2B0D88B2" w14:textId="72B5E38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Estándares de infraestructura. - </w:t>
      </w:r>
      <w:r w:rsidRPr="00B24A80">
        <w:rPr>
          <w:rFonts w:asciiTheme="majorHAnsi" w:eastAsia="Calibri" w:hAnsiTheme="majorHAnsi" w:cstheme="majorHAnsi"/>
          <w:szCs w:val="22"/>
        </w:rPr>
        <w:t xml:space="preserve">Entendiéndose como estándares de infraestructura el referido al servicio de saneamiento, agua potable y recolección de </w:t>
      </w:r>
      <w:r w:rsidR="005C0E83" w:rsidRPr="00B24A80">
        <w:rPr>
          <w:rFonts w:asciiTheme="majorHAnsi" w:eastAsia="Calibri" w:hAnsiTheme="majorHAnsi" w:cstheme="majorHAnsi"/>
          <w:szCs w:val="22"/>
        </w:rPr>
        <w:t>desechos sólidos</w:t>
      </w:r>
      <w:r w:rsidRPr="00B24A80">
        <w:rPr>
          <w:rFonts w:asciiTheme="majorHAnsi" w:eastAsia="Calibri" w:hAnsiTheme="majorHAnsi" w:cstheme="majorHAnsi"/>
          <w:szCs w:val="22"/>
        </w:rPr>
        <w:t>; se ha estableciéndose los siguientes estándares:</w:t>
      </w:r>
    </w:p>
    <w:p w14:paraId="4141DA1F" w14:textId="5C85BB62" w:rsidR="00DC27E8" w:rsidRPr="00001B0F" w:rsidRDefault="007F5505" w:rsidP="009F132D">
      <w:pPr>
        <w:widowControl/>
        <w:numPr>
          <w:ilvl w:val="0"/>
          <w:numId w:val="3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001B0F">
        <w:rPr>
          <w:rFonts w:asciiTheme="majorHAnsi" w:eastAsia="Calibri" w:hAnsiTheme="majorHAnsi" w:cstheme="majorHAnsi"/>
          <w:b/>
          <w:color w:val="000000"/>
          <w:sz w:val="22"/>
          <w:szCs w:val="22"/>
        </w:rPr>
        <w:t xml:space="preserve">Estándares en Suelo Urbano Consolidado. </w:t>
      </w:r>
      <w:r w:rsidR="0005226E" w:rsidRPr="00001B0F">
        <w:rPr>
          <w:rFonts w:asciiTheme="majorHAnsi" w:eastAsia="Calibri" w:hAnsiTheme="majorHAnsi" w:cstheme="majorHAnsi"/>
          <w:b/>
          <w:color w:val="000000"/>
          <w:sz w:val="22"/>
          <w:szCs w:val="22"/>
        </w:rPr>
        <w:t>–</w:t>
      </w:r>
      <w:r w:rsidR="0005226E" w:rsidRPr="00001B0F">
        <w:rPr>
          <w:rFonts w:asciiTheme="majorHAnsi" w:eastAsia="Calibri" w:hAnsiTheme="majorHAnsi" w:cstheme="majorHAnsi"/>
          <w:color w:val="000000"/>
          <w:sz w:val="22"/>
          <w:szCs w:val="22"/>
        </w:rPr>
        <w:t xml:space="preserve"> Se considera </w:t>
      </w:r>
      <w:r w:rsidRPr="00001B0F">
        <w:rPr>
          <w:rFonts w:asciiTheme="majorHAnsi" w:eastAsia="Calibri" w:hAnsiTheme="majorHAnsi" w:cstheme="majorHAnsi"/>
          <w:color w:val="000000"/>
          <w:sz w:val="22"/>
          <w:szCs w:val="22"/>
        </w:rPr>
        <w:t xml:space="preserve">suelo consolidado </w:t>
      </w:r>
      <w:r w:rsidR="0005226E" w:rsidRPr="00001B0F">
        <w:rPr>
          <w:rFonts w:asciiTheme="majorHAnsi" w:eastAsia="Calibri" w:hAnsiTheme="majorHAnsi" w:cstheme="majorHAnsi"/>
          <w:color w:val="000000"/>
          <w:sz w:val="22"/>
          <w:szCs w:val="22"/>
        </w:rPr>
        <w:t xml:space="preserve">cuando </w:t>
      </w:r>
      <w:r w:rsidRPr="00001B0F">
        <w:rPr>
          <w:rFonts w:asciiTheme="majorHAnsi" w:eastAsia="Calibri" w:hAnsiTheme="majorHAnsi" w:cstheme="majorHAnsi"/>
          <w:color w:val="000000"/>
          <w:sz w:val="22"/>
          <w:szCs w:val="22"/>
        </w:rPr>
        <w:t>exista un porcentaje de cobertura de suelo mayor al 90% de servicio de saneamiento, agua potable y recolección de basura.</w:t>
      </w:r>
    </w:p>
    <w:p w14:paraId="1659BFB7" w14:textId="73CBCF06" w:rsidR="00DC27E8" w:rsidRPr="00001B0F" w:rsidRDefault="007F5505" w:rsidP="009F132D">
      <w:pPr>
        <w:widowControl/>
        <w:numPr>
          <w:ilvl w:val="0"/>
          <w:numId w:val="3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001B0F">
        <w:rPr>
          <w:rFonts w:asciiTheme="majorHAnsi" w:eastAsia="Calibri" w:hAnsiTheme="majorHAnsi" w:cstheme="majorHAnsi"/>
          <w:b/>
          <w:color w:val="000000"/>
          <w:sz w:val="22"/>
          <w:szCs w:val="22"/>
        </w:rPr>
        <w:t xml:space="preserve">Estándares en Suelo Urbano No Consolidado. </w:t>
      </w:r>
      <w:r w:rsidR="00C36514" w:rsidRPr="00001B0F">
        <w:rPr>
          <w:rFonts w:asciiTheme="majorHAnsi" w:eastAsia="Calibri" w:hAnsiTheme="majorHAnsi" w:cstheme="majorHAnsi"/>
          <w:b/>
          <w:color w:val="000000"/>
          <w:sz w:val="22"/>
          <w:szCs w:val="22"/>
        </w:rPr>
        <w:t>–</w:t>
      </w:r>
      <w:r w:rsidR="00C36514" w:rsidRPr="00001B0F">
        <w:rPr>
          <w:rFonts w:asciiTheme="majorHAnsi" w:eastAsia="Calibri" w:hAnsiTheme="majorHAnsi" w:cstheme="majorHAnsi"/>
          <w:color w:val="000000"/>
          <w:sz w:val="22"/>
          <w:szCs w:val="22"/>
        </w:rPr>
        <w:t xml:space="preserve"> Se considera</w:t>
      </w:r>
      <w:r w:rsidRPr="00001B0F">
        <w:rPr>
          <w:rFonts w:asciiTheme="majorHAnsi" w:eastAsia="Calibri" w:hAnsiTheme="majorHAnsi" w:cstheme="majorHAnsi"/>
          <w:color w:val="000000"/>
          <w:sz w:val="22"/>
          <w:szCs w:val="22"/>
        </w:rPr>
        <w:t xml:space="preserve"> suelo </w:t>
      </w:r>
      <w:r w:rsidR="00001B0F" w:rsidRPr="00001B0F">
        <w:rPr>
          <w:rFonts w:asciiTheme="majorHAnsi" w:eastAsia="Calibri" w:hAnsiTheme="majorHAnsi" w:cstheme="majorHAnsi"/>
          <w:color w:val="000000"/>
          <w:sz w:val="22"/>
          <w:szCs w:val="22"/>
        </w:rPr>
        <w:t xml:space="preserve">no </w:t>
      </w:r>
      <w:r w:rsidRPr="00001B0F">
        <w:rPr>
          <w:rFonts w:asciiTheme="majorHAnsi" w:eastAsia="Calibri" w:hAnsiTheme="majorHAnsi" w:cstheme="majorHAnsi"/>
          <w:color w:val="000000"/>
          <w:sz w:val="22"/>
          <w:szCs w:val="22"/>
        </w:rPr>
        <w:t xml:space="preserve">consolidado </w:t>
      </w:r>
      <w:r w:rsidR="00C36514" w:rsidRPr="00001B0F">
        <w:rPr>
          <w:rFonts w:asciiTheme="majorHAnsi" w:eastAsia="Calibri" w:hAnsiTheme="majorHAnsi" w:cstheme="majorHAnsi"/>
          <w:color w:val="000000"/>
          <w:sz w:val="22"/>
          <w:szCs w:val="22"/>
        </w:rPr>
        <w:t xml:space="preserve">cuando </w:t>
      </w:r>
      <w:r w:rsidRPr="00001B0F">
        <w:rPr>
          <w:rFonts w:asciiTheme="majorHAnsi" w:eastAsia="Calibri" w:hAnsiTheme="majorHAnsi" w:cstheme="majorHAnsi"/>
          <w:color w:val="000000"/>
          <w:sz w:val="22"/>
          <w:szCs w:val="22"/>
        </w:rPr>
        <w:t>exista un porcentaje de cobertura de suelo mayor al 80% de servicio de saneamiento, agua potable y recolección de basura.</w:t>
      </w:r>
    </w:p>
    <w:p w14:paraId="0C1C8AE7" w14:textId="798204C3" w:rsidR="00DC27E8" w:rsidRPr="00001B0F" w:rsidRDefault="007F5505" w:rsidP="009F132D">
      <w:pPr>
        <w:widowControl/>
        <w:numPr>
          <w:ilvl w:val="0"/>
          <w:numId w:val="31"/>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001B0F">
        <w:rPr>
          <w:rFonts w:asciiTheme="majorHAnsi" w:eastAsia="Calibri" w:hAnsiTheme="majorHAnsi" w:cstheme="majorHAnsi"/>
          <w:b/>
          <w:color w:val="000000"/>
          <w:sz w:val="22"/>
          <w:szCs w:val="22"/>
        </w:rPr>
        <w:t xml:space="preserve">Estándares en áreas de Expansión Urbana. </w:t>
      </w:r>
      <w:r w:rsidR="00C36514" w:rsidRPr="00001B0F">
        <w:rPr>
          <w:rFonts w:asciiTheme="majorHAnsi" w:eastAsia="Calibri" w:hAnsiTheme="majorHAnsi" w:cstheme="majorHAnsi"/>
          <w:b/>
          <w:color w:val="000000"/>
          <w:sz w:val="22"/>
          <w:szCs w:val="22"/>
        </w:rPr>
        <w:t>–</w:t>
      </w:r>
      <w:r w:rsidR="00C36514" w:rsidRPr="00001B0F">
        <w:rPr>
          <w:rFonts w:asciiTheme="majorHAnsi" w:eastAsia="Calibri" w:hAnsiTheme="majorHAnsi" w:cstheme="majorHAnsi"/>
          <w:color w:val="000000"/>
          <w:sz w:val="22"/>
          <w:szCs w:val="22"/>
        </w:rPr>
        <w:t xml:space="preserve"> Se considera suelo consolidado</w:t>
      </w:r>
      <w:r w:rsidRPr="00001B0F">
        <w:rPr>
          <w:rFonts w:asciiTheme="majorHAnsi" w:eastAsia="Calibri" w:hAnsiTheme="majorHAnsi" w:cstheme="majorHAnsi"/>
          <w:color w:val="000000"/>
          <w:sz w:val="22"/>
          <w:szCs w:val="22"/>
        </w:rPr>
        <w:t xml:space="preserve"> </w:t>
      </w:r>
      <w:r w:rsidR="00C36514" w:rsidRPr="00001B0F">
        <w:rPr>
          <w:rFonts w:asciiTheme="majorHAnsi" w:eastAsia="Calibri" w:hAnsiTheme="majorHAnsi" w:cstheme="majorHAnsi"/>
          <w:color w:val="000000"/>
          <w:sz w:val="22"/>
          <w:szCs w:val="22"/>
        </w:rPr>
        <w:t xml:space="preserve">cuando exista un </w:t>
      </w:r>
      <w:r w:rsidRPr="00001B0F">
        <w:rPr>
          <w:rFonts w:asciiTheme="majorHAnsi" w:eastAsia="Calibri" w:hAnsiTheme="majorHAnsi" w:cstheme="majorHAnsi"/>
          <w:color w:val="000000"/>
          <w:sz w:val="22"/>
          <w:szCs w:val="22"/>
        </w:rPr>
        <w:t>porcentaje de cobertura de suelo mayor al 70% de servicio de saneamiento, agua potable y recolección de basura.</w:t>
      </w:r>
    </w:p>
    <w:p w14:paraId="3E0974F8" w14:textId="4D67E403" w:rsidR="00DC27E8" w:rsidRPr="00001B0F" w:rsidRDefault="007F5505" w:rsidP="009F132D">
      <w:pPr>
        <w:widowControl/>
        <w:numPr>
          <w:ilvl w:val="0"/>
          <w:numId w:val="31"/>
        </w:numPr>
        <w:pBdr>
          <w:top w:val="nil"/>
          <w:left w:val="nil"/>
          <w:bottom w:val="nil"/>
          <w:right w:val="nil"/>
          <w:between w:val="nil"/>
        </w:pBdr>
        <w:spacing w:after="240" w:line="276" w:lineRule="auto"/>
        <w:rPr>
          <w:rFonts w:asciiTheme="majorHAnsi" w:eastAsia="Calibri" w:hAnsiTheme="majorHAnsi" w:cstheme="majorHAnsi"/>
          <w:color w:val="000000"/>
          <w:sz w:val="22"/>
          <w:szCs w:val="22"/>
        </w:rPr>
      </w:pPr>
      <w:r w:rsidRPr="00001B0F">
        <w:rPr>
          <w:rFonts w:asciiTheme="majorHAnsi" w:eastAsia="Calibri" w:hAnsiTheme="majorHAnsi" w:cstheme="majorHAnsi"/>
          <w:b/>
          <w:color w:val="000000"/>
          <w:sz w:val="22"/>
          <w:szCs w:val="22"/>
        </w:rPr>
        <w:t>Estándar en Cabeceras Urban</w:t>
      </w:r>
      <w:r w:rsidR="00917E20" w:rsidRPr="00001B0F">
        <w:rPr>
          <w:rFonts w:asciiTheme="majorHAnsi" w:eastAsia="Calibri" w:hAnsiTheme="majorHAnsi" w:cstheme="majorHAnsi"/>
          <w:b/>
          <w:color w:val="000000"/>
          <w:sz w:val="22"/>
          <w:szCs w:val="22"/>
        </w:rPr>
        <w:t>as</w:t>
      </w:r>
      <w:r w:rsidRPr="00001B0F">
        <w:rPr>
          <w:rFonts w:asciiTheme="majorHAnsi" w:eastAsia="Calibri" w:hAnsiTheme="majorHAnsi" w:cstheme="majorHAnsi"/>
          <w:b/>
          <w:color w:val="000000"/>
          <w:sz w:val="22"/>
          <w:szCs w:val="22"/>
        </w:rPr>
        <w:t>. -</w:t>
      </w:r>
      <w:r w:rsidRPr="00001B0F">
        <w:rPr>
          <w:rFonts w:asciiTheme="majorHAnsi" w:eastAsia="Calibri" w:hAnsiTheme="majorHAnsi" w:cstheme="majorHAnsi"/>
          <w:color w:val="000000"/>
          <w:sz w:val="22"/>
          <w:szCs w:val="22"/>
        </w:rPr>
        <w:t xml:space="preserve"> En las </w:t>
      </w:r>
      <w:r w:rsidR="00917E20" w:rsidRPr="00001B0F">
        <w:rPr>
          <w:rFonts w:asciiTheme="majorHAnsi" w:eastAsia="Calibri" w:hAnsiTheme="majorHAnsi" w:cstheme="majorHAnsi"/>
          <w:color w:val="000000"/>
          <w:sz w:val="22"/>
          <w:szCs w:val="22"/>
        </w:rPr>
        <w:t xml:space="preserve">Cabeceras Urbanas </w:t>
      </w:r>
      <w:r w:rsidRPr="00001B0F">
        <w:rPr>
          <w:rFonts w:asciiTheme="majorHAnsi" w:eastAsia="Calibri" w:hAnsiTheme="majorHAnsi" w:cstheme="majorHAnsi"/>
          <w:color w:val="000000"/>
          <w:sz w:val="22"/>
          <w:szCs w:val="22"/>
        </w:rPr>
        <w:t>se propone que exista un porcentaje de cobertura de suelo mayor al 80% de servicio de saneamiento, agua potable y recolección de basura.</w:t>
      </w:r>
    </w:p>
    <w:p w14:paraId="0BD918A7" w14:textId="20B2667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Estándares de espacios públicos. - </w:t>
      </w:r>
      <w:r w:rsidRPr="00B24A80">
        <w:rPr>
          <w:rFonts w:asciiTheme="majorHAnsi" w:eastAsia="Calibri" w:hAnsiTheme="majorHAnsi" w:cstheme="majorHAnsi"/>
          <w:szCs w:val="22"/>
        </w:rPr>
        <w:t xml:space="preserve">Entendiéndose que el espacio público se refiere a suelo destinado para parques, plazas, plazoletas y todo espacio de acceso libre a la población; </w:t>
      </w:r>
      <w:r w:rsidR="00771937" w:rsidRPr="00B24A80">
        <w:rPr>
          <w:rFonts w:asciiTheme="majorHAnsi" w:eastAsia="Calibri" w:hAnsiTheme="majorHAnsi" w:cstheme="majorHAnsi"/>
          <w:szCs w:val="22"/>
        </w:rPr>
        <w:t>se determinan</w:t>
      </w:r>
      <w:r w:rsidRPr="00B24A80">
        <w:rPr>
          <w:rFonts w:asciiTheme="majorHAnsi" w:eastAsia="Calibri" w:hAnsiTheme="majorHAnsi" w:cstheme="majorHAnsi"/>
          <w:szCs w:val="22"/>
        </w:rPr>
        <w:t xml:space="preserve"> los siguientes estándares:</w:t>
      </w:r>
    </w:p>
    <w:p w14:paraId="229367E1" w14:textId="4F30A101" w:rsidR="00DC27E8" w:rsidRPr="00B24A80" w:rsidRDefault="007F5505" w:rsidP="009F132D">
      <w:pPr>
        <w:widowControl/>
        <w:numPr>
          <w:ilvl w:val="0"/>
          <w:numId w:val="45"/>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Estándares en Suelo Urbano Consolidado. -</w:t>
      </w:r>
      <w:r w:rsidRPr="00B24A80">
        <w:rPr>
          <w:rFonts w:asciiTheme="majorHAnsi" w:eastAsia="Calibri" w:hAnsiTheme="majorHAnsi" w:cstheme="majorHAnsi"/>
          <w:color w:val="000000"/>
          <w:sz w:val="22"/>
          <w:szCs w:val="22"/>
        </w:rPr>
        <w:t xml:space="preserve"> Para suelos urbanos consolidados se ha determinado un estándar de 7m2/hab., o 15 m2/vivienda; en caso de aplicación de porcentajes</w:t>
      </w:r>
      <w:r w:rsidR="00876ADE">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el suelo destinado a espacio </w:t>
      </w:r>
      <w:r w:rsidR="00AE6CCD" w:rsidRPr="00B24A80">
        <w:rPr>
          <w:rFonts w:asciiTheme="majorHAnsi" w:eastAsia="Calibri" w:hAnsiTheme="majorHAnsi" w:cstheme="majorHAnsi"/>
          <w:color w:val="000000"/>
          <w:sz w:val="22"/>
          <w:szCs w:val="22"/>
        </w:rPr>
        <w:t>público</w:t>
      </w:r>
      <w:r w:rsidRPr="00B24A80">
        <w:rPr>
          <w:rFonts w:asciiTheme="majorHAnsi" w:eastAsia="Calibri" w:hAnsiTheme="majorHAnsi" w:cstheme="majorHAnsi"/>
          <w:color w:val="000000"/>
          <w:sz w:val="22"/>
          <w:szCs w:val="22"/>
        </w:rPr>
        <w:t xml:space="preserve"> no será en ningún caso inferior al 10% del suelo urbanizable del sector.</w:t>
      </w:r>
    </w:p>
    <w:p w14:paraId="0C04F8D6" w14:textId="16ED96A3" w:rsidR="00DC27E8" w:rsidRPr="00B24A80" w:rsidRDefault="007F5505" w:rsidP="009F132D">
      <w:pPr>
        <w:widowControl/>
        <w:numPr>
          <w:ilvl w:val="0"/>
          <w:numId w:val="45"/>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Estándares en Suelo Urbano No Consolidado. -</w:t>
      </w:r>
      <w:r w:rsidRPr="00B24A80">
        <w:rPr>
          <w:rFonts w:asciiTheme="majorHAnsi" w:eastAsia="Calibri" w:hAnsiTheme="majorHAnsi" w:cstheme="majorHAnsi"/>
          <w:color w:val="000000"/>
          <w:sz w:val="22"/>
          <w:szCs w:val="22"/>
        </w:rPr>
        <w:t xml:space="preserve"> Para suelos urbanos no consolidados se ha determinado un estándar de 8m2/hab., o 20 m2/vivienda; en caso de aplicación de porcentajes</w:t>
      </w:r>
      <w:r w:rsidR="00876ADE">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el suelo destinado a espacio </w:t>
      </w:r>
      <w:r w:rsidR="00AE6CCD" w:rsidRPr="00B24A80">
        <w:rPr>
          <w:rFonts w:asciiTheme="majorHAnsi" w:eastAsia="Calibri" w:hAnsiTheme="majorHAnsi" w:cstheme="majorHAnsi"/>
          <w:color w:val="000000"/>
          <w:sz w:val="22"/>
          <w:szCs w:val="22"/>
        </w:rPr>
        <w:t>público</w:t>
      </w:r>
      <w:r w:rsidRPr="00B24A80">
        <w:rPr>
          <w:rFonts w:asciiTheme="majorHAnsi" w:eastAsia="Calibri" w:hAnsiTheme="majorHAnsi" w:cstheme="majorHAnsi"/>
          <w:color w:val="000000"/>
          <w:sz w:val="22"/>
          <w:szCs w:val="22"/>
        </w:rPr>
        <w:t xml:space="preserve"> no será en ningún caso, inferior al 15% del suelo urbanizable del sector.</w:t>
      </w:r>
    </w:p>
    <w:p w14:paraId="35CAD1E8" w14:textId="33B8AF7A" w:rsidR="00DC27E8" w:rsidRPr="00B24A80" w:rsidRDefault="007F5505" w:rsidP="009F132D">
      <w:pPr>
        <w:widowControl/>
        <w:numPr>
          <w:ilvl w:val="0"/>
          <w:numId w:val="45"/>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Estándares en áreas de Expansión Urbana. -</w:t>
      </w:r>
      <w:r w:rsidRPr="00B24A80">
        <w:rPr>
          <w:rFonts w:asciiTheme="majorHAnsi" w:eastAsia="Calibri" w:hAnsiTheme="majorHAnsi" w:cstheme="majorHAnsi"/>
          <w:color w:val="000000"/>
          <w:sz w:val="22"/>
          <w:szCs w:val="22"/>
        </w:rPr>
        <w:t xml:space="preserve"> Para suelos de expansión Urbana se ha determinado un estándar de 9m2/hab., o 20 m2/vivienda; en caso de aplicación de porcentajes</w:t>
      </w:r>
      <w:r w:rsidR="00876ADE">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el suelo destinado a espacio </w:t>
      </w:r>
      <w:r w:rsidR="0006199D" w:rsidRPr="00B24A80">
        <w:rPr>
          <w:rFonts w:asciiTheme="majorHAnsi" w:eastAsia="Calibri" w:hAnsiTheme="majorHAnsi" w:cstheme="majorHAnsi"/>
          <w:color w:val="000000"/>
          <w:sz w:val="22"/>
          <w:szCs w:val="22"/>
        </w:rPr>
        <w:t>público</w:t>
      </w:r>
      <w:r w:rsidRPr="00B24A80">
        <w:rPr>
          <w:rFonts w:asciiTheme="majorHAnsi" w:eastAsia="Calibri" w:hAnsiTheme="majorHAnsi" w:cstheme="majorHAnsi"/>
          <w:color w:val="000000"/>
          <w:sz w:val="22"/>
          <w:szCs w:val="22"/>
        </w:rPr>
        <w:t xml:space="preserve"> no será en ningún caso</w:t>
      </w:r>
      <w:r w:rsidR="0006199D">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inferior al 20% del suelo urbanizable del sector.</w:t>
      </w:r>
    </w:p>
    <w:p w14:paraId="40E3728B" w14:textId="40CB74C1" w:rsidR="00DC27E8" w:rsidRPr="00B24A80" w:rsidRDefault="007F5505" w:rsidP="009F132D">
      <w:pPr>
        <w:widowControl/>
        <w:numPr>
          <w:ilvl w:val="0"/>
          <w:numId w:val="45"/>
        </w:numPr>
        <w:pBdr>
          <w:top w:val="nil"/>
          <w:left w:val="nil"/>
          <w:bottom w:val="nil"/>
          <w:right w:val="nil"/>
          <w:between w:val="nil"/>
        </w:pBdr>
        <w:spacing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Estándar en Cabeceras Urban</w:t>
      </w:r>
      <w:r w:rsidR="00917E20" w:rsidRPr="00B24A80">
        <w:rPr>
          <w:rFonts w:asciiTheme="majorHAnsi" w:eastAsia="Calibri" w:hAnsiTheme="majorHAnsi" w:cstheme="majorHAnsi"/>
          <w:b/>
          <w:color w:val="000000"/>
          <w:sz w:val="22"/>
          <w:szCs w:val="22"/>
        </w:rPr>
        <w:t>as</w:t>
      </w:r>
      <w:r w:rsidRPr="00B24A80">
        <w:rPr>
          <w:rFonts w:asciiTheme="majorHAnsi" w:eastAsia="Calibri" w:hAnsiTheme="majorHAnsi" w:cstheme="majorHAnsi"/>
          <w:b/>
          <w:color w:val="000000"/>
          <w:sz w:val="22"/>
          <w:szCs w:val="22"/>
        </w:rPr>
        <w:t>. -</w:t>
      </w:r>
      <w:r w:rsidRPr="00B24A80">
        <w:rPr>
          <w:rFonts w:asciiTheme="majorHAnsi" w:eastAsia="Calibri" w:hAnsiTheme="majorHAnsi" w:cstheme="majorHAnsi"/>
          <w:color w:val="000000"/>
          <w:sz w:val="22"/>
          <w:szCs w:val="22"/>
        </w:rPr>
        <w:t xml:space="preserve"> En las Cabeceras Urban</w:t>
      </w:r>
      <w:r w:rsidR="00917E20" w:rsidRPr="00B24A80">
        <w:rPr>
          <w:rFonts w:asciiTheme="majorHAnsi" w:eastAsia="Calibri" w:hAnsiTheme="majorHAnsi" w:cstheme="majorHAnsi"/>
          <w:color w:val="000000"/>
          <w:sz w:val="22"/>
          <w:szCs w:val="22"/>
        </w:rPr>
        <w:t xml:space="preserve">as </w:t>
      </w:r>
      <w:r w:rsidR="00C36514">
        <w:rPr>
          <w:rFonts w:asciiTheme="majorHAnsi" w:eastAsia="Calibri" w:hAnsiTheme="majorHAnsi" w:cstheme="majorHAnsi"/>
          <w:color w:val="000000"/>
          <w:sz w:val="22"/>
          <w:szCs w:val="22"/>
        </w:rPr>
        <w:t xml:space="preserve">Parroquiales </w:t>
      </w:r>
      <w:r w:rsidRPr="00B24A80">
        <w:rPr>
          <w:rFonts w:asciiTheme="majorHAnsi" w:eastAsia="Calibri" w:hAnsiTheme="majorHAnsi" w:cstheme="majorHAnsi"/>
          <w:color w:val="000000"/>
          <w:sz w:val="22"/>
          <w:szCs w:val="22"/>
        </w:rPr>
        <w:t xml:space="preserve">se ha determinado un estándar de 7m2/hab., o 15 m2/vivienda en áreas con densidades bajas y de 8m2/hab., o 20 m2/vivienda en áreas con densidades medias; en caso de aplicación </w:t>
      </w:r>
      <w:r w:rsidRPr="00B24A80">
        <w:rPr>
          <w:rFonts w:asciiTheme="majorHAnsi" w:eastAsia="Calibri" w:hAnsiTheme="majorHAnsi" w:cstheme="majorHAnsi"/>
          <w:color w:val="000000"/>
          <w:sz w:val="22"/>
          <w:szCs w:val="22"/>
        </w:rPr>
        <w:lastRenderedPageBreak/>
        <w:t>de porcentajes</w:t>
      </w:r>
      <w:r w:rsidR="00C12F5D">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el suelo destinado a espacio </w:t>
      </w:r>
      <w:r w:rsidR="009434C0" w:rsidRPr="00B24A80">
        <w:rPr>
          <w:rFonts w:asciiTheme="majorHAnsi" w:eastAsia="Calibri" w:hAnsiTheme="majorHAnsi" w:cstheme="majorHAnsi"/>
          <w:color w:val="000000"/>
          <w:sz w:val="22"/>
          <w:szCs w:val="22"/>
        </w:rPr>
        <w:t>público</w:t>
      </w:r>
      <w:r w:rsidRPr="00B24A80">
        <w:rPr>
          <w:rFonts w:asciiTheme="majorHAnsi" w:eastAsia="Calibri" w:hAnsiTheme="majorHAnsi" w:cstheme="majorHAnsi"/>
          <w:color w:val="000000"/>
          <w:sz w:val="22"/>
          <w:szCs w:val="22"/>
        </w:rPr>
        <w:t xml:space="preserve"> no será en ningún caso inferior al 15% del suelo urbanizable.</w:t>
      </w:r>
    </w:p>
    <w:p w14:paraId="70AE205A" w14:textId="784C28F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Estándares urbanísticos para el suelo de protección. - </w:t>
      </w:r>
      <w:r w:rsidRPr="00B24A80">
        <w:rPr>
          <w:rFonts w:asciiTheme="majorHAnsi" w:eastAsia="Calibri" w:hAnsiTheme="majorHAnsi" w:cstheme="majorHAnsi"/>
          <w:szCs w:val="22"/>
        </w:rPr>
        <w:t>Los suelos de protección</w:t>
      </w:r>
      <w:r w:rsidR="00D1534D" w:rsidRPr="00B24A80">
        <w:rPr>
          <w:rFonts w:asciiTheme="majorHAnsi" w:eastAsia="Calibri" w:hAnsiTheme="majorHAnsi" w:cstheme="majorHAnsi"/>
          <w:szCs w:val="22"/>
        </w:rPr>
        <w:t>,</w:t>
      </w:r>
      <w:r w:rsidRPr="00B24A80">
        <w:rPr>
          <w:rFonts w:asciiTheme="majorHAnsi" w:eastAsia="Calibri" w:hAnsiTheme="majorHAnsi" w:cstheme="majorHAnsi"/>
          <w:szCs w:val="22"/>
        </w:rPr>
        <w:t xml:space="preserve"> en suelo urbano no podrán </w:t>
      </w:r>
      <w:r w:rsidR="005C0E83" w:rsidRPr="00B24A80">
        <w:rPr>
          <w:rFonts w:asciiTheme="majorHAnsi" w:eastAsia="Calibri" w:hAnsiTheme="majorHAnsi" w:cstheme="majorHAnsi"/>
          <w:szCs w:val="22"/>
        </w:rPr>
        <w:t>sufrir</w:t>
      </w:r>
      <w:r w:rsidRPr="00B24A80">
        <w:rPr>
          <w:rFonts w:asciiTheme="majorHAnsi" w:eastAsia="Calibri" w:hAnsiTheme="majorHAnsi" w:cstheme="majorHAnsi"/>
          <w:szCs w:val="22"/>
        </w:rPr>
        <w:t xml:space="preserve"> ningún proceso de fraccionamiento o construir edificaciones, decisión de orden preventivo que permitirá evitar la consolidación de asentamientos altamente vulnerables y la ocupación de suelos de alto valor ambiental y patrimonial.</w:t>
      </w:r>
    </w:p>
    <w:p w14:paraId="1CCDC3A3" w14:textId="77777777" w:rsidR="005B34B2" w:rsidRPr="00B24A80" w:rsidRDefault="005B34B2" w:rsidP="005B34B2">
      <w:pPr>
        <w:pStyle w:val="Prrafodelista"/>
        <w:widowControl/>
        <w:tabs>
          <w:tab w:val="left" w:pos="851"/>
        </w:tabs>
        <w:spacing w:after="240" w:line="276" w:lineRule="auto"/>
        <w:ind w:left="0" w:right="-100"/>
        <w:rPr>
          <w:rFonts w:asciiTheme="majorHAnsi" w:eastAsia="Calibri" w:hAnsiTheme="majorHAnsi" w:cstheme="majorHAnsi"/>
          <w:szCs w:val="22"/>
        </w:rPr>
      </w:pPr>
    </w:p>
    <w:p w14:paraId="631BFF13" w14:textId="682DB84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Estándares urbanísticos para áreas verdes</w:t>
      </w:r>
      <w:r w:rsidR="00C36514">
        <w:rPr>
          <w:rFonts w:asciiTheme="majorHAnsi" w:eastAsia="Calibri" w:hAnsiTheme="majorHAnsi" w:cstheme="majorHAnsi"/>
          <w:b/>
          <w:szCs w:val="22"/>
        </w:rPr>
        <w:t xml:space="preserve"> y equipamientos comunitarios</w:t>
      </w:r>
      <w:r w:rsidRPr="00B24A80">
        <w:rPr>
          <w:rFonts w:asciiTheme="majorHAnsi" w:eastAsia="Calibri" w:hAnsiTheme="majorHAnsi" w:cstheme="majorHAnsi"/>
          <w:b/>
          <w:szCs w:val="22"/>
        </w:rPr>
        <w:t xml:space="preserve">. - </w:t>
      </w:r>
      <w:r w:rsidRPr="00B24A80">
        <w:rPr>
          <w:rFonts w:asciiTheme="majorHAnsi" w:eastAsia="Calibri" w:hAnsiTheme="majorHAnsi" w:cstheme="majorHAnsi"/>
          <w:szCs w:val="22"/>
        </w:rPr>
        <w:t>El estándar para áreas verdes será de 9m2/hab.; el cual se considerará tomando en cuenta el espacio público destinado a equipamiento de recreación (Parques, Plazas y Plazoletas) que tengan vegetación, así como las áreas verdes que se encuentren en las vías, que tengan una sección de 3 metro</w:t>
      </w:r>
      <w:r w:rsidR="0053650A" w:rsidRPr="00B24A80">
        <w:rPr>
          <w:rFonts w:asciiTheme="majorHAnsi" w:eastAsia="Calibri" w:hAnsiTheme="majorHAnsi" w:cstheme="majorHAnsi"/>
          <w:szCs w:val="22"/>
        </w:rPr>
        <w:t>s</w:t>
      </w:r>
      <w:r w:rsidRPr="00B24A80">
        <w:rPr>
          <w:rFonts w:asciiTheme="majorHAnsi" w:eastAsia="Calibri" w:hAnsiTheme="majorHAnsi" w:cstheme="majorHAnsi"/>
          <w:szCs w:val="22"/>
        </w:rPr>
        <w:t xml:space="preserve"> como mínimo, y los márgenes de protección de los río</w:t>
      </w:r>
      <w:r w:rsidR="0053650A" w:rsidRPr="00B24A80">
        <w:rPr>
          <w:rFonts w:asciiTheme="majorHAnsi" w:eastAsia="Calibri" w:hAnsiTheme="majorHAnsi" w:cstheme="majorHAnsi"/>
          <w:szCs w:val="22"/>
        </w:rPr>
        <w:t>s</w:t>
      </w:r>
      <w:r w:rsidRPr="00B24A80">
        <w:rPr>
          <w:rFonts w:asciiTheme="majorHAnsi" w:eastAsia="Calibri" w:hAnsiTheme="majorHAnsi" w:cstheme="majorHAnsi"/>
          <w:szCs w:val="22"/>
        </w:rPr>
        <w:t xml:space="preserve"> y quebradas</w:t>
      </w:r>
      <w:r w:rsidR="002A6FA4" w:rsidRPr="00B24A80">
        <w:rPr>
          <w:rFonts w:asciiTheme="majorHAnsi" w:eastAsia="Calibri" w:hAnsiTheme="majorHAnsi" w:cstheme="majorHAnsi"/>
          <w:szCs w:val="22"/>
        </w:rPr>
        <w:t>.</w:t>
      </w:r>
    </w:p>
    <w:p w14:paraId="7DE23EE4" w14:textId="77777777" w:rsidR="002A6FA4" w:rsidRPr="00B24A80" w:rsidRDefault="002A6FA4" w:rsidP="002A6FA4">
      <w:pPr>
        <w:pStyle w:val="Prrafodelista"/>
        <w:rPr>
          <w:rFonts w:asciiTheme="majorHAnsi" w:eastAsia="Calibri" w:hAnsiTheme="majorHAnsi" w:cstheme="majorHAnsi"/>
          <w:szCs w:val="22"/>
        </w:rPr>
      </w:pPr>
    </w:p>
    <w:p w14:paraId="3BC13385" w14:textId="20EC0B4C" w:rsidR="002A6FA4" w:rsidRPr="00B24A80" w:rsidRDefault="002A6FA4" w:rsidP="002A6FA4">
      <w:pPr>
        <w:widowControl/>
        <w:tabs>
          <w:tab w:val="left" w:pos="851"/>
        </w:tabs>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El área verde corresponde al área total de espacios verdes o recreativos y de equipamiento destinados para el uso de la comunidad; y área de equipamiento comunitario, corresponde a un conjunto de edificios y espacios, predominantemente de uso público, en donde se realizan tareas tanto complementarias a las de habitación y trabajo, como para mejorar actividades económicas. Estas proporcionan a la población servicios de bienestar social y de apoyo a las actividades económicas, sociales, culturales y recreativas, por lo que el sector está relacionado a mejorar la calidad de vida de los ciudadanos.</w:t>
      </w:r>
    </w:p>
    <w:p w14:paraId="0207C447" w14:textId="097A6383" w:rsidR="005B34B2" w:rsidRPr="00B24A80" w:rsidRDefault="005B34B2" w:rsidP="005B34B2">
      <w:pPr>
        <w:pStyle w:val="Prrafodelista"/>
        <w:widowControl/>
        <w:tabs>
          <w:tab w:val="left" w:pos="851"/>
        </w:tabs>
        <w:spacing w:after="240" w:line="276" w:lineRule="auto"/>
        <w:ind w:left="0" w:right="-100"/>
        <w:rPr>
          <w:rFonts w:asciiTheme="majorHAnsi" w:eastAsia="Calibri" w:hAnsiTheme="majorHAnsi" w:cstheme="majorHAnsi"/>
          <w:szCs w:val="22"/>
        </w:rPr>
      </w:pPr>
    </w:p>
    <w:p w14:paraId="441568C6" w14:textId="09803AC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Estándares urbanísticos por tipo de equipamiento. - </w:t>
      </w:r>
      <w:r w:rsidRPr="00B24A80">
        <w:rPr>
          <w:rFonts w:asciiTheme="majorHAnsi" w:eastAsia="Calibri" w:hAnsiTheme="majorHAnsi" w:cstheme="majorHAnsi"/>
          <w:szCs w:val="22"/>
        </w:rPr>
        <w:t>A parte de los m2/hab. o m2/vivienda, se han establecido unos estándares para equipamiento, referido a su tamaño de terreno por tipo de equipamiento; el cual deberá ser aplicado al momento de dejar las reservas de suelo en las planificaciones complementaria; estos estándares corresponden a las condiciones definidas por las entidades competentes.</w:t>
      </w:r>
    </w:p>
    <w:p w14:paraId="71384819" w14:textId="5E05A1FF" w:rsidR="00740E88" w:rsidRPr="00B24A80" w:rsidRDefault="007F5505" w:rsidP="004B5E25">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Normativa de equipamientos y resumen de aprovechamientos urbanísticos </w:t>
      </w:r>
      <w:r w:rsidR="00074E9A">
        <w:rPr>
          <w:rFonts w:asciiTheme="majorHAnsi" w:eastAsia="Calibri" w:hAnsiTheme="majorHAnsi" w:cstheme="majorHAnsi"/>
          <w:sz w:val="22"/>
          <w:szCs w:val="22"/>
        </w:rPr>
        <w:t>se sujetarán</w:t>
      </w:r>
      <w:r w:rsidR="00780D16">
        <w:rPr>
          <w:rFonts w:asciiTheme="majorHAnsi" w:eastAsia="Calibri" w:hAnsiTheme="majorHAnsi" w:cstheme="majorHAnsi"/>
          <w:sz w:val="22"/>
          <w:szCs w:val="22"/>
        </w:rPr>
        <w:t xml:space="preserve"> los que constan en la presente Ordenanza.</w:t>
      </w:r>
    </w:p>
    <w:p w14:paraId="2EE5EBD1" w14:textId="7D65AC04" w:rsidR="00DC27E8" w:rsidRPr="00B24A80" w:rsidRDefault="007F5505" w:rsidP="00740E88">
      <w:pPr>
        <w:pStyle w:val="Ttulo2"/>
        <w:rPr>
          <w:rFonts w:cstheme="majorHAnsi"/>
          <w:sz w:val="22"/>
          <w:szCs w:val="22"/>
        </w:rPr>
      </w:pPr>
      <w:bookmarkStart w:id="111" w:name="_heading=h.28h4qwu" w:colFirst="0" w:colLast="0"/>
      <w:bookmarkStart w:id="112" w:name="_Toc65711696"/>
      <w:bookmarkStart w:id="113" w:name="_Toc81085641"/>
      <w:bookmarkStart w:id="114" w:name="_Toc181374079"/>
      <w:bookmarkEnd w:id="111"/>
      <w:r w:rsidRPr="00B24A80">
        <w:rPr>
          <w:rFonts w:cstheme="majorHAnsi"/>
          <w:sz w:val="22"/>
          <w:szCs w:val="22"/>
        </w:rPr>
        <w:t>TÍTULO IV</w:t>
      </w:r>
      <w:bookmarkStart w:id="115" w:name="_heading=h.nmf14n" w:colFirst="0" w:colLast="0"/>
      <w:bookmarkEnd w:id="115"/>
      <w:r w:rsidR="00740E88" w:rsidRPr="00B24A80">
        <w:rPr>
          <w:rFonts w:cstheme="majorHAnsi"/>
          <w:sz w:val="22"/>
          <w:szCs w:val="22"/>
        </w:rPr>
        <w:br/>
      </w:r>
      <w:r w:rsidRPr="00B24A80">
        <w:rPr>
          <w:rFonts w:cstheme="majorHAnsi"/>
          <w:sz w:val="22"/>
          <w:szCs w:val="22"/>
        </w:rPr>
        <w:t>NORMATIVA ESTRUCTURANTE</w:t>
      </w:r>
      <w:bookmarkEnd w:id="112"/>
      <w:bookmarkEnd w:id="113"/>
      <w:bookmarkEnd w:id="114"/>
      <w:r w:rsidRPr="00B24A80">
        <w:rPr>
          <w:rFonts w:cstheme="majorHAnsi"/>
          <w:sz w:val="22"/>
          <w:szCs w:val="22"/>
        </w:rPr>
        <w:t xml:space="preserve"> </w:t>
      </w:r>
    </w:p>
    <w:p w14:paraId="6AAE4023" w14:textId="2B0CD21F" w:rsidR="00DC27E8" w:rsidRPr="00B24A80" w:rsidRDefault="00740E88" w:rsidP="00740E88">
      <w:pPr>
        <w:pStyle w:val="Ttulo3"/>
        <w:rPr>
          <w:rFonts w:cstheme="majorHAnsi"/>
          <w:sz w:val="22"/>
          <w:szCs w:val="22"/>
        </w:rPr>
      </w:pPr>
      <w:bookmarkStart w:id="116" w:name="_heading=h.37m2jsg" w:colFirst="0" w:colLast="0"/>
      <w:bookmarkStart w:id="117" w:name="_Toc65711697"/>
      <w:bookmarkStart w:id="118" w:name="_Toc81085642"/>
      <w:bookmarkStart w:id="119" w:name="_Toc181374080"/>
      <w:bookmarkEnd w:id="116"/>
      <w:r w:rsidRPr="00B24A80">
        <w:rPr>
          <w:rFonts w:cstheme="majorHAnsi"/>
          <w:sz w:val="22"/>
          <w:szCs w:val="22"/>
        </w:rPr>
        <w:t>CAPÍ</w:t>
      </w:r>
      <w:r w:rsidR="007F5505" w:rsidRPr="00B24A80">
        <w:rPr>
          <w:rFonts w:cstheme="majorHAnsi"/>
          <w:sz w:val="22"/>
          <w:szCs w:val="22"/>
        </w:rPr>
        <w:t>TULO I</w:t>
      </w:r>
      <w:bookmarkStart w:id="120" w:name="_heading=h.1mrcu09" w:colFirst="0" w:colLast="0"/>
      <w:bookmarkEnd w:id="120"/>
      <w:r w:rsidRPr="00B24A80">
        <w:rPr>
          <w:rFonts w:cstheme="majorHAnsi"/>
          <w:sz w:val="22"/>
          <w:szCs w:val="22"/>
        </w:rPr>
        <w:br/>
      </w:r>
      <w:r w:rsidR="007F5505" w:rsidRPr="00B24A80">
        <w:rPr>
          <w:rFonts w:cstheme="majorHAnsi"/>
          <w:sz w:val="22"/>
          <w:szCs w:val="22"/>
        </w:rPr>
        <w:t>Componente Estructurante</w:t>
      </w:r>
      <w:bookmarkEnd w:id="117"/>
      <w:bookmarkEnd w:id="118"/>
      <w:bookmarkEnd w:id="119"/>
    </w:p>
    <w:p w14:paraId="0E7B32C2" w14:textId="36603768" w:rsidR="00692126" w:rsidRPr="00692126" w:rsidRDefault="007F5505" w:rsidP="00692126">
      <w:pPr>
        <w:pStyle w:val="Ttulo4"/>
        <w:rPr>
          <w:rFonts w:cstheme="majorHAnsi"/>
          <w:sz w:val="22"/>
          <w:szCs w:val="22"/>
        </w:rPr>
      </w:pPr>
      <w:bookmarkStart w:id="121" w:name="_heading=h.46r0co2" w:colFirst="0" w:colLast="0"/>
      <w:bookmarkStart w:id="122" w:name="_Toc81085643"/>
      <w:bookmarkStart w:id="123" w:name="_Toc181374081"/>
      <w:bookmarkEnd w:id="121"/>
      <w:r w:rsidRPr="00B24A80">
        <w:rPr>
          <w:rFonts w:cstheme="majorHAnsi"/>
          <w:sz w:val="22"/>
          <w:szCs w:val="22"/>
        </w:rPr>
        <w:t>SECCIÓN I</w:t>
      </w:r>
      <w:bookmarkStart w:id="124" w:name="_heading=h.2lwamvv" w:colFirst="0" w:colLast="0"/>
      <w:bookmarkEnd w:id="124"/>
      <w:r w:rsidR="00740E88" w:rsidRPr="00B24A80">
        <w:rPr>
          <w:rFonts w:cstheme="majorHAnsi"/>
          <w:sz w:val="22"/>
          <w:szCs w:val="22"/>
        </w:rPr>
        <w:br/>
      </w:r>
      <w:r w:rsidRPr="00B24A80">
        <w:rPr>
          <w:rFonts w:cstheme="majorHAnsi"/>
          <w:sz w:val="22"/>
          <w:szCs w:val="22"/>
        </w:rPr>
        <w:t>Subclasificación del Suelo Rural</w:t>
      </w:r>
      <w:bookmarkEnd w:id="122"/>
      <w:bookmarkEnd w:id="123"/>
    </w:p>
    <w:p w14:paraId="29891F54" w14:textId="52084D9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 xml:space="preserve">Suelo Rural. - </w:t>
      </w:r>
      <w:r w:rsidRPr="00B24A80">
        <w:rPr>
          <w:rFonts w:asciiTheme="majorHAnsi" w:eastAsia="Calibri" w:hAnsiTheme="majorHAnsi" w:cstheme="majorHAnsi"/>
          <w:szCs w:val="22"/>
        </w:rPr>
        <w:t xml:space="preserve">La subclasificación del suelo </w:t>
      </w:r>
      <w:r w:rsidR="00771937" w:rsidRPr="00B24A80">
        <w:rPr>
          <w:rFonts w:asciiTheme="majorHAnsi" w:eastAsia="Calibri" w:hAnsiTheme="majorHAnsi" w:cstheme="majorHAnsi"/>
          <w:szCs w:val="22"/>
        </w:rPr>
        <w:t>se adopta</w:t>
      </w:r>
      <w:r w:rsidRPr="00B24A80">
        <w:rPr>
          <w:rFonts w:asciiTheme="majorHAnsi" w:eastAsia="Calibri" w:hAnsiTheme="majorHAnsi" w:cstheme="majorHAnsi"/>
          <w:szCs w:val="22"/>
        </w:rPr>
        <w:t xml:space="preserve"> las categorías señaladas en los artículos 18 y 19 de la LOOTUGS en observancia a lo previsto en su reglamento de aplicación.</w:t>
      </w:r>
    </w:p>
    <w:p w14:paraId="0C83A07A" w14:textId="7395F519" w:rsidR="00DC27E8" w:rsidRPr="00B24A80" w:rsidRDefault="007F5505">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 xml:space="preserve">Para el suelo rural del cantón </w:t>
      </w:r>
      <w:r w:rsidR="00E30701" w:rsidRPr="00B24A80">
        <w:rPr>
          <w:rFonts w:asciiTheme="majorHAnsi" w:eastAsia="Calibri" w:hAnsiTheme="majorHAnsi" w:cstheme="majorHAnsi"/>
          <w:color w:val="000000"/>
          <w:sz w:val="22"/>
          <w:szCs w:val="22"/>
        </w:rPr>
        <w:t>La Joya de los Sachas</w:t>
      </w:r>
      <w:r w:rsidRPr="00B24A80">
        <w:rPr>
          <w:rFonts w:asciiTheme="majorHAnsi" w:eastAsia="Calibri" w:hAnsiTheme="majorHAnsi" w:cstheme="majorHAnsi"/>
          <w:sz w:val="22"/>
          <w:szCs w:val="22"/>
        </w:rPr>
        <w:t xml:space="preserve"> se establece la siguiente subclasificación: </w:t>
      </w:r>
    </w:p>
    <w:p w14:paraId="30B01C52" w14:textId="28EEF4D3" w:rsidR="00DC27E8" w:rsidRPr="00B24A80" w:rsidRDefault="007F5505" w:rsidP="009F132D">
      <w:pPr>
        <w:widowControl/>
        <w:numPr>
          <w:ilvl w:val="0"/>
          <w:numId w:val="34"/>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Suelo rural de protección</w:t>
      </w:r>
    </w:p>
    <w:p w14:paraId="6F3B51E0" w14:textId="77777777" w:rsidR="00DC27E8" w:rsidRPr="00B24A80" w:rsidRDefault="007F5505" w:rsidP="009F132D">
      <w:pPr>
        <w:widowControl/>
        <w:numPr>
          <w:ilvl w:val="0"/>
          <w:numId w:val="34"/>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Suelo rural de producción</w:t>
      </w:r>
    </w:p>
    <w:p w14:paraId="51C0E148" w14:textId="77777777" w:rsidR="00DC27E8" w:rsidRPr="00B24A80" w:rsidRDefault="007F5505" w:rsidP="009F132D">
      <w:pPr>
        <w:widowControl/>
        <w:numPr>
          <w:ilvl w:val="0"/>
          <w:numId w:val="34"/>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Suelo rural para el aprovechamiento extractivo. </w:t>
      </w:r>
    </w:p>
    <w:p w14:paraId="692FF7D3" w14:textId="66AD021A" w:rsidR="00DC27E8" w:rsidRPr="00D4104D" w:rsidRDefault="00F4350A">
      <w:pPr>
        <w:widowControl/>
        <w:pBdr>
          <w:top w:val="nil"/>
          <w:left w:val="nil"/>
          <w:bottom w:val="nil"/>
          <w:right w:val="nil"/>
          <w:between w:val="nil"/>
        </w:pBdr>
        <w:spacing w:after="240" w:line="276" w:lineRule="auto"/>
        <w:rPr>
          <w:rFonts w:asciiTheme="majorHAnsi" w:eastAsia="Calibri" w:hAnsiTheme="majorHAnsi" w:cstheme="majorHAnsi"/>
          <w:i/>
          <w:sz w:val="22"/>
          <w:szCs w:val="22"/>
        </w:rPr>
      </w:pPr>
      <w:r w:rsidRPr="00D4104D">
        <w:rPr>
          <w:rFonts w:asciiTheme="majorHAnsi" w:eastAsia="Calibri" w:hAnsiTheme="majorHAnsi" w:cstheme="majorHAnsi"/>
          <w:i/>
          <w:sz w:val="22"/>
          <w:szCs w:val="22"/>
        </w:rPr>
        <w:t>Ver lámina</w:t>
      </w:r>
      <w:r w:rsidR="00A536CA" w:rsidRPr="00D4104D">
        <w:rPr>
          <w:rFonts w:asciiTheme="majorHAnsi" w:eastAsia="Calibri" w:hAnsiTheme="majorHAnsi" w:cstheme="majorHAnsi"/>
          <w:i/>
          <w:sz w:val="22"/>
          <w:szCs w:val="22"/>
        </w:rPr>
        <w:t xml:space="preserve">: Mapa de </w:t>
      </w:r>
      <w:r w:rsidR="005E16E8" w:rsidRPr="00D4104D">
        <w:rPr>
          <w:rFonts w:asciiTheme="majorHAnsi" w:eastAsia="Calibri" w:hAnsiTheme="majorHAnsi" w:cstheme="majorHAnsi"/>
          <w:i/>
          <w:sz w:val="22"/>
          <w:szCs w:val="22"/>
        </w:rPr>
        <w:t>su</w:t>
      </w:r>
      <w:r w:rsidR="005E16E8" w:rsidRPr="00D4104D">
        <w:rPr>
          <w:rFonts w:asciiTheme="majorHAnsi" w:eastAsia="Calibri" w:hAnsiTheme="majorHAnsi" w:cstheme="majorHAnsi"/>
          <w:sz w:val="22"/>
          <w:szCs w:val="22"/>
        </w:rPr>
        <w:t>bclasificación</w:t>
      </w:r>
      <w:r w:rsidR="00A536CA" w:rsidRPr="00D4104D">
        <w:rPr>
          <w:rFonts w:asciiTheme="majorHAnsi" w:eastAsia="Calibri" w:hAnsiTheme="majorHAnsi" w:cstheme="majorHAnsi"/>
          <w:i/>
          <w:sz w:val="22"/>
          <w:szCs w:val="22"/>
        </w:rPr>
        <w:t xml:space="preserve"> de suelo</w:t>
      </w:r>
      <w:r w:rsidR="005B34B2" w:rsidRPr="00D4104D">
        <w:rPr>
          <w:rFonts w:asciiTheme="majorHAnsi" w:eastAsia="Calibri" w:hAnsiTheme="majorHAnsi" w:cstheme="majorHAnsi"/>
          <w:i/>
          <w:sz w:val="22"/>
          <w:szCs w:val="22"/>
        </w:rPr>
        <w:t xml:space="preserve"> rural</w:t>
      </w:r>
      <w:r w:rsidR="00A536CA" w:rsidRPr="00D4104D">
        <w:rPr>
          <w:rFonts w:asciiTheme="majorHAnsi" w:eastAsia="Calibri" w:hAnsiTheme="majorHAnsi" w:cstheme="majorHAnsi"/>
          <w:i/>
          <w:sz w:val="22"/>
          <w:szCs w:val="22"/>
        </w:rPr>
        <w:t xml:space="preserve">- </w:t>
      </w:r>
      <w:r w:rsidR="00CD4F27" w:rsidRPr="00D4104D">
        <w:rPr>
          <w:rFonts w:asciiTheme="majorHAnsi" w:eastAsia="Calibri" w:hAnsiTheme="majorHAnsi" w:cstheme="majorHAnsi"/>
          <w:i/>
          <w:sz w:val="22"/>
          <w:szCs w:val="22"/>
        </w:rPr>
        <w:t>cantón La Joya de los Sachas</w:t>
      </w:r>
      <w:r w:rsidR="00A536CA" w:rsidRPr="00D4104D">
        <w:rPr>
          <w:rFonts w:asciiTheme="majorHAnsi" w:eastAsia="Calibri" w:hAnsiTheme="majorHAnsi" w:cstheme="majorHAnsi"/>
          <w:i/>
          <w:sz w:val="22"/>
          <w:szCs w:val="22"/>
        </w:rPr>
        <w:t>.</w:t>
      </w:r>
      <w:r w:rsidR="00801F88" w:rsidRPr="00D4104D">
        <w:rPr>
          <w:rFonts w:asciiTheme="majorHAnsi" w:eastAsia="Calibri" w:hAnsiTheme="majorHAnsi" w:cstheme="majorHAnsi"/>
          <w:i/>
          <w:sz w:val="22"/>
          <w:szCs w:val="22"/>
        </w:rPr>
        <w:t xml:space="preserve"> </w:t>
      </w:r>
      <w:r w:rsidR="00D4104D">
        <w:rPr>
          <w:rFonts w:asciiTheme="majorHAnsi" w:eastAsia="Calibri" w:hAnsiTheme="majorHAnsi" w:cstheme="majorHAnsi"/>
          <w:i/>
          <w:sz w:val="22"/>
          <w:szCs w:val="22"/>
        </w:rPr>
        <w:t>(</w:t>
      </w:r>
      <w:r w:rsidR="00801F88" w:rsidRPr="00D4104D">
        <w:rPr>
          <w:rFonts w:asciiTheme="majorHAnsi" w:eastAsia="Calibri" w:hAnsiTheme="majorHAnsi" w:cstheme="majorHAnsi"/>
          <w:i/>
          <w:sz w:val="22"/>
          <w:szCs w:val="22"/>
        </w:rPr>
        <w:t>Codigo</w:t>
      </w:r>
      <w:r w:rsidR="00D4104D" w:rsidRPr="00D4104D">
        <w:rPr>
          <w:rFonts w:asciiTheme="majorHAnsi" w:eastAsia="Calibri" w:hAnsiTheme="majorHAnsi" w:cstheme="majorHAnsi"/>
          <w:i/>
          <w:sz w:val="22"/>
          <w:szCs w:val="22"/>
        </w:rPr>
        <w:t xml:space="preserve"> PR-12</w:t>
      </w:r>
      <w:r w:rsidR="00D4104D">
        <w:rPr>
          <w:rFonts w:asciiTheme="majorHAnsi" w:eastAsia="Calibri" w:hAnsiTheme="majorHAnsi" w:cstheme="majorHAnsi"/>
          <w:i/>
          <w:sz w:val="22"/>
          <w:szCs w:val="22"/>
        </w:rPr>
        <w:t>)</w:t>
      </w:r>
    </w:p>
    <w:p w14:paraId="2CF0F789" w14:textId="25071AE9" w:rsidR="00DC27E8" w:rsidRPr="00B24A80" w:rsidRDefault="007F5505" w:rsidP="009B779C">
      <w:pPr>
        <w:pStyle w:val="Ttulo4"/>
        <w:rPr>
          <w:rFonts w:cstheme="majorHAnsi"/>
          <w:sz w:val="22"/>
          <w:szCs w:val="22"/>
        </w:rPr>
      </w:pPr>
      <w:bookmarkStart w:id="125" w:name="_heading=h.111kx3o" w:colFirst="0" w:colLast="0"/>
      <w:bookmarkStart w:id="126" w:name="_Toc81085644"/>
      <w:bookmarkStart w:id="127" w:name="_Toc181374082"/>
      <w:bookmarkEnd w:id="125"/>
      <w:r w:rsidRPr="00B24A80">
        <w:rPr>
          <w:rFonts w:cstheme="majorHAnsi"/>
          <w:sz w:val="22"/>
          <w:szCs w:val="22"/>
        </w:rPr>
        <w:t>SECCIÓN II</w:t>
      </w:r>
      <w:bookmarkStart w:id="128" w:name="_heading=h.3l18frh" w:colFirst="0" w:colLast="0"/>
      <w:bookmarkEnd w:id="128"/>
      <w:r w:rsidR="009B779C" w:rsidRPr="00B24A80">
        <w:rPr>
          <w:rFonts w:cstheme="majorHAnsi"/>
          <w:sz w:val="22"/>
          <w:szCs w:val="22"/>
        </w:rPr>
        <w:br/>
      </w:r>
      <w:r w:rsidRPr="00B24A80">
        <w:rPr>
          <w:rFonts w:cstheme="majorHAnsi"/>
          <w:sz w:val="22"/>
          <w:szCs w:val="22"/>
        </w:rPr>
        <w:t>Componente urbanístico en suelo rural</w:t>
      </w:r>
      <w:bookmarkEnd w:id="126"/>
      <w:bookmarkEnd w:id="127"/>
    </w:p>
    <w:p w14:paraId="33550874" w14:textId="23F1FD6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 xml:space="preserve">Componente urbanístico. - </w:t>
      </w:r>
      <w:r w:rsidRPr="00B24A80">
        <w:rPr>
          <w:rFonts w:asciiTheme="majorHAnsi" w:eastAsia="Calibri" w:hAnsiTheme="majorHAnsi" w:cstheme="majorHAnsi"/>
          <w:szCs w:val="22"/>
        </w:rPr>
        <w:t>El</w:t>
      </w:r>
      <w:r w:rsidR="00A536CA" w:rsidRPr="00B24A80">
        <w:rPr>
          <w:rFonts w:asciiTheme="majorHAnsi" w:eastAsia="Calibri" w:hAnsiTheme="majorHAnsi" w:cstheme="majorHAnsi"/>
          <w:szCs w:val="22"/>
        </w:rPr>
        <w:t xml:space="preserve"> componente urbanístico formula</w:t>
      </w:r>
      <w:r w:rsidRPr="00B24A80">
        <w:rPr>
          <w:rFonts w:asciiTheme="majorHAnsi" w:eastAsia="Calibri" w:hAnsiTheme="majorHAnsi" w:cstheme="majorHAnsi"/>
          <w:szCs w:val="22"/>
        </w:rPr>
        <w:t xml:space="preserve"> las regulaciones respecto al uso y edificabilidad del suelo en función a la clasificación y subclasificación del suelo efectuada en el componente estructurante; complementariamente integrará los diferentes instrumentos de gestión del suelo que permitirá implementar adecuadamente el PUGS </w:t>
      </w:r>
      <w:r w:rsidR="00CB27D0" w:rsidRPr="00B24A80">
        <w:rPr>
          <w:rFonts w:asciiTheme="majorHAnsi" w:eastAsia="Calibri" w:hAnsiTheme="majorHAnsi" w:cstheme="majorHAnsi"/>
          <w:szCs w:val="22"/>
        </w:rPr>
        <w:t>de acuerdo con</w:t>
      </w:r>
      <w:r w:rsidRPr="00B24A80">
        <w:rPr>
          <w:rFonts w:asciiTheme="majorHAnsi" w:eastAsia="Calibri" w:hAnsiTheme="majorHAnsi" w:cstheme="majorHAnsi"/>
          <w:szCs w:val="22"/>
        </w:rPr>
        <w:t xml:space="preserve"> los objetivos estratégicos anclados al </w:t>
      </w:r>
      <w:r w:rsidR="008F03A6" w:rsidRPr="00B24A80">
        <w:rPr>
          <w:rFonts w:asciiTheme="majorHAnsi" w:eastAsia="Calibri" w:hAnsiTheme="majorHAnsi" w:cstheme="majorHAnsi"/>
          <w:szCs w:val="22"/>
        </w:rPr>
        <w:t>Modelo Territorial Deseado (</w:t>
      </w:r>
      <w:r w:rsidRPr="00B24A80">
        <w:rPr>
          <w:rFonts w:asciiTheme="majorHAnsi" w:eastAsia="Calibri" w:hAnsiTheme="majorHAnsi" w:cstheme="majorHAnsi"/>
          <w:szCs w:val="22"/>
        </w:rPr>
        <w:t>MTD</w:t>
      </w:r>
      <w:r w:rsidR="008F03A6" w:rsidRPr="00B24A80">
        <w:rPr>
          <w:rFonts w:asciiTheme="majorHAnsi" w:eastAsia="Calibri" w:hAnsiTheme="majorHAnsi" w:cstheme="majorHAnsi"/>
          <w:szCs w:val="22"/>
        </w:rPr>
        <w:t xml:space="preserve">) </w:t>
      </w:r>
      <w:r w:rsidRPr="00B24A80">
        <w:rPr>
          <w:rFonts w:asciiTheme="majorHAnsi" w:eastAsia="Calibri" w:hAnsiTheme="majorHAnsi" w:cstheme="majorHAnsi"/>
          <w:szCs w:val="22"/>
        </w:rPr>
        <w:t>del PD</w:t>
      </w:r>
      <w:r w:rsidR="004E346A" w:rsidRPr="00B24A80">
        <w:rPr>
          <w:rFonts w:asciiTheme="majorHAnsi" w:eastAsia="Calibri" w:hAnsiTheme="majorHAnsi" w:cstheme="majorHAnsi"/>
          <w:szCs w:val="22"/>
        </w:rPr>
        <w:t>y</w:t>
      </w:r>
      <w:r w:rsidRPr="00B24A80">
        <w:rPr>
          <w:rFonts w:asciiTheme="majorHAnsi" w:eastAsia="Calibri" w:hAnsiTheme="majorHAnsi" w:cstheme="majorHAnsi"/>
          <w:szCs w:val="22"/>
        </w:rPr>
        <w:t>OT.</w:t>
      </w:r>
    </w:p>
    <w:p w14:paraId="2D3B7384" w14:textId="77777777" w:rsidR="005B34B2" w:rsidRPr="00B24A80" w:rsidRDefault="005B34B2" w:rsidP="005B34B2">
      <w:pPr>
        <w:pStyle w:val="Prrafodelista"/>
        <w:widowControl/>
        <w:tabs>
          <w:tab w:val="left" w:pos="851"/>
        </w:tabs>
        <w:spacing w:after="240" w:line="276" w:lineRule="auto"/>
        <w:ind w:left="0" w:right="-100"/>
        <w:rPr>
          <w:rFonts w:asciiTheme="majorHAnsi" w:eastAsia="Calibri" w:hAnsiTheme="majorHAnsi" w:cstheme="majorHAnsi"/>
          <w:szCs w:val="22"/>
        </w:rPr>
      </w:pPr>
    </w:p>
    <w:p w14:paraId="60322121" w14:textId="1A53E407" w:rsidR="00DC27E8"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Polígonos de intervención territorial. - </w:t>
      </w:r>
      <w:r w:rsidR="00771937" w:rsidRPr="00B24A80">
        <w:rPr>
          <w:rFonts w:asciiTheme="majorHAnsi" w:eastAsia="Calibri" w:hAnsiTheme="majorHAnsi" w:cstheme="majorHAnsi"/>
          <w:szCs w:val="22"/>
        </w:rPr>
        <w:t>Estos polígonos se han formado</w:t>
      </w:r>
      <w:r w:rsidRPr="00B24A80">
        <w:rPr>
          <w:rFonts w:asciiTheme="majorHAnsi" w:eastAsia="Calibri" w:hAnsiTheme="majorHAnsi" w:cstheme="majorHAnsi"/>
          <w:szCs w:val="22"/>
        </w:rPr>
        <w:t xml:space="preserve"> a partir de las subclasificaciones del suelo </w:t>
      </w:r>
      <w:r w:rsidR="000A0D9F" w:rsidRPr="00B24A80">
        <w:rPr>
          <w:rFonts w:asciiTheme="majorHAnsi" w:eastAsia="Calibri" w:hAnsiTheme="majorHAnsi" w:cstheme="majorHAnsi"/>
          <w:szCs w:val="22"/>
        </w:rPr>
        <w:t xml:space="preserve">en </w:t>
      </w:r>
      <w:r w:rsidRPr="00B24A80">
        <w:rPr>
          <w:rFonts w:asciiTheme="majorHAnsi" w:eastAsia="Calibri" w:hAnsiTheme="majorHAnsi" w:cstheme="majorHAnsi"/>
          <w:szCs w:val="22"/>
        </w:rPr>
        <w:t>el componente estructurante del PUGS. La delimitación se realizó a partir de la información de partida disponible por el GADM</w:t>
      </w:r>
      <w:r w:rsidR="00184466" w:rsidRPr="00B24A80">
        <w:rPr>
          <w:rFonts w:asciiTheme="majorHAnsi" w:eastAsia="Calibri" w:hAnsiTheme="majorHAnsi" w:cstheme="majorHAnsi"/>
          <w:szCs w:val="22"/>
        </w:rPr>
        <w:t xml:space="preserve"> </w:t>
      </w:r>
      <w:r w:rsidR="005B34B2" w:rsidRPr="00B24A80">
        <w:rPr>
          <w:rFonts w:asciiTheme="majorHAnsi" w:eastAsia="Calibri" w:hAnsiTheme="majorHAnsi" w:cstheme="majorHAnsi"/>
          <w:szCs w:val="22"/>
        </w:rPr>
        <w:t xml:space="preserve">del cantón </w:t>
      </w:r>
      <w:r w:rsidR="00E30701" w:rsidRPr="00B24A80">
        <w:rPr>
          <w:rFonts w:asciiTheme="majorHAnsi" w:eastAsia="Calibri" w:hAnsiTheme="majorHAnsi" w:cstheme="majorHAnsi"/>
          <w:color w:val="000000"/>
          <w:szCs w:val="22"/>
        </w:rPr>
        <w:t>La Joya de los Sachas</w:t>
      </w:r>
      <w:r w:rsidRPr="00B24A80">
        <w:rPr>
          <w:rFonts w:asciiTheme="majorHAnsi" w:eastAsia="Calibri" w:hAnsiTheme="majorHAnsi" w:cstheme="majorHAnsi"/>
          <w:szCs w:val="22"/>
        </w:rPr>
        <w:t xml:space="preserve"> y responde a la homogeneidad en las características de ocupación como: áreas útiles construidas, áreas no urbanizables, predios vacantes, predios no vacantes, acceso a sistemas públicos de soporte, protección patrimonial, ambiental y de riesgos, y necesidad de aplicación de instrumentos de gestión del suelo. Corresponden a áreas urbanas o rurales pertenecientes a una subclasificación del suelo específica definidas a partir de sus características homogéneas.</w:t>
      </w:r>
    </w:p>
    <w:p w14:paraId="4D085273" w14:textId="77777777" w:rsidR="005C2113" w:rsidRPr="005C2113" w:rsidRDefault="005C2113" w:rsidP="005C2113">
      <w:pPr>
        <w:pStyle w:val="Prrafodelista"/>
        <w:rPr>
          <w:rFonts w:asciiTheme="majorHAnsi" w:eastAsia="Calibri" w:hAnsiTheme="majorHAnsi" w:cstheme="majorHAnsi"/>
          <w:szCs w:val="22"/>
        </w:rPr>
      </w:pPr>
    </w:p>
    <w:p w14:paraId="3A48C026" w14:textId="77777777" w:rsidR="005C2113" w:rsidRPr="00B24A80" w:rsidRDefault="005C2113" w:rsidP="005C2113">
      <w:pPr>
        <w:pStyle w:val="Prrafodelista"/>
        <w:widowControl/>
        <w:tabs>
          <w:tab w:val="left" w:pos="851"/>
        </w:tabs>
        <w:spacing w:after="240" w:line="276" w:lineRule="auto"/>
        <w:ind w:left="0" w:right="-100"/>
        <w:rPr>
          <w:rFonts w:asciiTheme="majorHAnsi" w:eastAsia="Calibri" w:hAnsiTheme="majorHAnsi" w:cstheme="majorHAnsi"/>
          <w:szCs w:val="22"/>
        </w:rPr>
      </w:pPr>
    </w:p>
    <w:p w14:paraId="7E2DEAC4" w14:textId="3440E19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bookmarkStart w:id="129" w:name="_heading=h.206ipza" w:colFirst="0" w:colLast="0"/>
      <w:bookmarkEnd w:id="129"/>
      <w:r w:rsidRPr="00B24A80">
        <w:rPr>
          <w:rFonts w:asciiTheme="majorHAnsi" w:eastAsia="Calibri" w:hAnsiTheme="majorHAnsi" w:cstheme="majorHAnsi"/>
          <w:b/>
          <w:color w:val="000000"/>
          <w:szCs w:val="22"/>
        </w:rPr>
        <w:t xml:space="preserve">Tratamientos. - </w:t>
      </w:r>
      <w:r w:rsidRPr="00B24A80">
        <w:rPr>
          <w:rFonts w:asciiTheme="majorHAnsi" w:eastAsia="Calibri" w:hAnsiTheme="majorHAnsi" w:cstheme="majorHAnsi"/>
          <w:color w:val="000000"/>
          <w:szCs w:val="22"/>
        </w:rPr>
        <w:t xml:space="preserve">Los tratamientos son las disposiciones que orientan las estrategias de planeamiento urbanístico de suelo urbano y rural, dentro de un polígono de intervención territorial, a partir de sus características de tipo morfológico, físico-ambiental y </w:t>
      </w:r>
      <w:r w:rsidR="00E91C10" w:rsidRPr="00B24A80">
        <w:rPr>
          <w:rFonts w:asciiTheme="majorHAnsi" w:eastAsia="Calibri" w:hAnsiTheme="majorHAnsi" w:cstheme="majorHAnsi"/>
          <w:color w:val="000000"/>
          <w:szCs w:val="22"/>
        </w:rPr>
        <w:t>socioeconómico</w:t>
      </w:r>
      <w:r w:rsidRPr="00B24A80">
        <w:rPr>
          <w:rFonts w:asciiTheme="majorHAnsi" w:eastAsia="Calibri" w:hAnsiTheme="majorHAnsi" w:cstheme="majorHAnsi"/>
          <w:color w:val="000000"/>
          <w:szCs w:val="22"/>
        </w:rPr>
        <w:t>. La LOOTUGS define los siguientes tratamientos:</w:t>
      </w:r>
    </w:p>
    <w:p w14:paraId="4294641A" w14:textId="77777777" w:rsidR="00FD6125" w:rsidRPr="00B24A80" w:rsidRDefault="007F5505" w:rsidP="009F132D">
      <w:pPr>
        <w:widowControl/>
        <w:numPr>
          <w:ilvl w:val="0"/>
          <w:numId w:val="51"/>
        </w:numPr>
        <w:pBdr>
          <w:top w:val="nil"/>
          <w:left w:val="nil"/>
          <w:bottom w:val="nil"/>
          <w:right w:val="nil"/>
          <w:between w:val="nil"/>
        </w:pBdr>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Tratamiento de conservación. </w:t>
      </w:r>
    </w:p>
    <w:p w14:paraId="51D11FDF" w14:textId="77777777" w:rsidR="00DC27E8" w:rsidRPr="00B24A80" w:rsidRDefault="007F5505" w:rsidP="009F132D">
      <w:pPr>
        <w:widowControl/>
        <w:numPr>
          <w:ilvl w:val="0"/>
          <w:numId w:val="51"/>
        </w:numPr>
        <w:pBdr>
          <w:top w:val="nil"/>
          <w:left w:val="nil"/>
          <w:bottom w:val="nil"/>
          <w:right w:val="nil"/>
          <w:between w:val="nil"/>
        </w:pBdr>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Tratamiento de desarrollo. </w:t>
      </w:r>
    </w:p>
    <w:p w14:paraId="5EC09377" w14:textId="77777777" w:rsidR="00DC27E8" w:rsidRPr="00B24A80" w:rsidRDefault="007F5505" w:rsidP="009F132D">
      <w:pPr>
        <w:widowControl/>
        <w:numPr>
          <w:ilvl w:val="0"/>
          <w:numId w:val="51"/>
        </w:numPr>
        <w:pBdr>
          <w:top w:val="nil"/>
          <w:left w:val="nil"/>
          <w:bottom w:val="nil"/>
          <w:right w:val="nil"/>
          <w:between w:val="nil"/>
        </w:pBdr>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Tratamiento de mitigación. </w:t>
      </w:r>
    </w:p>
    <w:p w14:paraId="1CE613D3" w14:textId="77777777" w:rsidR="00DC27E8" w:rsidRPr="00B24A80" w:rsidRDefault="007F5505" w:rsidP="009F132D">
      <w:pPr>
        <w:widowControl/>
        <w:numPr>
          <w:ilvl w:val="0"/>
          <w:numId w:val="51"/>
        </w:numPr>
        <w:pBdr>
          <w:top w:val="nil"/>
          <w:left w:val="nil"/>
          <w:bottom w:val="nil"/>
          <w:right w:val="nil"/>
          <w:between w:val="nil"/>
        </w:pBdr>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Tratamiento de promoción productiva. </w:t>
      </w:r>
    </w:p>
    <w:p w14:paraId="41934617" w14:textId="77777777" w:rsidR="00FD6125" w:rsidRPr="00B24A80" w:rsidRDefault="007F5505" w:rsidP="009F132D">
      <w:pPr>
        <w:widowControl/>
        <w:numPr>
          <w:ilvl w:val="0"/>
          <w:numId w:val="51"/>
        </w:numPr>
        <w:pBdr>
          <w:top w:val="nil"/>
          <w:left w:val="nil"/>
          <w:bottom w:val="nil"/>
          <w:right w:val="nil"/>
          <w:between w:val="nil"/>
        </w:pBdr>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Tratamiento de recuperación</w:t>
      </w:r>
      <w:bookmarkStart w:id="130" w:name="_heading=h.4k668n3" w:colFirst="0" w:colLast="0"/>
      <w:bookmarkEnd w:id="130"/>
    </w:p>
    <w:p w14:paraId="49F4C249" w14:textId="77777777" w:rsidR="00FD6125" w:rsidRPr="00B24A80" w:rsidRDefault="00FD6125" w:rsidP="00FD6125">
      <w:pPr>
        <w:widowControl/>
        <w:pBdr>
          <w:top w:val="nil"/>
          <w:left w:val="nil"/>
          <w:bottom w:val="nil"/>
          <w:right w:val="nil"/>
          <w:between w:val="nil"/>
        </w:pBdr>
        <w:ind w:left="360"/>
        <w:rPr>
          <w:rFonts w:asciiTheme="majorHAnsi" w:eastAsia="Calibri" w:hAnsiTheme="majorHAnsi" w:cstheme="majorHAnsi"/>
          <w:color w:val="000000"/>
          <w:sz w:val="22"/>
          <w:szCs w:val="22"/>
        </w:rPr>
      </w:pPr>
    </w:p>
    <w:p w14:paraId="3DB41D03" w14:textId="2EDD0D57" w:rsidR="005E16E8" w:rsidRPr="00B24A80" w:rsidRDefault="005E16E8"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Usos del suelo Rural. - </w:t>
      </w:r>
      <w:r w:rsidRPr="00B24A80">
        <w:rPr>
          <w:rFonts w:asciiTheme="majorHAnsi" w:eastAsia="Calibri" w:hAnsiTheme="majorHAnsi" w:cstheme="majorHAnsi"/>
          <w:color w:val="000000"/>
          <w:szCs w:val="22"/>
        </w:rPr>
        <w:t>Dentro de los Polígonos de intervención Territorial (PIT) distribuidos en cada clasificación y subclasificación del suelo definida en el componente estructurante del PUGS, los usos del suelo establecen los siguientes destinos, cuya terminología es de carácter obligatorio.</w:t>
      </w:r>
    </w:p>
    <w:p w14:paraId="41C9DE9F" w14:textId="77777777" w:rsidR="005E16E8" w:rsidRPr="00B24A80" w:rsidRDefault="005E16E8" w:rsidP="005E16E8">
      <w:pPr>
        <w:widowControl/>
        <w:pBdr>
          <w:top w:val="nil"/>
          <w:left w:val="nil"/>
          <w:bottom w:val="nil"/>
          <w:right w:val="nil"/>
          <w:between w:val="nil"/>
        </w:pBdr>
        <w:ind w:left="360"/>
        <w:rPr>
          <w:rFonts w:asciiTheme="majorHAnsi" w:eastAsia="Calibri" w:hAnsiTheme="majorHAnsi" w:cstheme="majorHAnsi"/>
          <w:color w:val="000000"/>
          <w:sz w:val="22"/>
          <w:szCs w:val="22"/>
        </w:rPr>
      </w:pPr>
    </w:p>
    <w:p w14:paraId="786E4E21" w14:textId="7B421039" w:rsidR="005E16E8" w:rsidRPr="00B24A80" w:rsidRDefault="00C36514" w:rsidP="00CA24CF">
      <w:pPr>
        <w:pStyle w:val="Prrafodelista"/>
        <w:numPr>
          <w:ilvl w:val="0"/>
          <w:numId w:val="104"/>
        </w:numPr>
        <w:tabs>
          <w:tab w:val="left" w:pos="567"/>
        </w:tabs>
        <w:autoSpaceDE w:val="0"/>
        <w:autoSpaceDN w:val="0"/>
        <w:ind w:left="284" w:right="115" w:firstLine="0"/>
        <w:contextualSpacing w:val="0"/>
        <w:rPr>
          <w:rFonts w:asciiTheme="majorHAnsi" w:hAnsiTheme="majorHAnsi" w:cs="Times New Roman"/>
          <w:szCs w:val="22"/>
        </w:rPr>
      </w:pPr>
      <w:r>
        <w:rPr>
          <w:rFonts w:asciiTheme="majorHAnsi" w:hAnsiTheme="majorHAnsi" w:cs="Times New Roman"/>
          <w:b/>
          <w:szCs w:val="22"/>
        </w:rPr>
        <w:t>Uso R</w:t>
      </w:r>
      <w:r w:rsidR="005E16E8" w:rsidRPr="00B24A80">
        <w:rPr>
          <w:rFonts w:asciiTheme="majorHAnsi" w:hAnsiTheme="majorHAnsi" w:cs="Times New Roman"/>
          <w:b/>
          <w:szCs w:val="22"/>
        </w:rPr>
        <w:t>esidencial.</w:t>
      </w:r>
      <w:r w:rsidR="005E16E8" w:rsidRPr="00B24A80">
        <w:rPr>
          <w:rFonts w:asciiTheme="majorHAnsi" w:hAnsiTheme="majorHAnsi" w:cs="Times New Roman"/>
          <w:b/>
          <w:spacing w:val="1"/>
          <w:szCs w:val="22"/>
        </w:rPr>
        <w:t xml:space="preserve"> </w:t>
      </w:r>
      <w:r w:rsidR="005E16E8" w:rsidRPr="00B24A80">
        <w:rPr>
          <w:rFonts w:asciiTheme="majorHAnsi" w:hAnsiTheme="majorHAnsi" w:cs="Times New Roman"/>
          <w:b/>
          <w:szCs w:val="22"/>
        </w:rPr>
        <w:t xml:space="preserve">- </w:t>
      </w:r>
      <w:r w:rsidR="005E16E8" w:rsidRPr="00B24A80">
        <w:rPr>
          <w:rFonts w:asciiTheme="majorHAnsi" w:hAnsiTheme="majorHAnsi" w:cs="Times New Roman"/>
          <w:szCs w:val="22"/>
        </w:rPr>
        <w:t>Se destina para vivienda permanente, en uso</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exclusivo</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o</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combinado</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con</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otros</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usos</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de</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suelo</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compatibles,</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en</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edificaciones individuales o colectivas del territorio. El suelo residencial</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puede</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dividirse</w:t>
      </w:r>
      <w:r w:rsidR="005E16E8" w:rsidRPr="00B24A80">
        <w:rPr>
          <w:rFonts w:asciiTheme="majorHAnsi" w:hAnsiTheme="majorHAnsi" w:cs="Times New Roman"/>
          <w:spacing w:val="-2"/>
          <w:szCs w:val="22"/>
        </w:rPr>
        <w:t xml:space="preserve"> </w:t>
      </w:r>
      <w:r w:rsidR="005E16E8" w:rsidRPr="00B24A80">
        <w:rPr>
          <w:rFonts w:asciiTheme="majorHAnsi" w:hAnsiTheme="majorHAnsi" w:cs="Times New Roman"/>
          <w:szCs w:val="22"/>
        </w:rPr>
        <w:t>de</w:t>
      </w:r>
      <w:r w:rsidR="005E16E8" w:rsidRPr="00B24A80">
        <w:rPr>
          <w:rFonts w:asciiTheme="majorHAnsi" w:hAnsiTheme="majorHAnsi" w:cs="Times New Roman"/>
          <w:spacing w:val="-3"/>
          <w:szCs w:val="22"/>
        </w:rPr>
        <w:t xml:space="preserve"> </w:t>
      </w:r>
      <w:r w:rsidR="005E16E8" w:rsidRPr="00B24A80">
        <w:rPr>
          <w:rFonts w:asciiTheme="majorHAnsi" w:hAnsiTheme="majorHAnsi" w:cs="Times New Roman"/>
          <w:szCs w:val="22"/>
        </w:rPr>
        <w:t>acuerdo</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a</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la</w:t>
      </w:r>
      <w:r w:rsidR="005E16E8" w:rsidRPr="00B24A80">
        <w:rPr>
          <w:rFonts w:asciiTheme="majorHAnsi" w:hAnsiTheme="majorHAnsi" w:cs="Times New Roman"/>
          <w:spacing w:val="-1"/>
          <w:szCs w:val="22"/>
        </w:rPr>
        <w:t xml:space="preserve"> </w:t>
      </w:r>
      <w:r w:rsidR="005E16E8" w:rsidRPr="00B24A80">
        <w:rPr>
          <w:rFonts w:asciiTheme="majorHAnsi" w:hAnsiTheme="majorHAnsi" w:cs="Times New Roman"/>
          <w:szCs w:val="22"/>
        </w:rPr>
        <w:t>densidad</w:t>
      </w:r>
      <w:r w:rsidR="005E16E8" w:rsidRPr="00B24A80">
        <w:rPr>
          <w:rFonts w:asciiTheme="majorHAnsi" w:hAnsiTheme="majorHAnsi" w:cs="Times New Roman"/>
          <w:spacing w:val="-2"/>
          <w:szCs w:val="22"/>
        </w:rPr>
        <w:t xml:space="preserve"> </w:t>
      </w:r>
      <w:r w:rsidR="005E16E8" w:rsidRPr="00B24A80">
        <w:rPr>
          <w:rFonts w:asciiTheme="majorHAnsi" w:hAnsiTheme="majorHAnsi" w:cs="Times New Roman"/>
          <w:szCs w:val="22"/>
        </w:rPr>
        <w:t>establecida.</w:t>
      </w:r>
    </w:p>
    <w:p w14:paraId="3AB8360F" w14:textId="77777777" w:rsidR="005E16E8" w:rsidRPr="00B24A80" w:rsidRDefault="005E16E8" w:rsidP="00CA24CF">
      <w:pPr>
        <w:pStyle w:val="Prrafodelista"/>
        <w:numPr>
          <w:ilvl w:val="1"/>
          <w:numId w:val="104"/>
        </w:numPr>
        <w:tabs>
          <w:tab w:val="left" w:pos="567"/>
        </w:tabs>
        <w:autoSpaceDE w:val="0"/>
        <w:autoSpaceDN w:val="0"/>
        <w:ind w:right="115"/>
        <w:contextualSpacing w:val="0"/>
        <w:rPr>
          <w:rFonts w:asciiTheme="majorHAnsi" w:hAnsiTheme="majorHAnsi" w:cs="Times New Roman"/>
          <w:szCs w:val="22"/>
        </w:rPr>
      </w:pPr>
      <w:r w:rsidRPr="00B24A80">
        <w:rPr>
          <w:rFonts w:asciiTheme="majorHAnsi" w:hAnsiTheme="majorHAnsi" w:cs="Times New Roman"/>
          <w:b/>
          <w:szCs w:val="22"/>
        </w:rPr>
        <w:t>Residencial</w:t>
      </w:r>
      <w:r w:rsidRPr="00B24A80">
        <w:rPr>
          <w:rFonts w:asciiTheme="majorHAnsi" w:hAnsiTheme="majorHAnsi" w:cs="Times New Roman"/>
          <w:b/>
          <w:spacing w:val="1"/>
          <w:szCs w:val="22"/>
        </w:rPr>
        <w:t xml:space="preserve"> </w:t>
      </w:r>
      <w:r w:rsidRPr="00B24A80">
        <w:rPr>
          <w:rFonts w:asciiTheme="majorHAnsi" w:hAnsiTheme="majorHAnsi" w:cs="Times New Roman"/>
          <w:b/>
          <w:szCs w:val="22"/>
        </w:rPr>
        <w:t>de</w:t>
      </w:r>
      <w:r w:rsidRPr="00B24A80">
        <w:rPr>
          <w:rFonts w:asciiTheme="majorHAnsi" w:hAnsiTheme="majorHAnsi" w:cs="Times New Roman"/>
          <w:b/>
          <w:spacing w:val="1"/>
          <w:szCs w:val="22"/>
        </w:rPr>
        <w:t xml:space="preserve"> </w:t>
      </w:r>
      <w:r w:rsidRPr="00B24A80">
        <w:rPr>
          <w:rFonts w:asciiTheme="majorHAnsi" w:hAnsiTheme="majorHAnsi" w:cs="Times New Roman"/>
          <w:b/>
          <w:szCs w:val="22"/>
        </w:rPr>
        <w:t>baja</w:t>
      </w:r>
      <w:r w:rsidRPr="00B24A80">
        <w:rPr>
          <w:rFonts w:asciiTheme="majorHAnsi" w:hAnsiTheme="majorHAnsi" w:cs="Times New Roman"/>
          <w:b/>
          <w:spacing w:val="1"/>
          <w:szCs w:val="22"/>
        </w:rPr>
        <w:t xml:space="preserve"> </w:t>
      </w:r>
      <w:r w:rsidRPr="00B24A80">
        <w:rPr>
          <w:rFonts w:asciiTheme="majorHAnsi" w:hAnsiTheme="majorHAnsi" w:cs="Times New Roman"/>
          <w:b/>
          <w:szCs w:val="22"/>
        </w:rPr>
        <w:t>densidad</w:t>
      </w:r>
      <w:r w:rsidRPr="00B24A80">
        <w:rPr>
          <w:rFonts w:asciiTheme="majorHAnsi" w:hAnsiTheme="majorHAnsi" w:cs="Times New Roman"/>
          <w:szCs w:val="22"/>
        </w:rPr>
        <w:t>.</w:t>
      </w:r>
      <w:r w:rsidRPr="00B24A80">
        <w:rPr>
          <w:rFonts w:asciiTheme="majorHAnsi" w:hAnsiTheme="majorHAnsi" w:cs="Times New Roman"/>
          <w:spacing w:val="1"/>
          <w:szCs w:val="22"/>
        </w:rPr>
        <w:t xml:space="preserve"> </w:t>
      </w:r>
      <w:r w:rsidRPr="00B24A80">
        <w:rPr>
          <w:rFonts w:asciiTheme="majorHAnsi" w:hAnsiTheme="majorHAnsi" w:cs="Times New Roman"/>
          <w:szCs w:val="22"/>
        </w:rPr>
        <w:t>-</w:t>
      </w:r>
      <w:r w:rsidRPr="00B24A80">
        <w:rPr>
          <w:rFonts w:asciiTheme="majorHAnsi" w:hAnsiTheme="majorHAnsi" w:cs="Times New Roman"/>
          <w:spacing w:val="1"/>
          <w:szCs w:val="22"/>
        </w:rPr>
        <w:t xml:space="preserve"> </w:t>
      </w:r>
      <w:r w:rsidRPr="00B24A80">
        <w:rPr>
          <w:rFonts w:asciiTheme="majorHAnsi" w:hAnsiTheme="majorHAnsi" w:cs="Times New Roman"/>
          <w:szCs w:val="22"/>
        </w:rPr>
        <w:t>son</w:t>
      </w:r>
      <w:r w:rsidRPr="00B24A80">
        <w:rPr>
          <w:rFonts w:asciiTheme="majorHAnsi" w:hAnsiTheme="majorHAnsi" w:cs="Times New Roman"/>
          <w:spacing w:val="1"/>
          <w:szCs w:val="22"/>
        </w:rPr>
        <w:t xml:space="preserve"> </w:t>
      </w:r>
      <w:r w:rsidRPr="00B24A80">
        <w:rPr>
          <w:rFonts w:asciiTheme="majorHAnsi" w:hAnsiTheme="majorHAnsi" w:cs="Times New Roman"/>
          <w:szCs w:val="22"/>
        </w:rPr>
        <w:t>zonas</w:t>
      </w:r>
      <w:r w:rsidRPr="00B24A80">
        <w:rPr>
          <w:rFonts w:asciiTheme="majorHAnsi" w:hAnsiTheme="majorHAnsi" w:cs="Times New Roman"/>
          <w:spacing w:val="1"/>
          <w:szCs w:val="22"/>
        </w:rPr>
        <w:t xml:space="preserve"> </w:t>
      </w:r>
      <w:r w:rsidRPr="00B24A80">
        <w:rPr>
          <w:rFonts w:asciiTheme="majorHAnsi" w:hAnsiTheme="majorHAnsi" w:cs="Times New Roman"/>
          <w:szCs w:val="22"/>
        </w:rPr>
        <w:t>residenciales</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w:t>
      </w:r>
      <w:r w:rsidRPr="00B24A80">
        <w:rPr>
          <w:rFonts w:asciiTheme="majorHAnsi" w:hAnsiTheme="majorHAnsi" w:cs="Times New Roman"/>
          <w:spacing w:val="1"/>
          <w:szCs w:val="22"/>
        </w:rPr>
        <w:t xml:space="preserve"> </w:t>
      </w:r>
      <w:r w:rsidRPr="00B24A80">
        <w:rPr>
          <w:rFonts w:asciiTheme="majorHAnsi" w:hAnsiTheme="majorHAnsi" w:cs="Times New Roman"/>
          <w:szCs w:val="22"/>
        </w:rPr>
        <w:t>presencia limitada de actividades comerciales y equipamientos de</w:t>
      </w:r>
      <w:r w:rsidRPr="00B24A80">
        <w:rPr>
          <w:rFonts w:asciiTheme="majorHAnsi" w:hAnsiTheme="majorHAnsi" w:cs="Times New Roman"/>
          <w:spacing w:val="1"/>
          <w:szCs w:val="22"/>
        </w:rPr>
        <w:t xml:space="preserve"> </w:t>
      </w:r>
      <w:r w:rsidRPr="00B24A80">
        <w:rPr>
          <w:rFonts w:asciiTheme="majorHAnsi" w:hAnsiTheme="majorHAnsi" w:cs="Times New Roman"/>
          <w:szCs w:val="22"/>
        </w:rPr>
        <w:t>nivel</w:t>
      </w:r>
      <w:r w:rsidRPr="00B24A80">
        <w:rPr>
          <w:rFonts w:asciiTheme="majorHAnsi" w:hAnsiTheme="majorHAnsi" w:cs="Times New Roman"/>
          <w:spacing w:val="1"/>
          <w:szCs w:val="22"/>
        </w:rPr>
        <w:t xml:space="preserve"> </w:t>
      </w:r>
      <w:r w:rsidRPr="00B24A80">
        <w:rPr>
          <w:rFonts w:asciiTheme="majorHAnsi" w:hAnsiTheme="majorHAnsi" w:cs="Times New Roman"/>
          <w:szCs w:val="22"/>
        </w:rPr>
        <w:t>barrial.</w:t>
      </w:r>
      <w:r w:rsidRPr="00B24A80">
        <w:rPr>
          <w:rFonts w:asciiTheme="majorHAnsi" w:hAnsiTheme="majorHAnsi" w:cs="Times New Roman"/>
          <w:spacing w:val="1"/>
          <w:szCs w:val="22"/>
        </w:rPr>
        <w:t xml:space="preserve"> </w:t>
      </w:r>
      <w:r w:rsidRPr="00B24A80">
        <w:rPr>
          <w:rFonts w:asciiTheme="majorHAnsi" w:hAnsiTheme="majorHAnsi" w:cs="Times New Roman"/>
          <w:szCs w:val="22"/>
        </w:rPr>
        <w:t>En</w:t>
      </w:r>
      <w:r w:rsidRPr="00B24A80">
        <w:rPr>
          <w:rFonts w:asciiTheme="majorHAnsi" w:hAnsiTheme="majorHAnsi" w:cs="Times New Roman"/>
          <w:spacing w:val="1"/>
          <w:szCs w:val="22"/>
        </w:rPr>
        <w:t xml:space="preserve"> </w:t>
      </w:r>
      <w:r w:rsidRPr="00B24A80">
        <w:rPr>
          <w:rFonts w:asciiTheme="majorHAnsi" w:hAnsiTheme="majorHAnsi" w:cs="Times New Roman"/>
          <w:szCs w:val="22"/>
        </w:rPr>
        <w:t>esta</w:t>
      </w:r>
      <w:r w:rsidRPr="00B24A80">
        <w:rPr>
          <w:rFonts w:asciiTheme="majorHAnsi" w:hAnsiTheme="majorHAnsi" w:cs="Times New Roman"/>
          <w:spacing w:val="1"/>
          <w:szCs w:val="22"/>
        </w:rPr>
        <w:t xml:space="preserve"> </w:t>
      </w:r>
      <w:r w:rsidRPr="00B24A80">
        <w:rPr>
          <w:rFonts w:asciiTheme="majorHAnsi" w:hAnsiTheme="majorHAnsi" w:cs="Times New Roman"/>
          <w:szCs w:val="22"/>
        </w:rPr>
        <w:t>categoría</w:t>
      </w:r>
      <w:r w:rsidRPr="00B24A80">
        <w:rPr>
          <w:rFonts w:asciiTheme="majorHAnsi" w:hAnsiTheme="majorHAnsi" w:cs="Times New Roman"/>
          <w:spacing w:val="1"/>
          <w:szCs w:val="22"/>
        </w:rPr>
        <w:t xml:space="preserve"> </w:t>
      </w:r>
      <w:r w:rsidRPr="00B24A80">
        <w:rPr>
          <w:rFonts w:asciiTheme="majorHAnsi" w:hAnsiTheme="majorHAnsi" w:cs="Times New Roman"/>
          <w:szCs w:val="22"/>
        </w:rPr>
        <w:t>pueden</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construirse</w:t>
      </w:r>
      <w:r w:rsidRPr="00B24A80">
        <w:rPr>
          <w:rFonts w:asciiTheme="majorHAnsi" w:hAnsiTheme="majorHAnsi" w:cs="Times New Roman"/>
          <w:spacing w:val="1"/>
          <w:szCs w:val="22"/>
        </w:rPr>
        <w:t xml:space="preserve"> </w:t>
      </w:r>
      <w:r w:rsidRPr="00B24A80">
        <w:rPr>
          <w:rFonts w:asciiTheme="majorHAnsi" w:hAnsiTheme="majorHAnsi" w:cs="Times New Roman"/>
          <w:szCs w:val="22"/>
        </w:rPr>
        <w:t>edificaciones</w:t>
      </w:r>
      <w:r w:rsidRPr="00B24A80">
        <w:rPr>
          <w:rFonts w:asciiTheme="majorHAnsi" w:hAnsiTheme="majorHAnsi" w:cs="Times New Roman"/>
          <w:spacing w:val="1"/>
          <w:szCs w:val="22"/>
        </w:rPr>
        <w:t xml:space="preserve"> </w:t>
      </w:r>
      <w:r w:rsidRPr="00B24A80">
        <w:rPr>
          <w:rFonts w:asciiTheme="majorHAnsi" w:hAnsiTheme="majorHAnsi" w:cs="Times New Roman"/>
          <w:szCs w:val="22"/>
        </w:rPr>
        <w:t>unifamiliares</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 pocos pisos de altura.</w:t>
      </w:r>
    </w:p>
    <w:p w14:paraId="47FEB0D8" w14:textId="77777777" w:rsidR="005E16E8" w:rsidRPr="00B24A80" w:rsidRDefault="005E16E8" w:rsidP="005E16E8">
      <w:pPr>
        <w:tabs>
          <w:tab w:val="left" w:pos="567"/>
        </w:tabs>
        <w:ind w:right="115"/>
        <w:rPr>
          <w:rFonts w:asciiTheme="majorHAnsi" w:hAnsiTheme="majorHAnsi" w:cs="Times New Roman"/>
          <w:sz w:val="22"/>
          <w:szCs w:val="22"/>
        </w:rPr>
      </w:pPr>
    </w:p>
    <w:p w14:paraId="10D32EAE" w14:textId="66F1B5D7" w:rsidR="005E16E8" w:rsidRPr="00D50D27" w:rsidRDefault="005E16E8" w:rsidP="00CA24CF">
      <w:pPr>
        <w:pStyle w:val="Prrafodelista"/>
        <w:numPr>
          <w:ilvl w:val="0"/>
          <w:numId w:val="104"/>
        </w:numPr>
        <w:tabs>
          <w:tab w:val="left" w:pos="567"/>
        </w:tabs>
        <w:autoSpaceDE w:val="0"/>
        <w:autoSpaceDN w:val="0"/>
        <w:ind w:left="284" w:right="113" w:firstLine="0"/>
        <w:contextualSpacing w:val="0"/>
        <w:rPr>
          <w:rFonts w:asciiTheme="majorHAnsi" w:hAnsiTheme="majorHAnsi" w:cs="Times New Roman"/>
          <w:szCs w:val="22"/>
        </w:rPr>
      </w:pPr>
      <w:r w:rsidRPr="00B24A80">
        <w:rPr>
          <w:rFonts w:asciiTheme="majorHAnsi" w:hAnsiTheme="majorHAnsi" w:cs="Times New Roman"/>
          <w:b/>
          <w:szCs w:val="22"/>
        </w:rPr>
        <w:t>Uso Agropecuario</w:t>
      </w:r>
      <w:r w:rsidRPr="00B24A80">
        <w:rPr>
          <w:rFonts w:asciiTheme="majorHAnsi" w:hAnsiTheme="majorHAnsi" w:cs="Times New Roman"/>
          <w:szCs w:val="22"/>
        </w:rPr>
        <w:t>. - Corresponde a aquellas áreas en suelo rural</w:t>
      </w:r>
      <w:r w:rsidRPr="00B24A80">
        <w:rPr>
          <w:rFonts w:asciiTheme="majorHAnsi" w:hAnsiTheme="majorHAnsi" w:cs="Times New Roman"/>
          <w:spacing w:val="1"/>
          <w:szCs w:val="22"/>
        </w:rPr>
        <w:t xml:space="preserve"> </w:t>
      </w:r>
      <w:r w:rsidRPr="00B24A80">
        <w:rPr>
          <w:rFonts w:asciiTheme="majorHAnsi" w:hAnsiTheme="majorHAnsi" w:cs="Times New Roman"/>
          <w:szCs w:val="22"/>
        </w:rPr>
        <w:t>vinculadas</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w:t>
      </w:r>
      <w:r w:rsidRPr="00B24A80">
        <w:rPr>
          <w:rFonts w:asciiTheme="majorHAnsi" w:hAnsiTheme="majorHAnsi" w:cs="Times New Roman"/>
          <w:spacing w:val="1"/>
          <w:szCs w:val="22"/>
        </w:rPr>
        <w:t xml:space="preserve"> </w:t>
      </w:r>
      <w:r w:rsidRPr="00B24A80">
        <w:rPr>
          <w:rFonts w:asciiTheme="majorHAnsi" w:hAnsiTheme="majorHAnsi" w:cs="Times New Roman"/>
          <w:szCs w:val="22"/>
        </w:rPr>
        <w:t>actividades</w:t>
      </w:r>
      <w:r w:rsidRPr="00B24A80">
        <w:rPr>
          <w:rFonts w:asciiTheme="majorHAnsi" w:hAnsiTheme="majorHAnsi" w:cs="Times New Roman"/>
          <w:spacing w:val="1"/>
          <w:szCs w:val="22"/>
        </w:rPr>
        <w:t xml:space="preserve"> </w:t>
      </w:r>
      <w:r w:rsidR="00A35002">
        <w:rPr>
          <w:rFonts w:asciiTheme="majorHAnsi" w:hAnsiTheme="majorHAnsi" w:cs="Times New Roman"/>
          <w:szCs w:val="22"/>
        </w:rPr>
        <w:t>rural</w:t>
      </w:r>
      <w:r w:rsidRPr="00B24A80">
        <w:rPr>
          <w:rFonts w:asciiTheme="majorHAnsi" w:hAnsiTheme="majorHAnsi" w:cs="Times New Roman"/>
          <w:szCs w:val="22"/>
        </w:rPr>
        <w:t>s</w:t>
      </w:r>
      <w:r w:rsidRPr="00B24A80">
        <w:rPr>
          <w:rFonts w:asciiTheme="majorHAnsi" w:hAnsiTheme="majorHAnsi" w:cs="Times New Roman"/>
          <w:spacing w:val="1"/>
          <w:szCs w:val="22"/>
        </w:rPr>
        <w:t xml:space="preserve"> </w:t>
      </w:r>
      <w:r w:rsidRPr="00B24A80">
        <w:rPr>
          <w:rFonts w:asciiTheme="majorHAnsi" w:hAnsiTheme="majorHAnsi" w:cs="Times New Roman"/>
          <w:szCs w:val="22"/>
        </w:rPr>
        <w:t>y</w:t>
      </w:r>
      <w:r w:rsidRPr="00B24A80">
        <w:rPr>
          <w:rFonts w:asciiTheme="majorHAnsi" w:hAnsiTheme="majorHAnsi" w:cs="Times New Roman"/>
          <w:spacing w:val="1"/>
          <w:szCs w:val="22"/>
        </w:rPr>
        <w:t xml:space="preserve"> </w:t>
      </w:r>
      <w:r w:rsidRPr="00B24A80">
        <w:rPr>
          <w:rFonts w:asciiTheme="majorHAnsi" w:hAnsiTheme="majorHAnsi" w:cs="Times New Roman"/>
          <w:szCs w:val="22"/>
        </w:rPr>
        <w:t>pecuarias</w:t>
      </w:r>
      <w:r w:rsidRPr="00B24A80">
        <w:rPr>
          <w:rFonts w:asciiTheme="majorHAnsi" w:hAnsiTheme="majorHAnsi" w:cs="Times New Roman"/>
          <w:spacing w:val="1"/>
          <w:szCs w:val="22"/>
        </w:rPr>
        <w:t xml:space="preserve"> </w:t>
      </w:r>
      <w:r w:rsidRPr="00B24A80">
        <w:rPr>
          <w:rFonts w:asciiTheme="majorHAnsi" w:hAnsiTheme="majorHAnsi" w:cs="Times New Roman"/>
          <w:szCs w:val="22"/>
        </w:rPr>
        <w:t>que</w:t>
      </w:r>
      <w:r w:rsidRPr="00B24A80">
        <w:rPr>
          <w:rFonts w:asciiTheme="majorHAnsi" w:hAnsiTheme="majorHAnsi" w:cs="Times New Roman"/>
          <w:spacing w:val="1"/>
          <w:szCs w:val="22"/>
        </w:rPr>
        <w:t xml:space="preserve"> </w:t>
      </w:r>
      <w:r w:rsidRPr="00B24A80">
        <w:rPr>
          <w:rFonts w:asciiTheme="majorHAnsi" w:hAnsiTheme="majorHAnsi" w:cs="Times New Roman"/>
          <w:szCs w:val="22"/>
        </w:rPr>
        <w:t>requieren</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continuamente labores de cultivo y manejo, en las que pueden existir</w:t>
      </w:r>
      <w:r w:rsidRPr="00B24A80">
        <w:rPr>
          <w:rFonts w:asciiTheme="majorHAnsi" w:hAnsiTheme="majorHAnsi" w:cs="Times New Roman"/>
          <w:spacing w:val="1"/>
          <w:szCs w:val="22"/>
        </w:rPr>
        <w:t xml:space="preserve"> </w:t>
      </w:r>
      <w:r w:rsidRPr="00B24A80">
        <w:rPr>
          <w:rFonts w:asciiTheme="majorHAnsi" w:hAnsiTheme="majorHAnsi" w:cs="Times New Roman"/>
          <w:szCs w:val="22"/>
        </w:rPr>
        <w:t>asentamientos</w:t>
      </w:r>
      <w:r w:rsidRPr="00B24A80">
        <w:rPr>
          <w:rFonts w:asciiTheme="majorHAnsi" w:hAnsiTheme="majorHAnsi" w:cs="Times New Roman"/>
          <w:spacing w:val="1"/>
          <w:szCs w:val="22"/>
        </w:rPr>
        <w:t xml:space="preserve"> </w:t>
      </w:r>
      <w:r w:rsidRPr="00B24A80">
        <w:rPr>
          <w:rFonts w:asciiTheme="majorHAnsi" w:hAnsiTheme="majorHAnsi" w:cs="Times New Roman"/>
          <w:szCs w:val="22"/>
        </w:rPr>
        <w:t>humanos</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concentrados</w:t>
      </w:r>
      <w:r w:rsidRPr="00B24A80">
        <w:rPr>
          <w:rFonts w:asciiTheme="majorHAnsi" w:hAnsiTheme="majorHAnsi" w:cs="Times New Roman"/>
          <w:spacing w:val="1"/>
          <w:szCs w:val="22"/>
        </w:rPr>
        <w:t xml:space="preserve"> </w:t>
      </w:r>
      <w:r w:rsidRPr="00B24A80">
        <w:rPr>
          <w:rFonts w:asciiTheme="majorHAnsi" w:hAnsiTheme="majorHAnsi" w:cs="Times New Roman"/>
          <w:szCs w:val="22"/>
        </w:rPr>
        <w:t>o</w:t>
      </w:r>
      <w:r w:rsidRPr="00B24A80">
        <w:rPr>
          <w:rFonts w:asciiTheme="majorHAnsi" w:hAnsiTheme="majorHAnsi" w:cs="Times New Roman"/>
          <w:spacing w:val="1"/>
          <w:szCs w:val="22"/>
        </w:rPr>
        <w:t xml:space="preserve"> </w:t>
      </w:r>
      <w:r w:rsidRPr="00B24A80">
        <w:rPr>
          <w:rFonts w:asciiTheme="majorHAnsi" w:hAnsiTheme="majorHAnsi" w:cs="Times New Roman"/>
          <w:szCs w:val="22"/>
        </w:rPr>
        <w:t>dispersos</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w:t>
      </w:r>
      <w:r w:rsidRPr="00B24A80">
        <w:rPr>
          <w:rFonts w:asciiTheme="majorHAnsi" w:hAnsiTheme="majorHAnsi" w:cs="Times New Roman"/>
          <w:spacing w:val="1"/>
          <w:szCs w:val="22"/>
        </w:rPr>
        <w:t xml:space="preserve"> </w:t>
      </w:r>
      <w:r w:rsidRPr="00B24A80">
        <w:rPr>
          <w:rFonts w:asciiTheme="majorHAnsi" w:hAnsiTheme="majorHAnsi" w:cs="Times New Roman"/>
          <w:szCs w:val="22"/>
        </w:rPr>
        <w:t>muy</w:t>
      </w:r>
      <w:r w:rsidRPr="00B24A80">
        <w:rPr>
          <w:rFonts w:asciiTheme="majorHAnsi" w:hAnsiTheme="majorHAnsi" w:cs="Times New Roman"/>
          <w:spacing w:val="1"/>
          <w:szCs w:val="22"/>
        </w:rPr>
        <w:t xml:space="preserve"> </w:t>
      </w:r>
      <w:r w:rsidRPr="00B24A80">
        <w:rPr>
          <w:rFonts w:asciiTheme="majorHAnsi" w:hAnsiTheme="majorHAnsi" w:cs="Times New Roman"/>
          <w:szCs w:val="22"/>
        </w:rPr>
        <w:t>bajo</w:t>
      </w:r>
      <w:r w:rsidRPr="00B24A80">
        <w:rPr>
          <w:rFonts w:asciiTheme="majorHAnsi" w:hAnsiTheme="majorHAnsi" w:cs="Times New Roman"/>
          <w:spacing w:val="1"/>
          <w:szCs w:val="22"/>
        </w:rPr>
        <w:t xml:space="preserve"> </w:t>
      </w:r>
      <w:r w:rsidRPr="00B24A80">
        <w:rPr>
          <w:rFonts w:asciiTheme="majorHAnsi" w:hAnsiTheme="majorHAnsi" w:cs="Times New Roman"/>
          <w:szCs w:val="22"/>
        </w:rPr>
        <w:t>coeficiente de ocupación del suelo, mismo que será determinado por la</w:t>
      </w:r>
      <w:r w:rsidRPr="00B24A80">
        <w:rPr>
          <w:rFonts w:asciiTheme="majorHAnsi" w:hAnsiTheme="majorHAnsi" w:cs="Times New Roman"/>
          <w:spacing w:val="1"/>
          <w:szCs w:val="22"/>
        </w:rPr>
        <w:t xml:space="preserve"> </w:t>
      </w:r>
      <w:r w:rsidRPr="00B24A80">
        <w:rPr>
          <w:rFonts w:asciiTheme="majorHAnsi" w:hAnsiTheme="majorHAnsi" w:cs="Times New Roman"/>
          <w:szCs w:val="22"/>
        </w:rPr>
        <w:t xml:space="preserve">ordenanza municipal correspondiente. </w:t>
      </w:r>
      <w:r w:rsidRPr="008246DA">
        <w:rPr>
          <w:rFonts w:asciiTheme="majorHAnsi" w:hAnsiTheme="majorHAnsi" w:cs="Times New Roman"/>
          <w:szCs w:val="22"/>
        </w:rPr>
        <w:t>La determinación del uso de suelo</w:t>
      </w:r>
      <w:r w:rsidRPr="008246DA">
        <w:rPr>
          <w:rFonts w:asciiTheme="majorHAnsi" w:hAnsiTheme="majorHAnsi" w:cs="Times New Roman"/>
          <w:spacing w:val="-64"/>
          <w:szCs w:val="22"/>
        </w:rPr>
        <w:t xml:space="preserve"> </w:t>
      </w:r>
      <w:r w:rsidRPr="008246DA">
        <w:rPr>
          <w:rFonts w:asciiTheme="majorHAnsi" w:hAnsiTheme="majorHAnsi" w:cs="Times New Roman"/>
          <w:szCs w:val="22"/>
        </w:rPr>
        <w:t>agropecuario se debe establecer en función de parámetros normativos</w:t>
      </w:r>
      <w:r w:rsidRPr="008246DA">
        <w:rPr>
          <w:rFonts w:asciiTheme="majorHAnsi" w:hAnsiTheme="majorHAnsi" w:cs="Times New Roman"/>
          <w:spacing w:val="1"/>
          <w:szCs w:val="22"/>
        </w:rPr>
        <w:t xml:space="preserve"> </w:t>
      </w:r>
      <w:r w:rsidRPr="008246DA">
        <w:rPr>
          <w:rFonts w:asciiTheme="majorHAnsi" w:hAnsiTheme="majorHAnsi" w:cs="Times New Roman"/>
          <w:szCs w:val="22"/>
        </w:rPr>
        <w:t>que establezcan fraccionamientos mínimos de acuerdo con factores que</w:t>
      </w:r>
      <w:r w:rsidRPr="008246DA">
        <w:rPr>
          <w:rFonts w:asciiTheme="majorHAnsi" w:hAnsiTheme="majorHAnsi" w:cs="Times New Roman"/>
          <w:spacing w:val="1"/>
          <w:szCs w:val="22"/>
        </w:rPr>
        <w:t xml:space="preserve"> </w:t>
      </w:r>
      <w:r w:rsidRPr="008246DA">
        <w:rPr>
          <w:rFonts w:asciiTheme="majorHAnsi" w:hAnsiTheme="majorHAnsi" w:cs="Times New Roman"/>
          <w:szCs w:val="22"/>
        </w:rPr>
        <w:t>garanticen</w:t>
      </w:r>
      <w:r w:rsidRPr="008246DA">
        <w:rPr>
          <w:rFonts w:asciiTheme="majorHAnsi" w:hAnsiTheme="majorHAnsi" w:cs="Times New Roman"/>
          <w:spacing w:val="-11"/>
          <w:szCs w:val="22"/>
        </w:rPr>
        <w:t xml:space="preserve"> </w:t>
      </w:r>
      <w:r w:rsidRPr="008246DA">
        <w:rPr>
          <w:rFonts w:asciiTheme="majorHAnsi" w:hAnsiTheme="majorHAnsi" w:cs="Times New Roman"/>
          <w:szCs w:val="22"/>
        </w:rPr>
        <w:t>su</w:t>
      </w:r>
      <w:r w:rsidRPr="008246DA">
        <w:rPr>
          <w:rFonts w:asciiTheme="majorHAnsi" w:hAnsiTheme="majorHAnsi" w:cs="Times New Roman"/>
          <w:spacing w:val="-12"/>
          <w:szCs w:val="22"/>
        </w:rPr>
        <w:t xml:space="preserve"> </w:t>
      </w:r>
      <w:r w:rsidRPr="008246DA">
        <w:rPr>
          <w:rFonts w:asciiTheme="majorHAnsi" w:hAnsiTheme="majorHAnsi" w:cs="Times New Roman"/>
          <w:szCs w:val="22"/>
        </w:rPr>
        <w:t>preservación</w:t>
      </w:r>
      <w:r w:rsidRPr="008246DA">
        <w:rPr>
          <w:rFonts w:asciiTheme="majorHAnsi" w:hAnsiTheme="majorHAnsi" w:cs="Times New Roman"/>
          <w:spacing w:val="-10"/>
          <w:szCs w:val="22"/>
        </w:rPr>
        <w:t xml:space="preserve"> </w:t>
      </w:r>
      <w:r w:rsidRPr="008246DA">
        <w:rPr>
          <w:rFonts w:asciiTheme="majorHAnsi" w:hAnsiTheme="majorHAnsi" w:cs="Times New Roman"/>
          <w:szCs w:val="22"/>
        </w:rPr>
        <w:t>de</w:t>
      </w:r>
      <w:r w:rsidRPr="008246DA">
        <w:rPr>
          <w:rFonts w:asciiTheme="majorHAnsi" w:hAnsiTheme="majorHAnsi" w:cs="Times New Roman"/>
          <w:spacing w:val="-12"/>
          <w:szCs w:val="22"/>
        </w:rPr>
        <w:t xml:space="preserve"> </w:t>
      </w:r>
      <w:r w:rsidRPr="008246DA">
        <w:rPr>
          <w:rFonts w:asciiTheme="majorHAnsi" w:hAnsiTheme="majorHAnsi" w:cs="Times New Roman"/>
          <w:szCs w:val="22"/>
        </w:rPr>
        <w:t>usos</w:t>
      </w:r>
      <w:r w:rsidRPr="008246DA">
        <w:rPr>
          <w:rFonts w:asciiTheme="majorHAnsi" w:hAnsiTheme="majorHAnsi" w:cs="Times New Roman"/>
          <w:spacing w:val="-14"/>
          <w:szCs w:val="22"/>
        </w:rPr>
        <w:t xml:space="preserve"> </w:t>
      </w:r>
      <w:r w:rsidRPr="008246DA">
        <w:rPr>
          <w:rFonts w:asciiTheme="majorHAnsi" w:hAnsiTheme="majorHAnsi" w:cs="Times New Roman"/>
          <w:szCs w:val="22"/>
        </w:rPr>
        <w:t>e</w:t>
      </w:r>
      <w:r w:rsidRPr="008246DA">
        <w:rPr>
          <w:rFonts w:asciiTheme="majorHAnsi" w:hAnsiTheme="majorHAnsi" w:cs="Times New Roman"/>
          <w:spacing w:val="-10"/>
          <w:szCs w:val="22"/>
        </w:rPr>
        <w:t xml:space="preserve"> </w:t>
      </w:r>
      <w:r w:rsidRPr="008246DA">
        <w:rPr>
          <w:rFonts w:asciiTheme="majorHAnsi" w:hAnsiTheme="majorHAnsi" w:cs="Times New Roman"/>
          <w:szCs w:val="22"/>
        </w:rPr>
        <w:t>impidan</w:t>
      </w:r>
      <w:r w:rsidRPr="008246DA">
        <w:rPr>
          <w:rFonts w:asciiTheme="majorHAnsi" w:hAnsiTheme="majorHAnsi" w:cs="Times New Roman"/>
          <w:spacing w:val="-12"/>
          <w:szCs w:val="22"/>
        </w:rPr>
        <w:t xml:space="preserve"> </w:t>
      </w:r>
      <w:r w:rsidRPr="008246DA">
        <w:rPr>
          <w:rFonts w:asciiTheme="majorHAnsi" w:hAnsiTheme="majorHAnsi" w:cs="Times New Roman"/>
          <w:szCs w:val="22"/>
        </w:rPr>
        <w:t>la</w:t>
      </w:r>
      <w:r w:rsidRPr="008246DA">
        <w:rPr>
          <w:rFonts w:asciiTheme="majorHAnsi" w:hAnsiTheme="majorHAnsi" w:cs="Times New Roman"/>
          <w:spacing w:val="-11"/>
          <w:szCs w:val="22"/>
        </w:rPr>
        <w:t xml:space="preserve"> </w:t>
      </w:r>
      <w:r w:rsidRPr="008246DA">
        <w:rPr>
          <w:rFonts w:asciiTheme="majorHAnsi" w:hAnsiTheme="majorHAnsi" w:cs="Times New Roman"/>
          <w:szCs w:val="22"/>
        </w:rPr>
        <w:t>urbanización</w:t>
      </w:r>
      <w:r w:rsidR="00B77040">
        <w:rPr>
          <w:rFonts w:asciiTheme="majorHAnsi" w:hAnsiTheme="majorHAnsi" w:cs="Times New Roman"/>
          <w:szCs w:val="22"/>
        </w:rPr>
        <w:t>.</w:t>
      </w:r>
      <w:r w:rsidRPr="008246DA">
        <w:rPr>
          <w:rFonts w:asciiTheme="majorHAnsi" w:hAnsiTheme="majorHAnsi" w:cs="Times New Roman"/>
          <w:spacing w:val="-9"/>
          <w:szCs w:val="22"/>
        </w:rPr>
        <w:t xml:space="preserve"> </w:t>
      </w:r>
    </w:p>
    <w:p w14:paraId="72BED4D7" w14:textId="1816404E" w:rsidR="00D50D27" w:rsidRPr="00E91C10" w:rsidRDefault="00D50D27" w:rsidP="00CA24CF">
      <w:pPr>
        <w:pStyle w:val="Prrafodelista"/>
        <w:numPr>
          <w:ilvl w:val="0"/>
          <w:numId w:val="104"/>
        </w:numPr>
        <w:tabs>
          <w:tab w:val="left" w:pos="567"/>
        </w:tabs>
        <w:autoSpaceDE w:val="0"/>
        <w:autoSpaceDN w:val="0"/>
        <w:ind w:left="284" w:right="113" w:firstLine="0"/>
        <w:contextualSpacing w:val="0"/>
        <w:rPr>
          <w:rFonts w:asciiTheme="majorHAnsi" w:hAnsiTheme="majorHAnsi" w:cs="Times New Roman"/>
          <w:bCs/>
          <w:szCs w:val="22"/>
        </w:rPr>
      </w:pPr>
      <w:r w:rsidRPr="00E91C10">
        <w:rPr>
          <w:rFonts w:asciiTheme="majorHAnsi" w:hAnsiTheme="majorHAnsi" w:cs="Times New Roman"/>
          <w:b/>
          <w:szCs w:val="22"/>
        </w:rPr>
        <w:t>Uso Agroindustrial.</w:t>
      </w:r>
      <w:r w:rsidR="00E91C10" w:rsidRPr="00E91C10">
        <w:rPr>
          <w:rFonts w:asciiTheme="majorHAnsi" w:hAnsiTheme="majorHAnsi" w:cs="Times New Roman"/>
          <w:b/>
          <w:szCs w:val="22"/>
        </w:rPr>
        <w:t xml:space="preserve"> -</w:t>
      </w:r>
      <w:r w:rsidR="00E91C10">
        <w:rPr>
          <w:rFonts w:asciiTheme="majorHAnsi" w:hAnsiTheme="majorHAnsi" w:cs="Times New Roman"/>
          <w:bCs/>
          <w:szCs w:val="22"/>
        </w:rPr>
        <w:t xml:space="preserve"> </w:t>
      </w:r>
      <w:r w:rsidR="00306A22" w:rsidRPr="00E91C10">
        <w:rPr>
          <w:rFonts w:asciiTheme="majorHAnsi" w:hAnsiTheme="majorHAnsi" w:cs="Times New Roman"/>
          <w:bCs/>
          <w:szCs w:val="22"/>
        </w:rPr>
        <w:t xml:space="preserve">El uso de suelo agroindustrial se refiere a la clasificación y gestión de terrenos destinados a actividades agroindustriales, que combinan la producción </w:t>
      </w:r>
      <w:r w:rsidR="00A35002">
        <w:rPr>
          <w:rFonts w:asciiTheme="majorHAnsi" w:hAnsiTheme="majorHAnsi" w:cs="Times New Roman"/>
          <w:bCs/>
          <w:szCs w:val="22"/>
        </w:rPr>
        <w:t>rural</w:t>
      </w:r>
      <w:r w:rsidR="00306A22" w:rsidRPr="00E91C10">
        <w:rPr>
          <w:rFonts w:asciiTheme="majorHAnsi" w:hAnsiTheme="majorHAnsi" w:cs="Times New Roman"/>
          <w:bCs/>
          <w:szCs w:val="22"/>
        </w:rPr>
        <w:t xml:space="preserve"> con procesos de industrialización. Este tipo de uso de suelo implica la transformación de productos </w:t>
      </w:r>
      <w:r w:rsidR="00A35002">
        <w:rPr>
          <w:rFonts w:asciiTheme="majorHAnsi" w:hAnsiTheme="majorHAnsi" w:cs="Times New Roman"/>
          <w:bCs/>
          <w:szCs w:val="22"/>
        </w:rPr>
        <w:t>rural</w:t>
      </w:r>
      <w:r w:rsidR="00306A22" w:rsidRPr="00E91C10">
        <w:rPr>
          <w:rFonts w:asciiTheme="majorHAnsi" w:hAnsiTheme="majorHAnsi" w:cs="Times New Roman"/>
          <w:bCs/>
          <w:szCs w:val="22"/>
        </w:rPr>
        <w:t>s en bienes manufacturados, como alimentos procesados, biocombustibles, y otros productos relacionados.</w:t>
      </w:r>
    </w:p>
    <w:p w14:paraId="10B28562" w14:textId="77777777" w:rsidR="005E16E8" w:rsidRPr="00B24A80" w:rsidRDefault="005E16E8" w:rsidP="005E16E8">
      <w:pPr>
        <w:pStyle w:val="Prrafodelista"/>
        <w:tabs>
          <w:tab w:val="left" w:pos="567"/>
        </w:tabs>
        <w:ind w:left="284" w:right="113"/>
        <w:rPr>
          <w:rFonts w:asciiTheme="majorHAnsi" w:hAnsiTheme="majorHAnsi" w:cs="Times New Roman"/>
          <w:szCs w:val="22"/>
        </w:rPr>
      </w:pPr>
    </w:p>
    <w:p w14:paraId="2BB3AE9C" w14:textId="4856F91D" w:rsidR="005E16E8" w:rsidRPr="00B24A80" w:rsidRDefault="005E16E8" w:rsidP="00CA24CF">
      <w:pPr>
        <w:pStyle w:val="Prrafodelista"/>
        <w:numPr>
          <w:ilvl w:val="0"/>
          <w:numId w:val="104"/>
        </w:numPr>
        <w:tabs>
          <w:tab w:val="left" w:pos="567"/>
          <w:tab w:val="left" w:pos="1089"/>
        </w:tabs>
        <w:autoSpaceDE w:val="0"/>
        <w:autoSpaceDN w:val="0"/>
        <w:ind w:left="284" w:right="114" w:firstLine="0"/>
        <w:contextualSpacing w:val="0"/>
        <w:rPr>
          <w:rFonts w:asciiTheme="majorHAnsi" w:hAnsiTheme="majorHAnsi" w:cs="Times New Roman"/>
          <w:szCs w:val="22"/>
        </w:rPr>
      </w:pPr>
      <w:r w:rsidRPr="00B24A80">
        <w:rPr>
          <w:rFonts w:asciiTheme="majorHAnsi" w:hAnsiTheme="majorHAnsi" w:cs="Times New Roman"/>
          <w:b/>
          <w:szCs w:val="22"/>
        </w:rPr>
        <w:t>Uso</w:t>
      </w:r>
      <w:r w:rsidRPr="00B24A80">
        <w:rPr>
          <w:rFonts w:asciiTheme="majorHAnsi" w:hAnsiTheme="majorHAnsi" w:cs="Times New Roman"/>
          <w:b/>
          <w:spacing w:val="-5"/>
          <w:szCs w:val="22"/>
        </w:rPr>
        <w:t xml:space="preserve"> </w:t>
      </w:r>
      <w:r w:rsidRPr="00B24A80">
        <w:rPr>
          <w:rFonts w:asciiTheme="majorHAnsi" w:hAnsiTheme="majorHAnsi" w:cs="Times New Roman"/>
          <w:b/>
          <w:szCs w:val="22"/>
        </w:rPr>
        <w:t>Forestal.</w:t>
      </w:r>
      <w:r w:rsidRPr="00B24A80">
        <w:rPr>
          <w:rFonts w:asciiTheme="majorHAnsi" w:hAnsiTheme="majorHAnsi" w:cs="Times New Roman"/>
          <w:b/>
          <w:spacing w:val="-1"/>
          <w:szCs w:val="22"/>
        </w:rPr>
        <w:t xml:space="preserve"> </w:t>
      </w:r>
      <w:r w:rsidRPr="00B24A80">
        <w:rPr>
          <w:rFonts w:asciiTheme="majorHAnsi" w:hAnsiTheme="majorHAnsi" w:cs="Times New Roman"/>
          <w:b/>
          <w:szCs w:val="22"/>
        </w:rPr>
        <w:t>-</w:t>
      </w:r>
      <w:r w:rsidRPr="00B24A80">
        <w:rPr>
          <w:rFonts w:asciiTheme="majorHAnsi" w:hAnsiTheme="majorHAnsi" w:cs="Times New Roman"/>
          <w:b/>
          <w:spacing w:val="-4"/>
          <w:szCs w:val="22"/>
        </w:rPr>
        <w:t xml:space="preserve"> </w:t>
      </w:r>
      <w:r w:rsidR="008F03A6" w:rsidRPr="00B24A80">
        <w:rPr>
          <w:rFonts w:asciiTheme="majorHAnsi" w:hAnsiTheme="majorHAnsi" w:cs="Times New Roman"/>
          <w:szCs w:val="22"/>
        </w:rPr>
        <w:t xml:space="preserve">Corresponde a aquellas áreas en suelo rural, destinadas para </w:t>
      </w:r>
      <w:r w:rsidR="004E0B03" w:rsidRPr="00B24A80">
        <w:rPr>
          <w:rFonts w:asciiTheme="majorHAnsi" w:hAnsiTheme="majorHAnsi" w:cs="Times New Roman"/>
          <w:szCs w:val="22"/>
        </w:rPr>
        <w:t>la plantación</w:t>
      </w:r>
      <w:r w:rsidR="008F03A6" w:rsidRPr="00B24A80">
        <w:rPr>
          <w:rFonts w:asciiTheme="majorHAnsi" w:hAnsiTheme="majorHAnsi" w:cs="Times New Roman"/>
          <w:szCs w:val="22"/>
        </w:rPr>
        <w:t xml:space="preserve"> de especies forestales para su cultivo y manejo, en la explotación maderera. La determinación del uso de suelo forestal se debe establecer en función de parámetros normativos que establezcan fraccionamientos mínimos de acuerdo con factores que garanticen su preservación de usos e impidan la urbanización y que serán definidos por la Autoridad </w:t>
      </w:r>
      <w:r w:rsidR="004E0B03" w:rsidRPr="00B24A80">
        <w:rPr>
          <w:rFonts w:asciiTheme="majorHAnsi" w:hAnsiTheme="majorHAnsi" w:cs="Times New Roman"/>
          <w:szCs w:val="22"/>
        </w:rPr>
        <w:t>Agropecuaria Nacional</w:t>
      </w:r>
      <w:r w:rsidRPr="00B24A80">
        <w:rPr>
          <w:rFonts w:asciiTheme="majorHAnsi" w:hAnsiTheme="majorHAnsi" w:cs="Times New Roman"/>
          <w:szCs w:val="22"/>
        </w:rPr>
        <w:t>.</w:t>
      </w:r>
    </w:p>
    <w:p w14:paraId="273E5E61" w14:textId="77777777" w:rsidR="005E16E8" w:rsidRPr="00B24A80" w:rsidRDefault="005E16E8" w:rsidP="005E16E8">
      <w:pPr>
        <w:pStyle w:val="Prrafodelista"/>
        <w:tabs>
          <w:tab w:val="left" w:pos="567"/>
          <w:tab w:val="left" w:pos="1089"/>
        </w:tabs>
        <w:ind w:left="284" w:right="114"/>
        <w:rPr>
          <w:rFonts w:asciiTheme="majorHAnsi" w:hAnsiTheme="majorHAnsi" w:cs="Times New Roman"/>
          <w:szCs w:val="22"/>
        </w:rPr>
      </w:pPr>
    </w:p>
    <w:p w14:paraId="01188131" w14:textId="47E3141E" w:rsidR="005E16E8" w:rsidRDefault="005E16E8" w:rsidP="0018299E">
      <w:pPr>
        <w:pStyle w:val="Prrafodelista"/>
        <w:numPr>
          <w:ilvl w:val="0"/>
          <w:numId w:val="104"/>
        </w:numPr>
        <w:tabs>
          <w:tab w:val="left" w:pos="567"/>
        </w:tabs>
        <w:autoSpaceDE w:val="0"/>
        <w:autoSpaceDN w:val="0"/>
        <w:ind w:left="284" w:right="117" w:firstLine="0"/>
        <w:contextualSpacing w:val="0"/>
        <w:rPr>
          <w:rFonts w:asciiTheme="majorHAnsi" w:hAnsiTheme="majorHAnsi" w:cs="Times New Roman"/>
          <w:szCs w:val="22"/>
        </w:rPr>
      </w:pPr>
      <w:r w:rsidRPr="00CC2C2B">
        <w:rPr>
          <w:rFonts w:asciiTheme="majorHAnsi" w:hAnsiTheme="majorHAnsi" w:cs="Times New Roman"/>
          <w:b/>
          <w:szCs w:val="22"/>
        </w:rPr>
        <w:t xml:space="preserve">Uso Acuícola. - </w:t>
      </w:r>
      <w:r w:rsidRPr="00CC2C2B">
        <w:rPr>
          <w:rFonts w:asciiTheme="majorHAnsi" w:hAnsiTheme="majorHAnsi" w:cs="Times New Roman"/>
          <w:szCs w:val="22"/>
        </w:rPr>
        <w:t>Corresponde a áreas en suelo rural, en espacios</w:t>
      </w:r>
      <w:r w:rsidRPr="00CC2C2B">
        <w:rPr>
          <w:rFonts w:asciiTheme="majorHAnsi" w:hAnsiTheme="majorHAnsi" w:cs="Times New Roman"/>
          <w:spacing w:val="1"/>
          <w:szCs w:val="22"/>
        </w:rPr>
        <w:t xml:space="preserve"> </w:t>
      </w:r>
      <w:r w:rsidRPr="00CC2C2B">
        <w:rPr>
          <w:rFonts w:asciiTheme="majorHAnsi" w:hAnsiTheme="majorHAnsi" w:cs="Times New Roman"/>
          <w:szCs w:val="22"/>
        </w:rPr>
        <w:t>cerrados, destinados al cultivo, manejo y cosecha de especies de peces</w:t>
      </w:r>
      <w:r w:rsidRPr="00CC2C2B">
        <w:rPr>
          <w:rFonts w:asciiTheme="majorHAnsi" w:hAnsiTheme="majorHAnsi" w:cs="Times New Roman"/>
          <w:spacing w:val="1"/>
          <w:szCs w:val="22"/>
        </w:rPr>
        <w:t xml:space="preserve"> </w:t>
      </w:r>
      <w:r w:rsidRPr="00CC2C2B">
        <w:rPr>
          <w:rFonts w:asciiTheme="majorHAnsi" w:hAnsiTheme="majorHAnsi" w:cs="Times New Roman"/>
          <w:szCs w:val="22"/>
        </w:rPr>
        <w:t>y</w:t>
      </w:r>
      <w:r w:rsidRPr="00CC2C2B">
        <w:rPr>
          <w:rFonts w:asciiTheme="majorHAnsi" w:hAnsiTheme="majorHAnsi" w:cs="Times New Roman"/>
          <w:spacing w:val="-12"/>
          <w:szCs w:val="22"/>
        </w:rPr>
        <w:t xml:space="preserve"> </w:t>
      </w:r>
      <w:r w:rsidRPr="00CC2C2B">
        <w:rPr>
          <w:rFonts w:asciiTheme="majorHAnsi" w:hAnsiTheme="majorHAnsi" w:cs="Times New Roman"/>
          <w:szCs w:val="22"/>
        </w:rPr>
        <w:t>crustáceos</w:t>
      </w:r>
      <w:r w:rsidRPr="00CC2C2B">
        <w:rPr>
          <w:rFonts w:asciiTheme="majorHAnsi" w:hAnsiTheme="majorHAnsi" w:cs="Times New Roman"/>
          <w:spacing w:val="-14"/>
          <w:szCs w:val="22"/>
        </w:rPr>
        <w:t xml:space="preserve"> </w:t>
      </w:r>
      <w:r w:rsidRPr="00CC2C2B">
        <w:rPr>
          <w:rFonts w:asciiTheme="majorHAnsi" w:hAnsiTheme="majorHAnsi" w:cs="Times New Roman"/>
          <w:szCs w:val="22"/>
        </w:rPr>
        <w:t>para</w:t>
      </w:r>
      <w:r w:rsidRPr="00CC2C2B">
        <w:rPr>
          <w:rFonts w:asciiTheme="majorHAnsi" w:hAnsiTheme="majorHAnsi" w:cs="Times New Roman"/>
          <w:spacing w:val="-13"/>
          <w:szCs w:val="22"/>
        </w:rPr>
        <w:t xml:space="preserve"> </w:t>
      </w:r>
      <w:r w:rsidRPr="00CC2C2B">
        <w:rPr>
          <w:rFonts w:asciiTheme="majorHAnsi" w:hAnsiTheme="majorHAnsi" w:cs="Times New Roman"/>
          <w:szCs w:val="22"/>
        </w:rPr>
        <w:t>el</w:t>
      </w:r>
      <w:r w:rsidRPr="00CC2C2B">
        <w:rPr>
          <w:rFonts w:asciiTheme="majorHAnsi" w:hAnsiTheme="majorHAnsi" w:cs="Times New Roman"/>
          <w:spacing w:val="-13"/>
          <w:szCs w:val="22"/>
        </w:rPr>
        <w:t xml:space="preserve"> </w:t>
      </w:r>
      <w:r w:rsidRPr="00CC2C2B">
        <w:rPr>
          <w:rFonts w:asciiTheme="majorHAnsi" w:hAnsiTheme="majorHAnsi" w:cs="Times New Roman"/>
          <w:szCs w:val="22"/>
        </w:rPr>
        <w:t>consumo</w:t>
      </w:r>
      <w:r w:rsidRPr="00CC2C2B">
        <w:rPr>
          <w:rFonts w:asciiTheme="majorHAnsi" w:hAnsiTheme="majorHAnsi" w:cs="Times New Roman"/>
          <w:spacing w:val="-13"/>
          <w:szCs w:val="22"/>
        </w:rPr>
        <w:t xml:space="preserve"> </w:t>
      </w:r>
      <w:r w:rsidRPr="00CC2C2B">
        <w:rPr>
          <w:rFonts w:asciiTheme="majorHAnsi" w:hAnsiTheme="majorHAnsi" w:cs="Times New Roman"/>
          <w:szCs w:val="22"/>
        </w:rPr>
        <w:t>humano.</w:t>
      </w:r>
      <w:r w:rsidRPr="00CC2C2B">
        <w:rPr>
          <w:rFonts w:asciiTheme="majorHAnsi" w:hAnsiTheme="majorHAnsi" w:cs="Times New Roman"/>
          <w:spacing w:val="-12"/>
          <w:szCs w:val="22"/>
        </w:rPr>
        <w:t xml:space="preserve"> </w:t>
      </w:r>
      <w:r w:rsidRPr="00CC2C2B">
        <w:rPr>
          <w:rFonts w:asciiTheme="majorHAnsi" w:hAnsiTheme="majorHAnsi" w:cs="Times New Roman"/>
          <w:szCs w:val="22"/>
        </w:rPr>
        <w:t>La</w:t>
      </w:r>
      <w:r w:rsidRPr="00CC2C2B">
        <w:rPr>
          <w:rFonts w:asciiTheme="majorHAnsi" w:hAnsiTheme="majorHAnsi" w:cs="Times New Roman"/>
          <w:spacing w:val="-13"/>
          <w:szCs w:val="22"/>
        </w:rPr>
        <w:t xml:space="preserve"> </w:t>
      </w:r>
      <w:r w:rsidRPr="00CC2C2B">
        <w:rPr>
          <w:rFonts w:asciiTheme="majorHAnsi" w:hAnsiTheme="majorHAnsi" w:cs="Times New Roman"/>
          <w:szCs w:val="22"/>
        </w:rPr>
        <w:t>determinación</w:t>
      </w:r>
      <w:r w:rsidRPr="00CC2C2B">
        <w:rPr>
          <w:rFonts w:asciiTheme="majorHAnsi" w:hAnsiTheme="majorHAnsi" w:cs="Times New Roman"/>
          <w:spacing w:val="-13"/>
          <w:szCs w:val="22"/>
        </w:rPr>
        <w:t xml:space="preserve"> </w:t>
      </w:r>
      <w:r w:rsidRPr="00CC2C2B">
        <w:rPr>
          <w:rFonts w:asciiTheme="majorHAnsi" w:hAnsiTheme="majorHAnsi" w:cs="Times New Roman"/>
          <w:szCs w:val="22"/>
        </w:rPr>
        <w:t>del</w:t>
      </w:r>
      <w:r w:rsidRPr="00CC2C2B">
        <w:rPr>
          <w:rFonts w:asciiTheme="majorHAnsi" w:hAnsiTheme="majorHAnsi" w:cs="Times New Roman"/>
          <w:spacing w:val="-13"/>
          <w:szCs w:val="22"/>
        </w:rPr>
        <w:t xml:space="preserve"> </w:t>
      </w:r>
      <w:r w:rsidRPr="00CC2C2B">
        <w:rPr>
          <w:rFonts w:asciiTheme="majorHAnsi" w:hAnsiTheme="majorHAnsi" w:cs="Times New Roman"/>
          <w:szCs w:val="22"/>
        </w:rPr>
        <w:t>uso</w:t>
      </w:r>
      <w:r w:rsidRPr="00CC2C2B">
        <w:rPr>
          <w:rFonts w:asciiTheme="majorHAnsi" w:hAnsiTheme="majorHAnsi" w:cs="Times New Roman"/>
          <w:spacing w:val="-12"/>
          <w:szCs w:val="22"/>
        </w:rPr>
        <w:t xml:space="preserve"> </w:t>
      </w:r>
      <w:r w:rsidRPr="00CC2C2B">
        <w:rPr>
          <w:rFonts w:asciiTheme="majorHAnsi" w:hAnsiTheme="majorHAnsi" w:cs="Times New Roman"/>
          <w:szCs w:val="22"/>
        </w:rPr>
        <w:t>de</w:t>
      </w:r>
      <w:r w:rsidRPr="00CC2C2B">
        <w:rPr>
          <w:rFonts w:asciiTheme="majorHAnsi" w:hAnsiTheme="majorHAnsi" w:cs="Times New Roman"/>
          <w:spacing w:val="-13"/>
          <w:szCs w:val="22"/>
        </w:rPr>
        <w:t xml:space="preserve"> </w:t>
      </w:r>
      <w:r w:rsidRPr="00CC2C2B">
        <w:rPr>
          <w:rFonts w:asciiTheme="majorHAnsi" w:hAnsiTheme="majorHAnsi" w:cs="Times New Roman"/>
          <w:szCs w:val="22"/>
        </w:rPr>
        <w:t>suelo</w:t>
      </w:r>
      <w:r w:rsidR="004E346A" w:rsidRPr="00CC2C2B">
        <w:rPr>
          <w:rFonts w:asciiTheme="majorHAnsi" w:hAnsiTheme="majorHAnsi" w:cs="Times New Roman"/>
          <w:szCs w:val="22"/>
        </w:rPr>
        <w:t xml:space="preserve"> </w:t>
      </w:r>
      <w:r w:rsidR="004E346A" w:rsidRPr="00CC2C2B">
        <w:rPr>
          <w:rFonts w:asciiTheme="majorHAnsi" w:hAnsiTheme="majorHAnsi" w:cs="Times New Roman"/>
          <w:spacing w:val="-64"/>
          <w:szCs w:val="22"/>
        </w:rPr>
        <w:t xml:space="preserve"> </w:t>
      </w:r>
      <w:r w:rsidRPr="00CC2C2B">
        <w:rPr>
          <w:rFonts w:asciiTheme="majorHAnsi" w:hAnsiTheme="majorHAnsi" w:cs="Times New Roman"/>
          <w:szCs w:val="22"/>
        </w:rPr>
        <w:t>acuícola se debe establecer en función de parámetros normativos que</w:t>
      </w:r>
      <w:r w:rsidRPr="00CC2C2B">
        <w:rPr>
          <w:rFonts w:asciiTheme="majorHAnsi" w:hAnsiTheme="majorHAnsi" w:cs="Times New Roman"/>
          <w:spacing w:val="1"/>
          <w:szCs w:val="22"/>
        </w:rPr>
        <w:t xml:space="preserve"> </w:t>
      </w:r>
      <w:r w:rsidRPr="00CC2C2B">
        <w:rPr>
          <w:rFonts w:asciiTheme="majorHAnsi" w:hAnsiTheme="majorHAnsi" w:cs="Times New Roman"/>
          <w:szCs w:val="22"/>
        </w:rPr>
        <w:t>establezcan</w:t>
      </w:r>
      <w:r w:rsidRPr="00CC2C2B">
        <w:rPr>
          <w:rFonts w:asciiTheme="majorHAnsi" w:hAnsiTheme="majorHAnsi" w:cs="Times New Roman"/>
          <w:spacing w:val="1"/>
          <w:szCs w:val="22"/>
        </w:rPr>
        <w:t xml:space="preserve"> </w:t>
      </w:r>
      <w:r w:rsidRPr="00CC2C2B">
        <w:rPr>
          <w:rFonts w:asciiTheme="majorHAnsi" w:hAnsiTheme="majorHAnsi" w:cs="Times New Roman"/>
          <w:szCs w:val="22"/>
        </w:rPr>
        <w:t>fraccionamientos</w:t>
      </w:r>
      <w:r w:rsidRPr="00CC2C2B">
        <w:rPr>
          <w:rFonts w:asciiTheme="majorHAnsi" w:hAnsiTheme="majorHAnsi" w:cs="Times New Roman"/>
          <w:spacing w:val="1"/>
          <w:szCs w:val="22"/>
        </w:rPr>
        <w:t xml:space="preserve"> </w:t>
      </w:r>
      <w:r w:rsidRPr="00CC2C2B">
        <w:rPr>
          <w:rFonts w:asciiTheme="majorHAnsi" w:hAnsiTheme="majorHAnsi" w:cs="Times New Roman"/>
          <w:szCs w:val="22"/>
        </w:rPr>
        <w:t>mínimos</w:t>
      </w:r>
      <w:r w:rsidRPr="00CC2C2B">
        <w:rPr>
          <w:rFonts w:asciiTheme="majorHAnsi" w:hAnsiTheme="majorHAnsi" w:cs="Times New Roman"/>
          <w:spacing w:val="1"/>
          <w:szCs w:val="22"/>
        </w:rPr>
        <w:t xml:space="preserve"> </w:t>
      </w:r>
      <w:r w:rsidRPr="00CC2C2B">
        <w:rPr>
          <w:rFonts w:asciiTheme="majorHAnsi" w:hAnsiTheme="majorHAnsi" w:cs="Times New Roman"/>
          <w:szCs w:val="22"/>
        </w:rPr>
        <w:t>de</w:t>
      </w:r>
      <w:r w:rsidRPr="00CC2C2B">
        <w:rPr>
          <w:rFonts w:asciiTheme="majorHAnsi" w:hAnsiTheme="majorHAnsi" w:cs="Times New Roman"/>
          <w:spacing w:val="1"/>
          <w:szCs w:val="22"/>
        </w:rPr>
        <w:t xml:space="preserve"> </w:t>
      </w:r>
      <w:r w:rsidRPr="00CC2C2B">
        <w:rPr>
          <w:rFonts w:asciiTheme="majorHAnsi" w:hAnsiTheme="majorHAnsi" w:cs="Times New Roman"/>
          <w:szCs w:val="22"/>
        </w:rPr>
        <w:t>acuerdo</w:t>
      </w:r>
      <w:r w:rsidRPr="00CC2C2B">
        <w:rPr>
          <w:rFonts w:asciiTheme="majorHAnsi" w:hAnsiTheme="majorHAnsi" w:cs="Times New Roman"/>
          <w:spacing w:val="1"/>
          <w:szCs w:val="22"/>
        </w:rPr>
        <w:t xml:space="preserve"> </w:t>
      </w:r>
      <w:r w:rsidRPr="00CC2C2B">
        <w:rPr>
          <w:rFonts w:asciiTheme="majorHAnsi" w:hAnsiTheme="majorHAnsi" w:cs="Times New Roman"/>
          <w:szCs w:val="22"/>
        </w:rPr>
        <w:t>con</w:t>
      </w:r>
      <w:r w:rsidRPr="00CC2C2B">
        <w:rPr>
          <w:rFonts w:asciiTheme="majorHAnsi" w:hAnsiTheme="majorHAnsi" w:cs="Times New Roman"/>
          <w:spacing w:val="1"/>
          <w:szCs w:val="22"/>
        </w:rPr>
        <w:t xml:space="preserve"> </w:t>
      </w:r>
      <w:r w:rsidRPr="00CC2C2B">
        <w:rPr>
          <w:rFonts w:asciiTheme="majorHAnsi" w:hAnsiTheme="majorHAnsi" w:cs="Times New Roman"/>
          <w:szCs w:val="22"/>
        </w:rPr>
        <w:t>factores</w:t>
      </w:r>
      <w:r w:rsidRPr="00CC2C2B">
        <w:rPr>
          <w:rFonts w:asciiTheme="majorHAnsi" w:hAnsiTheme="majorHAnsi" w:cs="Times New Roman"/>
          <w:spacing w:val="1"/>
          <w:szCs w:val="22"/>
        </w:rPr>
        <w:t xml:space="preserve"> </w:t>
      </w:r>
      <w:r w:rsidRPr="00CC2C2B">
        <w:rPr>
          <w:rFonts w:asciiTheme="majorHAnsi" w:hAnsiTheme="majorHAnsi" w:cs="Times New Roman"/>
          <w:szCs w:val="22"/>
        </w:rPr>
        <w:t>que</w:t>
      </w:r>
      <w:r w:rsidRPr="00CC2C2B">
        <w:rPr>
          <w:rFonts w:asciiTheme="majorHAnsi" w:hAnsiTheme="majorHAnsi" w:cs="Times New Roman"/>
          <w:spacing w:val="1"/>
          <w:szCs w:val="22"/>
        </w:rPr>
        <w:t xml:space="preserve"> </w:t>
      </w:r>
      <w:r w:rsidRPr="00CC2C2B">
        <w:rPr>
          <w:rFonts w:asciiTheme="majorHAnsi" w:hAnsiTheme="majorHAnsi" w:cs="Times New Roman"/>
          <w:szCs w:val="22"/>
        </w:rPr>
        <w:t>garanticen</w:t>
      </w:r>
      <w:r w:rsidRPr="00CC2C2B">
        <w:rPr>
          <w:rFonts w:asciiTheme="majorHAnsi" w:hAnsiTheme="majorHAnsi" w:cs="Times New Roman"/>
          <w:spacing w:val="-11"/>
          <w:szCs w:val="22"/>
        </w:rPr>
        <w:t xml:space="preserve"> </w:t>
      </w:r>
      <w:r w:rsidRPr="00CC2C2B">
        <w:rPr>
          <w:rFonts w:asciiTheme="majorHAnsi" w:hAnsiTheme="majorHAnsi" w:cs="Times New Roman"/>
          <w:szCs w:val="22"/>
        </w:rPr>
        <w:t>su</w:t>
      </w:r>
      <w:r w:rsidRPr="00CC2C2B">
        <w:rPr>
          <w:rFonts w:asciiTheme="majorHAnsi" w:hAnsiTheme="majorHAnsi" w:cs="Times New Roman"/>
          <w:spacing w:val="-12"/>
          <w:szCs w:val="22"/>
        </w:rPr>
        <w:t xml:space="preserve"> </w:t>
      </w:r>
      <w:r w:rsidRPr="00CC2C2B">
        <w:rPr>
          <w:rFonts w:asciiTheme="majorHAnsi" w:hAnsiTheme="majorHAnsi" w:cs="Times New Roman"/>
          <w:szCs w:val="22"/>
        </w:rPr>
        <w:t>preservación</w:t>
      </w:r>
      <w:r w:rsidRPr="00CC2C2B">
        <w:rPr>
          <w:rFonts w:asciiTheme="majorHAnsi" w:hAnsiTheme="majorHAnsi" w:cs="Times New Roman"/>
          <w:spacing w:val="-10"/>
          <w:szCs w:val="22"/>
        </w:rPr>
        <w:t xml:space="preserve"> </w:t>
      </w:r>
      <w:r w:rsidRPr="00CC2C2B">
        <w:rPr>
          <w:rFonts w:asciiTheme="majorHAnsi" w:hAnsiTheme="majorHAnsi" w:cs="Times New Roman"/>
          <w:szCs w:val="22"/>
        </w:rPr>
        <w:t>de</w:t>
      </w:r>
      <w:r w:rsidRPr="00CC2C2B">
        <w:rPr>
          <w:rFonts w:asciiTheme="majorHAnsi" w:hAnsiTheme="majorHAnsi" w:cs="Times New Roman"/>
          <w:spacing w:val="-12"/>
          <w:szCs w:val="22"/>
        </w:rPr>
        <w:t xml:space="preserve"> </w:t>
      </w:r>
      <w:r w:rsidRPr="00CC2C2B">
        <w:rPr>
          <w:rFonts w:asciiTheme="majorHAnsi" w:hAnsiTheme="majorHAnsi" w:cs="Times New Roman"/>
          <w:szCs w:val="22"/>
        </w:rPr>
        <w:t>usos</w:t>
      </w:r>
      <w:r w:rsidRPr="00CC2C2B">
        <w:rPr>
          <w:rFonts w:asciiTheme="majorHAnsi" w:hAnsiTheme="majorHAnsi" w:cs="Times New Roman"/>
          <w:spacing w:val="-13"/>
          <w:szCs w:val="22"/>
        </w:rPr>
        <w:t xml:space="preserve"> </w:t>
      </w:r>
      <w:r w:rsidRPr="00CC2C2B">
        <w:rPr>
          <w:rFonts w:asciiTheme="majorHAnsi" w:hAnsiTheme="majorHAnsi" w:cs="Times New Roman"/>
          <w:szCs w:val="22"/>
        </w:rPr>
        <w:t>e</w:t>
      </w:r>
      <w:r w:rsidRPr="00CC2C2B">
        <w:rPr>
          <w:rFonts w:asciiTheme="majorHAnsi" w:hAnsiTheme="majorHAnsi" w:cs="Times New Roman"/>
          <w:spacing w:val="-11"/>
          <w:szCs w:val="22"/>
        </w:rPr>
        <w:t xml:space="preserve"> </w:t>
      </w:r>
      <w:r w:rsidRPr="00CC2C2B">
        <w:rPr>
          <w:rFonts w:asciiTheme="majorHAnsi" w:hAnsiTheme="majorHAnsi" w:cs="Times New Roman"/>
          <w:szCs w:val="22"/>
        </w:rPr>
        <w:t>impidan</w:t>
      </w:r>
      <w:r w:rsidRPr="00CC2C2B">
        <w:rPr>
          <w:rFonts w:asciiTheme="majorHAnsi" w:hAnsiTheme="majorHAnsi" w:cs="Times New Roman"/>
          <w:spacing w:val="-12"/>
          <w:szCs w:val="22"/>
        </w:rPr>
        <w:t xml:space="preserve"> </w:t>
      </w:r>
      <w:r w:rsidRPr="00CC2C2B">
        <w:rPr>
          <w:rFonts w:asciiTheme="majorHAnsi" w:hAnsiTheme="majorHAnsi" w:cs="Times New Roman"/>
          <w:szCs w:val="22"/>
        </w:rPr>
        <w:t>la</w:t>
      </w:r>
      <w:r w:rsidRPr="00CC2C2B">
        <w:rPr>
          <w:rFonts w:asciiTheme="majorHAnsi" w:hAnsiTheme="majorHAnsi" w:cs="Times New Roman"/>
          <w:spacing w:val="-10"/>
          <w:szCs w:val="22"/>
        </w:rPr>
        <w:t xml:space="preserve"> </w:t>
      </w:r>
      <w:r w:rsidRPr="00CC2C2B">
        <w:rPr>
          <w:rFonts w:asciiTheme="majorHAnsi" w:hAnsiTheme="majorHAnsi" w:cs="Times New Roman"/>
          <w:szCs w:val="22"/>
        </w:rPr>
        <w:t>urbanización</w:t>
      </w:r>
    </w:p>
    <w:p w14:paraId="775F4E9F" w14:textId="77777777" w:rsidR="00AA4606" w:rsidRPr="00AA4606" w:rsidRDefault="00AA4606" w:rsidP="00AA4606">
      <w:pPr>
        <w:tabs>
          <w:tab w:val="left" w:pos="567"/>
        </w:tabs>
        <w:autoSpaceDE w:val="0"/>
        <w:autoSpaceDN w:val="0"/>
        <w:ind w:right="117"/>
        <w:rPr>
          <w:rFonts w:asciiTheme="majorHAnsi" w:hAnsiTheme="majorHAnsi" w:cs="Times New Roman"/>
          <w:szCs w:val="22"/>
        </w:rPr>
      </w:pPr>
    </w:p>
    <w:p w14:paraId="2420F517" w14:textId="77777777" w:rsidR="005E16E8" w:rsidRPr="00B24A80" w:rsidRDefault="005E16E8" w:rsidP="00CA24CF">
      <w:pPr>
        <w:pStyle w:val="Prrafodelista"/>
        <w:numPr>
          <w:ilvl w:val="0"/>
          <w:numId w:val="104"/>
        </w:numPr>
        <w:tabs>
          <w:tab w:val="left" w:pos="567"/>
          <w:tab w:val="left" w:pos="1098"/>
        </w:tabs>
        <w:autoSpaceDE w:val="0"/>
        <w:autoSpaceDN w:val="0"/>
        <w:ind w:left="284" w:right="112" w:firstLine="0"/>
        <w:contextualSpacing w:val="0"/>
        <w:rPr>
          <w:rFonts w:asciiTheme="majorHAnsi" w:hAnsiTheme="majorHAnsi" w:cs="Times New Roman"/>
          <w:szCs w:val="22"/>
        </w:rPr>
      </w:pPr>
      <w:r w:rsidRPr="00B24A80">
        <w:rPr>
          <w:rFonts w:asciiTheme="majorHAnsi" w:hAnsiTheme="majorHAnsi" w:cs="Times New Roman"/>
          <w:b/>
          <w:szCs w:val="22"/>
        </w:rPr>
        <w:t>Uso de Protección Ecológica</w:t>
      </w:r>
      <w:r w:rsidRPr="00B24A80">
        <w:rPr>
          <w:rFonts w:asciiTheme="majorHAnsi" w:hAnsiTheme="majorHAnsi" w:cs="Times New Roman"/>
          <w:szCs w:val="22"/>
        </w:rPr>
        <w:t>. - Es un suelo rural o urbano con usos</w:t>
      </w:r>
      <w:r w:rsidRPr="00B24A80">
        <w:rPr>
          <w:rFonts w:asciiTheme="majorHAnsi" w:hAnsiTheme="majorHAnsi" w:cs="Times New Roman"/>
          <w:spacing w:val="1"/>
          <w:szCs w:val="22"/>
        </w:rPr>
        <w:t xml:space="preserve"> </w:t>
      </w:r>
      <w:r w:rsidRPr="00B24A80">
        <w:rPr>
          <w:rFonts w:asciiTheme="majorHAnsi" w:hAnsiTheme="majorHAnsi" w:cs="Times New Roman"/>
          <w:szCs w:val="22"/>
        </w:rPr>
        <w:t>destinados</w:t>
      </w:r>
      <w:r w:rsidRPr="00B24A80">
        <w:rPr>
          <w:rFonts w:asciiTheme="majorHAnsi" w:hAnsiTheme="majorHAnsi" w:cs="Times New Roman"/>
          <w:spacing w:val="1"/>
          <w:szCs w:val="22"/>
        </w:rPr>
        <w:t xml:space="preserve"> </w:t>
      </w:r>
      <w:r w:rsidRPr="00B24A80">
        <w:rPr>
          <w:rFonts w:asciiTheme="majorHAnsi" w:hAnsiTheme="majorHAnsi" w:cs="Times New Roman"/>
          <w:szCs w:val="22"/>
        </w:rPr>
        <w:t>a</w:t>
      </w:r>
      <w:r w:rsidRPr="00B24A80">
        <w:rPr>
          <w:rFonts w:asciiTheme="majorHAnsi" w:hAnsiTheme="majorHAnsi" w:cs="Times New Roman"/>
          <w:spacing w:val="1"/>
          <w:szCs w:val="22"/>
        </w:rPr>
        <w:t xml:space="preserve"> </w:t>
      </w:r>
      <w:r w:rsidRPr="00B24A80">
        <w:rPr>
          <w:rFonts w:asciiTheme="majorHAnsi" w:hAnsiTheme="majorHAnsi" w:cs="Times New Roman"/>
          <w:szCs w:val="22"/>
        </w:rPr>
        <w:t>la</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conservación</w:t>
      </w:r>
      <w:r w:rsidRPr="00B24A80">
        <w:rPr>
          <w:rFonts w:asciiTheme="majorHAnsi" w:hAnsiTheme="majorHAnsi" w:cs="Times New Roman"/>
          <w:spacing w:val="1"/>
          <w:szCs w:val="22"/>
        </w:rPr>
        <w:t xml:space="preserve"> </w:t>
      </w:r>
      <w:r w:rsidRPr="00B24A80">
        <w:rPr>
          <w:rFonts w:asciiTheme="majorHAnsi" w:hAnsiTheme="majorHAnsi" w:cs="Times New Roman"/>
          <w:szCs w:val="22"/>
        </w:rPr>
        <w:t>del</w:t>
      </w:r>
      <w:r w:rsidRPr="00B24A80">
        <w:rPr>
          <w:rFonts w:asciiTheme="majorHAnsi" w:hAnsiTheme="majorHAnsi" w:cs="Times New Roman"/>
          <w:spacing w:val="1"/>
          <w:szCs w:val="22"/>
        </w:rPr>
        <w:t xml:space="preserve"> </w:t>
      </w:r>
      <w:r w:rsidRPr="00B24A80">
        <w:rPr>
          <w:rFonts w:asciiTheme="majorHAnsi" w:hAnsiTheme="majorHAnsi" w:cs="Times New Roman"/>
          <w:szCs w:val="22"/>
        </w:rPr>
        <w:t>patrimonio</w:t>
      </w:r>
      <w:r w:rsidRPr="00B24A80">
        <w:rPr>
          <w:rFonts w:asciiTheme="majorHAnsi" w:hAnsiTheme="majorHAnsi" w:cs="Times New Roman"/>
          <w:spacing w:val="1"/>
          <w:szCs w:val="22"/>
        </w:rPr>
        <w:t xml:space="preserve"> </w:t>
      </w:r>
      <w:r w:rsidRPr="00B24A80">
        <w:rPr>
          <w:rFonts w:asciiTheme="majorHAnsi" w:hAnsiTheme="majorHAnsi" w:cs="Times New Roman"/>
          <w:szCs w:val="22"/>
        </w:rPr>
        <w:t>natural</w:t>
      </w:r>
      <w:r w:rsidRPr="00B24A80">
        <w:rPr>
          <w:rFonts w:asciiTheme="majorHAnsi" w:hAnsiTheme="majorHAnsi" w:cs="Times New Roman"/>
          <w:spacing w:val="1"/>
          <w:szCs w:val="22"/>
        </w:rPr>
        <w:t xml:space="preserve"> </w:t>
      </w:r>
      <w:r w:rsidRPr="00B24A80">
        <w:rPr>
          <w:rFonts w:asciiTheme="majorHAnsi" w:hAnsiTheme="majorHAnsi" w:cs="Times New Roman"/>
          <w:szCs w:val="22"/>
        </w:rPr>
        <w:t>que</w:t>
      </w:r>
      <w:r w:rsidRPr="00B24A80">
        <w:rPr>
          <w:rFonts w:asciiTheme="majorHAnsi" w:hAnsiTheme="majorHAnsi" w:cs="Times New Roman"/>
          <w:spacing w:val="1"/>
          <w:szCs w:val="22"/>
        </w:rPr>
        <w:t xml:space="preserve"> </w:t>
      </w:r>
      <w:r w:rsidRPr="00B24A80">
        <w:rPr>
          <w:rFonts w:asciiTheme="majorHAnsi" w:hAnsiTheme="majorHAnsi" w:cs="Times New Roman"/>
          <w:szCs w:val="22"/>
        </w:rPr>
        <w:t>asegure</w:t>
      </w:r>
      <w:r w:rsidRPr="00B24A80">
        <w:rPr>
          <w:rFonts w:asciiTheme="majorHAnsi" w:hAnsiTheme="majorHAnsi" w:cs="Times New Roman"/>
          <w:spacing w:val="1"/>
          <w:szCs w:val="22"/>
        </w:rPr>
        <w:t xml:space="preserve"> </w:t>
      </w:r>
      <w:r w:rsidRPr="00B24A80">
        <w:rPr>
          <w:rFonts w:asciiTheme="majorHAnsi" w:hAnsiTheme="majorHAnsi" w:cs="Times New Roman"/>
          <w:szCs w:val="22"/>
        </w:rPr>
        <w:t>la</w:t>
      </w:r>
      <w:r w:rsidRPr="00B24A80">
        <w:rPr>
          <w:rFonts w:asciiTheme="majorHAnsi" w:hAnsiTheme="majorHAnsi" w:cs="Times New Roman"/>
          <w:spacing w:val="1"/>
          <w:szCs w:val="22"/>
        </w:rPr>
        <w:t xml:space="preserve"> </w:t>
      </w:r>
      <w:r w:rsidRPr="00B24A80">
        <w:rPr>
          <w:rFonts w:asciiTheme="majorHAnsi" w:hAnsiTheme="majorHAnsi" w:cs="Times New Roman"/>
          <w:spacing w:val="-1"/>
          <w:szCs w:val="22"/>
        </w:rPr>
        <w:t>gestión</w:t>
      </w:r>
      <w:r w:rsidRPr="00B24A80">
        <w:rPr>
          <w:rFonts w:asciiTheme="majorHAnsi" w:hAnsiTheme="majorHAnsi" w:cs="Times New Roman"/>
          <w:spacing w:val="-16"/>
          <w:szCs w:val="22"/>
        </w:rPr>
        <w:t xml:space="preserve"> </w:t>
      </w:r>
      <w:r w:rsidRPr="00B24A80">
        <w:rPr>
          <w:rFonts w:asciiTheme="majorHAnsi" w:hAnsiTheme="majorHAnsi" w:cs="Times New Roman"/>
          <w:spacing w:val="-1"/>
          <w:szCs w:val="22"/>
        </w:rPr>
        <w:t>ambiental</w:t>
      </w:r>
      <w:r w:rsidRPr="00B24A80">
        <w:rPr>
          <w:rFonts w:asciiTheme="majorHAnsi" w:hAnsiTheme="majorHAnsi" w:cs="Times New Roman"/>
          <w:spacing w:val="-17"/>
          <w:szCs w:val="22"/>
        </w:rPr>
        <w:t xml:space="preserve"> </w:t>
      </w:r>
      <w:r w:rsidRPr="00B24A80">
        <w:rPr>
          <w:rFonts w:asciiTheme="majorHAnsi" w:hAnsiTheme="majorHAnsi" w:cs="Times New Roman"/>
          <w:spacing w:val="-1"/>
          <w:szCs w:val="22"/>
        </w:rPr>
        <w:t>y</w:t>
      </w:r>
      <w:r w:rsidRPr="00B24A80">
        <w:rPr>
          <w:rFonts w:asciiTheme="majorHAnsi" w:hAnsiTheme="majorHAnsi" w:cs="Times New Roman"/>
          <w:spacing w:val="-16"/>
          <w:szCs w:val="22"/>
        </w:rPr>
        <w:t xml:space="preserve"> </w:t>
      </w:r>
      <w:r w:rsidRPr="00B24A80">
        <w:rPr>
          <w:rFonts w:asciiTheme="majorHAnsi" w:hAnsiTheme="majorHAnsi" w:cs="Times New Roman"/>
          <w:spacing w:val="-1"/>
          <w:szCs w:val="22"/>
        </w:rPr>
        <w:t>ecológica.</w:t>
      </w:r>
      <w:r w:rsidRPr="00B24A80">
        <w:rPr>
          <w:rFonts w:asciiTheme="majorHAnsi" w:hAnsiTheme="majorHAnsi" w:cs="Times New Roman"/>
          <w:spacing w:val="-16"/>
          <w:szCs w:val="22"/>
        </w:rPr>
        <w:t xml:space="preserve"> </w:t>
      </w:r>
      <w:r w:rsidRPr="00B24A80">
        <w:rPr>
          <w:rFonts w:asciiTheme="majorHAnsi" w:hAnsiTheme="majorHAnsi" w:cs="Times New Roman"/>
          <w:szCs w:val="22"/>
        </w:rPr>
        <w:t>El</w:t>
      </w:r>
      <w:r w:rsidRPr="00B24A80">
        <w:rPr>
          <w:rFonts w:asciiTheme="majorHAnsi" w:hAnsiTheme="majorHAnsi" w:cs="Times New Roman"/>
          <w:spacing w:val="-17"/>
          <w:szCs w:val="22"/>
        </w:rPr>
        <w:t xml:space="preserve"> </w:t>
      </w:r>
      <w:r w:rsidRPr="00B24A80">
        <w:rPr>
          <w:rFonts w:asciiTheme="majorHAnsi" w:hAnsiTheme="majorHAnsi" w:cs="Times New Roman"/>
          <w:szCs w:val="22"/>
        </w:rPr>
        <w:t>uso</w:t>
      </w:r>
      <w:r w:rsidRPr="00B24A80">
        <w:rPr>
          <w:rFonts w:asciiTheme="majorHAnsi" w:hAnsiTheme="majorHAnsi" w:cs="Times New Roman"/>
          <w:spacing w:val="-15"/>
          <w:szCs w:val="22"/>
        </w:rPr>
        <w:t xml:space="preserve"> </w:t>
      </w:r>
      <w:r w:rsidRPr="00B24A80">
        <w:rPr>
          <w:rFonts w:asciiTheme="majorHAnsi" w:hAnsiTheme="majorHAnsi" w:cs="Times New Roman"/>
          <w:szCs w:val="22"/>
        </w:rPr>
        <w:t>de</w:t>
      </w:r>
      <w:r w:rsidRPr="00B24A80">
        <w:rPr>
          <w:rFonts w:asciiTheme="majorHAnsi" w:hAnsiTheme="majorHAnsi" w:cs="Times New Roman"/>
          <w:spacing w:val="-16"/>
          <w:szCs w:val="22"/>
        </w:rPr>
        <w:t xml:space="preserve"> </w:t>
      </w:r>
      <w:r w:rsidRPr="00B24A80">
        <w:rPr>
          <w:rFonts w:asciiTheme="majorHAnsi" w:hAnsiTheme="majorHAnsi" w:cs="Times New Roman"/>
          <w:szCs w:val="22"/>
        </w:rPr>
        <w:t>protección</w:t>
      </w:r>
      <w:r w:rsidRPr="00B24A80">
        <w:rPr>
          <w:rFonts w:asciiTheme="majorHAnsi" w:hAnsiTheme="majorHAnsi" w:cs="Times New Roman"/>
          <w:spacing w:val="-16"/>
          <w:szCs w:val="22"/>
        </w:rPr>
        <w:t xml:space="preserve"> </w:t>
      </w:r>
      <w:r w:rsidRPr="00B24A80">
        <w:rPr>
          <w:rFonts w:asciiTheme="majorHAnsi" w:hAnsiTheme="majorHAnsi" w:cs="Times New Roman"/>
          <w:szCs w:val="22"/>
        </w:rPr>
        <w:t>ecológica</w:t>
      </w:r>
      <w:r w:rsidRPr="00B24A80">
        <w:rPr>
          <w:rFonts w:asciiTheme="majorHAnsi" w:hAnsiTheme="majorHAnsi" w:cs="Times New Roman"/>
          <w:spacing w:val="-15"/>
          <w:szCs w:val="22"/>
        </w:rPr>
        <w:t xml:space="preserve"> </w:t>
      </w:r>
      <w:r w:rsidRPr="00B24A80">
        <w:rPr>
          <w:rFonts w:asciiTheme="majorHAnsi" w:hAnsiTheme="majorHAnsi" w:cs="Times New Roman"/>
          <w:szCs w:val="22"/>
        </w:rPr>
        <w:t>corresponde</w:t>
      </w:r>
      <w:r w:rsidRPr="00B24A80">
        <w:rPr>
          <w:rFonts w:asciiTheme="majorHAnsi" w:hAnsiTheme="majorHAnsi" w:cs="Times New Roman"/>
          <w:spacing w:val="-64"/>
          <w:szCs w:val="22"/>
        </w:rPr>
        <w:t xml:space="preserve"> </w:t>
      </w:r>
      <w:r w:rsidRPr="00B24A80">
        <w:rPr>
          <w:rFonts w:asciiTheme="majorHAnsi" w:hAnsiTheme="majorHAnsi" w:cs="Times New Roman"/>
          <w:szCs w:val="22"/>
        </w:rPr>
        <w:t>a</w:t>
      </w:r>
      <w:r w:rsidRPr="00B24A80">
        <w:rPr>
          <w:rFonts w:asciiTheme="majorHAnsi" w:hAnsiTheme="majorHAnsi" w:cs="Times New Roman"/>
          <w:spacing w:val="16"/>
          <w:szCs w:val="22"/>
        </w:rPr>
        <w:t xml:space="preserve"> </w:t>
      </w:r>
      <w:r w:rsidRPr="00B24A80">
        <w:rPr>
          <w:rFonts w:asciiTheme="majorHAnsi" w:hAnsiTheme="majorHAnsi" w:cs="Times New Roman"/>
          <w:szCs w:val="22"/>
        </w:rPr>
        <w:t>las</w:t>
      </w:r>
      <w:r w:rsidRPr="00B24A80">
        <w:rPr>
          <w:rFonts w:asciiTheme="majorHAnsi" w:hAnsiTheme="majorHAnsi" w:cs="Times New Roman"/>
          <w:spacing w:val="14"/>
          <w:szCs w:val="22"/>
        </w:rPr>
        <w:t xml:space="preserve"> </w:t>
      </w:r>
      <w:r w:rsidRPr="00B24A80">
        <w:rPr>
          <w:rFonts w:asciiTheme="majorHAnsi" w:hAnsiTheme="majorHAnsi" w:cs="Times New Roman"/>
          <w:szCs w:val="22"/>
        </w:rPr>
        <w:t>áreas</w:t>
      </w:r>
      <w:r w:rsidRPr="00B24A80">
        <w:rPr>
          <w:rFonts w:asciiTheme="majorHAnsi" w:hAnsiTheme="majorHAnsi" w:cs="Times New Roman"/>
          <w:spacing w:val="13"/>
          <w:szCs w:val="22"/>
        </w:rPr>
        <w:t xml:space="preserve"> </w:t>
      </w:r>
      <w:r w:rsidRPr="00B24A80">
        <w:rPr>
          <w:rFonts w:asciiTheme="majorHAnsi" w:hAnsiTheme="majorHAnsi" w:cs="Times New Roman"/>
          <w:szCs w:val="22"/>
        </w:rPr>
        <w:t>naturales</w:t>
      </w:r>
      <w:r w:rsidRPr="00B24A80">
        <w:rPr>
          <w:rFonts w:asciiTheme="majorHAnsi" w:hAnsiTheme="majorHAnsi" w:cs="Times New Roman"/>
          <w:spacing w:val="13"/>
          <w:szCs w:val="22"/>
        </w:rPr>
        <w:t xml:space="preserve"> </w:t>
      </w:r>
      <w:r w:rsidRPr="00B24A80">
        <w:rPr>
          <w:rFonts w:asciiTheme="majorHAnsi" w:hAnsiTheme="majorHAnsi" w:cs="Times New Roman"/>
          <w:szCs w:val="22"/>
        </w:rPr>
        <w:t>protegidas</w:t>
      </w:r>
      <w:r w:rsidRPr="00B24A80">
        <w:rPr>
          <w:rFonts w:asciiTheme="majorHAnsi" w:hAnsiTheme="majorHAnsi" w:cs="Times New Roman"/>
          <w:spacing w:val="13"/>
          <w:szCs w:val="22"/>
        </w:rPr>
        <w:t xml:space="preserve"> </w:t>
      </w:r>
      <w:r w:rsidRPr="00B24A80">
        <w:rPr>
          <w:rFonts w:asciiTheme="majorHAnsi" w:hAnsiTheme="majorHAnsi" w:cs="Times New Roman"/>
          <w:szCs w:val="22"/>
        </w:rPr>
        <w:t>que</w:t>
      </w:r>
      <w:r w:rsidRPr="00B24A80">
        <w:rPr>
          <w:rFonts w:asciiTheme="majorHAnsi" w:hAnsiTheme="majorHAnsi" w:cs="Times New Roman"/>
          <w:spacing w:val="14"/>
          <w:szCs w:val="22"/>
        </w:rPr>
        <w:t xml:space="preserve"> </w:t>
      </w:r>
      <w:r w:rsidRPr="00B24A80">
        <w:rPr>
          <w:rFonts w:asciiTheme="majorHAnsi" w:hAnsiTheme="majorHAnsi" w:cs="Times New Roman"/>
          <w:szCs w:val="22"/>
        </w:rPr>
        <w:t>forman</w:t>
      </w:r>
      <w:r w:rsidRPr="00B24A80">
        <w:rPr>
          <w:rFonts w:asciiTheme="majorHAnsi" w:hAnsiTheme="majorHAnsi" w:cs="Times New Roman"/>
          <w:spacing w:val="14"/>
          <w:szCs w:val="22"/>
        </w:rPr>
        <w:t xml:space="preserve"> </w:t>
      </w:r>
      <w:r w:rsidRPr="00B24A80">
        <w:rPr>
          <w:rFonts w:asciiTheme="majorHAnsi" w:hAnsiTheme="majorHAnsi" w:cs="Times New Roman"/>
          <w:szCs w:val="22"/>
        </w:rPr>
        <w:t>parte</w:t>
      </w:r>
      <w:r w:rsidRPr="00B24A80">
        <w:rPr>
          <w:rFonts w:asciiTheme="majorHAnsi" w:hAnsiTheme="majorHAnsi" w:cs="Times New Roman"/>
          <w:spacing w:val="14"/>
          <w:szCs w:val="22"/>
        </w:rPr>
        <w:t xml:space="preserve"> </w:t>
      </w:r>
      <w:r w:rsidRPr="00B24A80">
        <w:rPr>
          <w:rFonts w:asciiTheme="majorHAnsi" w:hAnsiTheme="majorHAnsi" w:cs="Times New Roman"/>
          <w:szCs w:val="22"/>
        </w:rPr>
        <w:t>del</w:t>
      </w:r>
      <w:r w:rsidRPr="00B24A80">
        <w:rPr>
          <w:rFonts w:asciiTheme="majorHAnsi" w:hAnsiTheme="majorHAnsi" w:cs="Times New Roman"/>
          <w:spacing w:val="13"/>
          <w:szCs w:val="22"/>
        </w:rPr>
        <w:t xml:space="preserve"> </w:t>
      </w:r>
      <w:r w:rsidRPr="00B24A80">
        <w:rPr>
          <w:rFonts w:asciiTheme="majorHAnsi" w:hAnsiTheme="majorHAnsi" w:cs="Times New Roman"/>
          <w:szCs w:val="22"/>
        </w:rPr>
        <w:t>Sistema</w:t>
      </w:r>
      <w:r w:rsidRPr="00B24A80">
        <w:rPr>
          <w:rFonts w:asciiTheme="majorHAnsi" w:hAnsiTheme="majorHAnsi" w:cs="Times New Roman"/>
          <w:spacing w:val="15"/>
          <w:szCs w:val="22"/>
        </w:rPr>
        <w:t xml:space="preserve"> </w:t>
      </w:r>
      <w:r w:rsidRPr="00B24A80">
        <w:rPr>
          <w:rFonts w:asciiTheme="majorHAnsi" w:hAnsiTheme="majorHAnsi" w:cs="Times New Roman"/>
          <w:szCs w:val="22"/>
        </w:rPr>
        <w:t>Nacional de</w:t>
      </w:r>
      <w:r w:rsidRPr="00B24A80">
        <w:rPr>
          <w:rFonts w:asciiTheme="majorHAnsi" w:hAnsiTheme="majorHAnsi" w:cs="Times New Roman"/>
          <w:spacing w:val="1"/>
          <w:szCs w:val="22"/>
        </w:rPr>
        <w:t xml:space="preserve"> </w:t>
      </w:r>
      <w:r w:rsidRPr="00B24A80">
        <w:rPr>
          <w:rFonts w:asciiTheme="majorHAnsi" w:hAnsiTheme="majorHAnsi" w:cs="Times New Roman"/>
          <w:szCs w:val="22"/>
        </w:rPr>
        <w:t>Áreas</w:t>
      </w:r>
      <w:r w:rsidRPr="00B24A80">
        <w:rPr>
          <w:rFonts w:asciiTheme="majorHAnsi" w:hAnsiTheme="majorHAnsi" w:cs="Times New Roman"/>
          <w:spacing w:val="1"/>
          <w:szCs w:val="22"/>
        </w:rPr>
        <w:t xml:space="preserve"> </w:t>
      </w:r>
      <w:r w:rsidRPr="00B24A80">
        <w:rPr>
          <w:rFonts w:asciiTheme="majorHAnsi" w:hAnsiTheme="majorHAnsi" w:cs="Times New Roman"/>
          <w:szCs w:val="22"/>
        </w:rPr>
        <w:t>Protegidas</w:t>
      </w:r>
      <w:r w:rsidRPr="00B24A80">
        <w:rPr>
          <w:rFonts w:asciiTheme="majorHAnsi" w:hAnsiTheme="majorHAnsi" w:cs="Times New Roman"/>
          <w:spacing w:val="1"/>
          <w:szCs w:val="22"/>
        </w:rPr>
        <w:t xml:space="preserve"> </w:t>
      </w:r>
      <w:r w:rsidRPr="00B24A80">
        <w:rPr>
          <w:rFonts w:asciiTheme="majorHAnsi" w:hAnsiTheme="majorHAnsi" w:cs="Times New Roman"/>
          <w:szCs w:val="22"/>
        </w:rPr>
        <w:t>o</w:t>
      </w:r>
      <w:r w:rsidRPr="00B24A80">
        <w:rPr>
          <w:rFonts w:asciiTheme="majorHAnsi" w:hAnsiTheme="majorHAnsi" w:cs="Times New Roman"/>
          <w:spacing w:val="1"/>
          <w:szCs w:val="22"/>
        </w:rPr>
        <w:t xml:space="preserve"> </w:t>
      </w:r>
      <w:r w:rsidRPr="00B24A80">
        <w:rPr>
          <w:rFonts w:asciiTheme="majorHAnsi" w:hAnsiTheme="majorHAnsi" w:cs="Times New Roman"/>
          <w:szCs w:val="22"/>
        </w:rPr>
        <w:t>aquellas</w:t>
      </w:r>
      <w:r w:rsidRPr="00B24A80">
        <w:rPr>
          <w:rFonts w:asciiTheme="majorHAnsi" w:hAnsiTheme="majorHAnsi" w:cs="Times New Roman"/>
          <w:spacing w:val="1"/>
          <w:szCs w:val="22"/>
        </w:rPr>
        <w:t xml:space="preserve"> </w:t>
      </w:r>
      <w:r w:rsidRPr="00B24A80">
        <w:rPr>
          <w:rFonts w:asciiTheme="majorHAnsi" w:hAnsiTheme="majorHAnsi" w:cs="Times New Roman"/>
          <w:szCs w:val="22"/>
        </w:rPr>
        <w:t>que</w:t>
      </w:r>
      <w:r w:rsidRPr="00B24A80">
        <w:rPr>
          <w:rFonts w:asciiTheme="majorHAnsi" w:hAnsiTheme="majorHAnsi" w:cs="Times New Roman"/>
          <w:spacing w:val="1"/>
          <w:szCs w:val="22"/>
        </w:rPr>
        <w:t xml:space="preserve"> </w:t>
      </w:r>
      <w:r w:rsidRPr="00B24A80">
        <w:rPr>
          <w:rFonts w:asciiTheme="majorHAnsi" w:hAnsiTheme="majorHAnsi" w:cs="Times New Roman"/>
          <w:szCs w:val="22"/>
        </w:rPr>
        <w:t>por</w:t>
      </w:r>
      <w:r w:rsidRPr="00B24A80">
        <w:rPr>
          <w:rFonts w:asciiTheme="majorHAnsi" w:hAnsiTheme="majorHAnsi" w:cs="Times New Roman"/>
          <w:spacing w:val="1"/>
          <w:szCs w:val="22"/>
        </w:rPr>
        <w:t xml:space="preserve"> </w:t>
      </w:r>
      <w:r w:rsidRPr="00B24A80">
        <w:rPr>
          <w:rFonts w:asciiTheme="majorHAnsi" w:hAnsiTheme="majorHAnsi" w:cs="Times New Roman"/>
          <w:szCs w:val="22"/>
        </w:rPr>
        <w:t>su</w:t>
      </w:r>
      <w:r w:rsidRPr="00B24A80">
        <w:rPr>
          <w:rFonts w:asciiTheme="majorHAnsi" w:hAnsiTheme="majorHAnsi" w:cs="Times New Roman"/>
          <w:spacing w:val="1"/>
          <w:szCs w:val="22"/>
        </w:rPr>
        <w:t xml:space="preserve"> </w:t>
      </w:r>
      <w:r w:rsidRPr="00B24A80">
        <w:rPr>
          <w:rFonts w:asciiTheme="majorHAnsi" w:hAnsiTheme="majorHAnsi" w:cs="Times New Roman"/>
          <w:szCs w:val="22"/>
        </w:rPr>
        <w:t>valor</w:t>
      </w:r>
      <w:r w:rsidRPr="00B24A80">
        <w:rPr>
          <w:rFonts w:asciiTheme="majorHAnsi" w:hAnsiTheme="majorHAnsi" w:cs="Times New Roman"/>
          <w:spacing w:val="1"/>
          <w:szCs w:val="22"/>
        </w:rPr>
        <w:t xml:space="preserve"> </w:t>
      </w:r>
      <w:r w:rsidRPr="00B24A80">
        <w:rPr>
          <w:rFonts w:asciiTheme="majorHAnsi" w:hAnsiTheme="majorHAnsi" w:cs="Times New Roman"/>
          <w:szCs w:val="22"/>
        </w:rPr>
        <w:t>natural</w:t>
      </w:r>
      <w:r w:rsidRPr="00B24A80">
        <w:rPr>
          <w:rFonts w:asciiTheme="majorHAnsi" w:hAnsiTheme="majorHAnsi" w:cs="Times New Roman"/>
          <w:spacing w:val="1"/>
          <w:szCs w:val="22"/>
        </w:rPr>
        <w:t xml:space="preserve"> </w:t>
      </w:r>
      <w:r w:rsidRPr="00B24A80">
        <w:rPr>
          <w:rFonts w:asciiTheme="majorHAnsi" w:hAnsiTheme="majorHAnsi" w:cs="Times New Roman"/>
          <w:szCs w:val="22"/>
        </w:rPr>
        <w:t>deban</w:t>
      </w:r>
      <w:r w:rsidRPr="00B24A80">
        <w:rPr>
          <w:rFonts w:asciiTheme="majorHAnsi" w:hAnsiTheme="majorHAnsi" w:cs="Times New Roman"/>
          <w:spacing w:val="1"/>
          <w:szCs w:val="22"/>
        </w:rPr>
        <w:t xml:space="preserve"> </w:t>
      </w:r>
      <w:r w:rsidRPr="00B24A80">
        <w:rPr>
          <w:rFonts w:asciiTheme="majorHAnsi" w:hAnsiTheme="majorHAnsi" w:cs="Times New Roman"/>
          <w:szCs w:val="22"/>
        </w:rPr>
        <w:t>ser</w:t>
      </w:r>
      <w:r w:rsidRPr="00B24A80">
        <w:rPr>
          <w:rFonts w:asciiTheme="majorHAnsi" w:hAnsiTheme="majorHAnsi" w:cs="Times New Roman"/>
          <w:spacing w:val="-64"/>
          <w:szCs w:val="22"/>
        </w:rPr>
        <w:t xml:space="preserve"> </w:t>
      </w:r>
      <w:r w:rsidRPr="00B24A80">
        <w:rPr>
          <w:rFonts w:asciiTheme="majorHAnsi" w:hAnsiTheme="majorHAnsi" w:cs="Times New Roman"/>
          <w:szCs w:val="22"/>
        </w:rPr>
        <w:t>conservadas. Para su gestión se considerará la normativa establecida en</w:t>
      </w:r>
      <w:r w:rsidRPr="00B24A80">
        <w:rPr>
          <w:rFonts w:asciiTheme="majorHAnsi" w:hAnsiTheme="majorHAnsi" w:cs="Times New Roman"/>
          <w:spacing w:val="-64"/>
          <w:szCs w:val="22"/>
        </w:rPr>
        <w:t xml:space="preserve"> </w:t>
      </w:r>
      <w:r w:rsidRPr="00B24A80">
        <w:rPr>
          <w:rFonts w:asciiTheme="majorHAnsi" w:hAnsiTheme="majorHAnsi" w:cs="Times New Roman"/>
          <w:szCs w:val="22"/>
        </w:rPr>
        <w:t>la</w:t>
      </w:r>
      <w:r w:rsidRPr="00B24A80">
        <w:rPr>
          <w:rFonts w:asciiTheme="majorHAnsi" w:hAnsiTheme="majorHAnsi" w:cs="Times New Roman"/>
          <w:spacing w:val="-1"/>
          <w:szCs w:val="22"/>
        </w:rPr>
        <w:t xml:space="preserve"> </w:t>
      </w:r>
      <w:r w:rsidRPr="00B24A80">
        <w:rPr>
          <w:rFonts w:asciiTheme="majorHAnsi" w:hAnsiTheme="majorHAnsi" w:cs="Times New Roman"/>
          <w:szCs w:val="22"/>
        </w:rPr>
        <w:t>legislación</w:t>
      </w:r>
      <w:r w:rsidRPr="00B24A80">
        <w:rPr>
          <w:rFonts w:asciiTheme="majorHAnsi" w:hAnsiTheme="majorHAnsi" w:cs="Times New Roman"/>
          <w:spacing w:val="-1"/>
          <w:szCs w:val="22"/>
        </w:rPr>
        <w:t xml:space="preserve"> </w:t>
      </w:r>
      <w:r w:rsidRPr="00B24A80">
        <w:rPr>
          <w:rFonts w:asciiTheme="majorHAnsi" w:hAnsiTheme="majorHAnsi" w:cs="Times New Roman"/>
          <w:szCs w:val="22"/>
        </w:rPr>
        <w:t>ambiental</w:t>
      </w:r>
      <w:r w:rsidRPr="00B24A80">
        <w:rPr>
          <w:rFonts w:asciiTheme="majorHAnsi" w:hAnsiTheme="majorHAnsi" w:cs="Times New Roman"/>
          <w:spacing w:val="-1"/>
          <w:szCs w:val="22"/>
        </w:rPr>
        <w:t xml:space="preserve"> </w:t>
      </w:r>
      <w:r w:rsidRPr="00B24A80">
        <w:rPr>
          <w:rFonts w:asciiTheme="majorHAnsi" w:hAnsiTheme="majorHAnsi" w:cs="Times New Roman"/>
          <w:szCs w:val="22"/>
        </w:rPr>
        <w:t>del ente rector correspondiente.</w:t>
      </w:r>
    </w:p>
    <w:p w14:paraId="1F67475B" w14:textId="77777777" w:rsidR="005E16E8" w:rsidRPr="00B24A80" w:rsidRDefault="005E16E8" w:rsidP="005E16E8">
      <w:pPr>
        <w:tabs>
          <w:tab w:val="left" w:pos="567"/>
          <w:tab w:val="left" w:pos="1098"/>
        </w:tabs>
        <w:ind w:left="284" w:right="112"/>
        <w:rPr>
          <w:rFonts w:asciiTheme="majorHAnsi" w:hAnsiTheme="majorHAnsi" w:cs="Times New Roman"/>
          <w:sz w:val="22"/>
          <w:szCs w:val="22"/>
        </w:rPr>
      </w:pPr>
    </w:p>
    <w:p w14:paraId="58291E6C" w14:textId="77777777" w:rsidR="005E16E8" w:rsidRPr="00B24A80" w:rsidRDefault="005E16E8" w:rsidP="00CA24CF">
      <w:pPr>
        <w:pStyle w:val="Prrafodelista"/>
        <w:numPr>
          <w:ilvl w:val="0"/>
          <w:numId w:val="104"/>
        </w:numPr>
        <w:tabs>
          <w:tab w:val="left" w:pos="567"/>
          <w:tab w:val="left" w:pos="1062"/>
        </w:tabs>
        <w:autoSpaceDE w:val="0"/>
        <w:autoSpaceDN w:val="0"/>
        <w:ind w:left="284" w:right="116" w:firstLine="0"/>
        <w:contextualSpacing w:val="0"/>
        <w:rPr>
          <w:rFonts w:asciiTheme="majorHAnsi" w:hAnsiTheme="majorHAnsi" w:cs="Times New Roman"/>
          <w:szCs w:val="22"/>
        </w:rPr>
      </w:pPr>
      <w:r w:rsidRPr="00B24A80">
        <w:rPr>
          <w:rFonts w:asciiTheme="majorHAnsi" w:hAnsiTheme="majorHAnsi" w:cs="Times New Roman"/>
          <w:b/>
          <w:szCs w:val="22"/>
        </w:rPr>
        <w:t xml:space="preserve">Uso de Aprovechamiento Extractivo. - </w:t>
      </w:r>
      <w:r w:rsidRPr="00B24A80">
        <w:rPr>
          <w:rFonts w:asciiTheme="majorHAnsi" w:hAnsiTheme="majorHAnsi" w:cs="Times New Roman"/>
          <w:szCs w:val="22"/>
        </w:rPr>
        <w:t>Corresponde a espacios de</w:t>
      </w:r>
      <w:r w:rsidRPr="00B24A80">
        <w:rPr>
          <w:rFonts w:asciiTheme="majorHAnsi" w:hAnsiTheme="majorHAnsi" w:cs="Times New Roman"/>
          <w:spacing w:val="1"/>
          <w:szCs w:val="22"/>
        </w:rPr>
        <w:t xml:space="preserve"> </w:t>
      </w:r>
      <w:r w:rsidRPr="00B24A80">
        <w:rPr>
          <w:rFonts w:asciiTheme="majorHAnsi" w:hAnsiTheme="majorHAnsi" w:cs="Times New Roman"/>
          <w:szCs w:val="22"/>
        </w:rPr>
        <w:t>suelo rural dedicadas a la explotación del subsuelo para la extracción y</w:t>
      </w:r>
      <w:r w:rsidRPr="00B24A80">
        <w:rPr>
          <w:rFonts w:asciiTheme="majorHAnsi" w:hAnsiTheme="majorHAnsi" w:cs="Times New Roman"/>
          <w:spacing w:val="1"/>
          <w:szCs w:val="22"/>
        </w:rPr>
        <w:t xml:space="preserve"> </w:t>
      </w:r>
      <w:r w:rsidRPr="00B24A80">
        <w:rPr>
          <w:rFonts w:asciiTheme="majorHAnsi" w:hAnsiTheme="majorHAnsi" w:cs="Times New Roman"/>
          <w:szCs w:val="22"/>
        </w:rPr>
        <w:t>transformación de los materiales e insumos industriales, mineros y de la</w:t>
      </w:r>
      <w:r w:rsidRPr="00B24A80">
        <w:rPr>
          <w:rFonts w:asciiTheme="majorHAnsi" w:hAnsiTheme="majorHAnsi" w:cs="Times New Roman"/>
          <w:spacing w:val="1"/>
          <w:szCs w:val="22"/>
        </w:rPr>
        <w:t xml:space="preserve"> </w:t>
      </w:r>
      <w:r w:rsidRPr="00B24A80">
        <w:rPr>
          <w:rFonts w:asciiTheme="majorHAnsi" w:hAnsiTheme="majorHAnsi" w:cs="Times New Roman"/>
          <w:szCs w:val="22"/>
        </w:rPr>
        <w:t xml:space="preserve">construcción. La determinación del uso de suelo de </w:t>
      </w:r>
      <w:r w:rsidRPr="00B24A80">
        <w:rPr>
          <w:rFonts w:asciiTheme="majorHAnsi" w:hAnsiTheme="majorHAnsi" w:cs="Times New Roman"/>
          <w:szCs w:val="22"/>
        </w:rPr>
        <w:lastRenderedPageBreak/>
        <w:t>aprovechamiento</w:t>
      </w:r>
      <w:r w:rsidRPr="00B24A80">
        <w:rPr>
          <w:rFonts w:asciiTheme="majorHAnsi" w:hAnsiTheme="majorHAnsi" w:cs="Times New Roman"/>
          <w:spacing w:val="1"/>
          <w:szCs w:val="22"/>
        </w:rPr>
        <w:t xml:space="preserve"> </w:t>
      </w:r>
      <w:r w:rsidRPr="00B24A80">
        <w:rPr>
          <w:rFonts w:asciiTheme="majorHAnsi" w:hAnsiTheme="majorHAnsi" w:cs="Times New Roman"/>
          <w:szCs w:val="22"/>
        </w:rPr>
        <w:t>extractivo se debe establecer en base a parámetros normativos que</w:t>
      </w:r>
      <w:r w:rsidRPr="00B24A80">
        <w:rPr>
          <w:rFonts w:asciiTheme="majorHAnsi" w:hAnsiTheme="majorHAnsi" w:cs="Times New Roman"/>
          <w:spacing w:val="1"/>
          <w:szCs w:val="22"/>
        </w:rPr>
        <w:t xml:space="preserve"> </w:t>
      </w:r>
      <w:r w:rsidRPr="00B24A80">
        <w:rPr>
          <w:rFonts w:asciiTheme="majorHAnsi" w:hAnsiTheme="majorHAnsi" w:cs="Times New Roman"/>
          <w:szCs w:val="22"/>
        </w:rPr>
        <w:t>garanticen su preservación de usos y que serán definidos por el ente</w:t>
      </w:r>
      <w:r w:rsidRPr="00B24A80">
        <w:rPr>
          <w:rFonts w:asciiTheme="majorHAnsi" w:hAnsiTheme="majorHAnsi" w:cs="Times New Roman"/>
          <w:spacing w:val="1"/>
          <w:szCs w:val="22"/>
        </w:rPr>
        <w:t xml:space="preserve"> </w:t>
      </w:r>
      <w:r w:rsidRPr="00B24A80">
        <w:rPr>
          <w:rFonts w:asciiTheme="majorHAnsi" w:hAnsiTheme="majorHAnsi" w:cs="Times New Roman"/>
          <w:szCs w:val="22"/>
        </w:rPr>
        <w:t>rector</w:t>
      </w:r>
      <w:r w:rsidRPr="00B24A80">
        <w:rPr>
          <w:rFonts w:asciiTheme="majorHAnsi" w:hAnsiTheme="majorHAnsi" w:cs="Times New Roman"/>
          <w:spacing w:val="-1"/>
          <w:szCs w:val="22"/>
        </w:rPr>
        <w:t xml:space="preserve"> </w:t>
      </w:r>
      <w:r w:rsidRPr="00B24A80">
        <w:rPr>
          <w:rFonts w:asciiTheme="majorHAnsi" w:hAnsiTheme="majorHAnsi" w:cs="Times New Roman"/>
          <w:szCs w:val="22"/>
        </w:rPr>
        <w:t>nacional.</w:t>
      </w:r>
    </w:p>
    <w:p w14:paraId="3C810BCF" w14:textId="77777777" w:rsidR="005E16E8" w:rsidRPr="00B24A80" w:rsidRDefault="005E16E8" w:rsidP="005E16E8">
      <w:pPr>
        <w:pStyle w:val="Prrafodelista"/>
        <w:tabs>
          <w:tab w:val="left" w:pos="567"/>
          <w:tab w:val="left" w:pos="1062"/>
        </w:tabs>
        <w:ind w:left="284" w:right="116"/>
        <w:rPr>
          <w:rFonts w:asciiTheme="majorHAnsi" w:hAnsiTheme="majorHAnsi" w:cs="Times New Roman"/>
          <w:szCs w:val="22"/>
        </w:rPr>
      </w:pPr>
    </w:p>
    <w:p w14:paraId="3DAEDC04" w14:textId="77773CEE" w:rsidR="005E16E8" w:rsidRPr="00B24A80" w:rsidRDefault="005E16E8" w:rsidP="00CA24CF">
      <w:pPr>
        <w:pStyle w:val="Prrafodelista"/>
        <w:numPr>
          <w:ilvl w:val="0"/>
          <w:numId w:val="104"/>
        </w:numPr>
        <w:tabs>
          <w:tab w:val="left" w:pos="567"/>
          <w:tab w:val="left" w:pos="1094"/>
        </w:tabs>
        <w:autoSpaceDE w:val="0"/>
        <w:autoSpaceDN w:val="0"/>
        <w:ind w:left="284" w:right="116" w:firstLine="0"/>
        <w:contextualSpacing w:val="0"/>
        <w:rPr>
          <w:rFonts w:asciiTheme="majorHAnsi" w:hAnsiTheme="majorHAnsi" w:cs="Times New Roman"/>
          <w:szCs w:val="22"/>
        </w:rPr>
      </w:pPr>
      <w:r w:rsidRPr="00B24A80">
        <w:rPr>
          <w:rFonts w:asciiTheme="majorHAnsi" w:hAnsiTheme="majorHAnsi" w:cs="Times New Roman"/>
          <w:b/>
          <w:szCs w:val="22"/>
        </w:rPr>
        <w:t>Uso</w:t>
      </w:r>
      <w:r w:rsidRPr="00B24A80">
        <w:rPr>
          <w:rFonts w:asciiTheme="majorHAnsi" w:hAnsiTheme="majorHAnsi" w:cs="Times New Roman"/>
          <w:b/>
          <w:spacing w:val="-11"/>
          <w:szCs w:val="22"/>
        </w:rPr>
        <w:t xml:space="preserve"> </w:t>
      </w:r>
      <w:r w:rsidRPr="00B24A80">
        <w:rPr>
          <w:rFonts w:asciiTheme="majorHAnsi" w:hAnsiTheme="majorHAnsi" w:cs="Times New Roman"/>
          <w:b/>
          <w:szCs w:val="22"/>
        </w:rPr>
        <w:t>de</w:t>
      </w:r>
      <w:r w:rsidRPr="00B24A80">
        <w:rPr>
          <w:rFonts w:asciiTheme="majorHAnsi" w:hAnsiTheme="majorHAnsi" w:cs="Times New Roman"/>
          <w:b/>
          <w:spacing w:val="-10"/>
          <w:szCs w:val="22"/>
        </w:rPr>
        <w:t xml:space="preserve"> </w:t>
      </w:r>
      <w:r w:rsidRPr="00B24A80">
        <w:rPr>
          <w:rFonts w:asciiTheme="majorHAnsi" w:hAnsiTheme="majorHAnsi" w:cs="Times New Roman"/>
          <w:b/>
          <w:szCs w:val="22"/>
        </w:rPr>
        <w:t>protección</w:t>
      </w:r>
      <w:r w:rsidRPr="00B24A80">
        <w:rPr>
          <w:rFonts w:asciiTheme="majorHAnsi" w:hAnsiTheme="majorHAnsi" w:cs="Times New Roman"/>
          <w:b/>
          <w:spacing w:val="-15"/>
          <w:szCs w:val="22"/>
        </w:rPr>
        <w:t xml:space="preserve"> </w:t>
      </w:r>
      <w:r w:rsidRPr="00B24A80">
        <w:rPr>
          <w:rFonts w:asciiTheme="majorHAnsi" w:hAnsiTheme="majorHAnsi" w:cs="Times New Roman"/>
          <w:b/>
          <w:szCs w:val="22"/>
        </w:rPr>
        <w:t>de</w:t>
      </w:r>
      <w:r w:rsidRPr="00B24A80">
        <w:rPr>
          <w:rFonts w:asciiTheme="majorHAnsi" w:hAnsiTheme="majorHAnsi" w:cs="Times New Roman"/>
          <w:b/>
          <w:spacing w:val="-10"/>
          <w:szCs w:val="22"/>
        </w:rPr>
        <w:t xml:space="preserve"> </w:t>
      </w:r>
      <w:r w:rsidRPr="00B24A80">
        <w:rPr>
          <w:rFonts w:asciiTheme="majorHAnsi" w:hAnsiTheme="majorHAnsi" w:cs="Times New Roman"/>
          <w:b/>
          <w:szCs w:val="22"/>
        </w:rPr>
        <w:t>Riesgos.</w:t>
      </w:r>
      <w:r w:rsidRPr="00B24A80">
        <w:rPr>
          <w:rFonts w:asciiTheme="majorHAnsi" w:hAnsiTheme="majorHAnsi" w:cs="Times New Roman"/>
          <w:b/>
          <w:spacing w:val="-7"/>
          <w:szCs w:val="22"/>
        </w:rPr>
        <w:t xml:space="preserve"> </w:t>
      </w:r>
      <w:r w:rsidRPr="00B24A80">
        <w:rPr>
          <w:rFonts w:asciiTheme="majorHAnsi" w:hAnsiTheme="majorHAnsi" w:cs="Times New Roman"/>
          <w:b/>
          <w:szCs w:val="22"/>
        </w:rPr>
        <w:t>-</w:t>
      </w:r>
      <w:r w:rsidRPr="00B24A80">
        <w:rPr>
          <w:rFonts w:asciiTheme="majorHAnsi" w:hAnsiTheme="majorHAnsi" w:cs="Times New Roman"/>
          <w:b/>
          <w:spacing w:val="-14"/>
          <w:szCs w:val="22"/>
        </w:rPr>
        <w:t xml:space="preserve"> </w:t>
      </w:r>
      <w:r w:rsidRPr="00B24A80">
        <w:rPr>
          <w:rFonts w:asciiTheme="majorHAnsi" w:hAnsiTheme="majorHAnsi" w:cs="Times New Roman"/>
          <w:szCs w:val="22"/>
        </w:rPr>
        <w:t>Es</w:t>
      </w:r>
      <w:r w:rsidRPr="00B24A80">
        <w:rPr>
          <w:rFonts w:asciiTheme="majorHAnsi" w:hAnsiTheme="majorHAnsi" w:cs="Times New Roman"/>
          <w:spacing w:val="-13"/>
          <w:szCs w:val="22"/>
        </w:rPr>
        <w:t xml:space="preserve"> </w:t>
      </w:r>
      <w:r w:rsidRPr="00B24A80">
        <w:rPr>
          <w:rFonts w:asciiTheme="majorHAnsi" w:hAnsiTheme="majorHAnsi" w:cs="Times New Roman"/>
          <w:szCs w:val="22"/>
        </w:rPr>
        <w:t>un</w:t>
      </w:r>
      <w:r w:rsidRPr="00B24A80">
        <w:rPr>
          <w:rFonts w:asciiTheme="majorHAnsi" w:hAnsiTheme="majorHAnsi" w:cs="Times New Roman"/>
          <w:spacing w:val="-12"/>
          <w:szCs w:val="22"/>
        </w:rPr>
        <w:t xml:space="preserve"> </w:t>
      </w:r>
      <w:r w:rsidRPr="00B24A80">
        <w:rPr>
          <w:rFonts w:asciiTheme="majorHAnsi" w:hAnsiTheme="majorHAnsi" w:cs="Times New Roman"/>
          <w:szCs w:val="22"/>
        </w:rPr>
        <w:t>suelo</w:t>
      </w:r>
      <w:r w:rsidRPr="00B24A80">
        <w:rPr>
          <w:rFonts w:asciiTheme="majorHAnsi" w:hAnsiTheme="majorHAnsi" w:cs="Times New Roman"/>
          <w:spacing w:val="-10"/>
          <w:szCs w:val="22"/>
        </w:rPr>
        <w:t xml:space="preserve"> </w:t>
      </w:r>
      <w:r w:rsidRPr="00B24A80">
        <w:rPr>
          <w:rFonts w:asciiTheme="majorHAnsi" w:hAnsiTheme="majorHAnsi" w:cs="Times New Roman"/>
          <w:szCs w:val="22"/>
        </w:rPr>
        <w:t>urbano</w:t>
      </w:r>
      <w:r w:rsidRPr="00B24A80">
        <w:rPr>
          <w:rFonts w:asciiTheme="majorHAnsi" w:hAnsiTheme="majorHAnsi" w:cs="Times New Roman"/>
          <w:spacing w:val="-10"/>
          <w:szCs w:val="22"/>
        </w:rPr>
        <w:t xml:space="preserve"> </w:t>
      </w:r>
      <w:r w:rsidRPr="00B24A80">
        <w:rPr>
          <w:rFonts w:asciiTheme="majorHAnsi" w:hAnsiTheme="majorHAnsi" w:cs="Times New Roman"/>
          <w:szCs w:val="22"/>
        </w:rPr>
        <w:t>o</w:t>
      </w:r>
      <w:r w:rsidRPr="00B24A80">
        <w:rPr>
          <w:rFonts w:asciiTheme="majorHAnsi" w:hAnsiTheme="majorHAnsi" w:cs="Times New Roman"/>
          <w:spacing w:val="-12"/>
          <w:szCs w:val="22"/>
        </w:rPr>
        <w:t xml:space="preserve"> </w:t>
      </w:r>
      <w:r w:rsidRPr="00B24A80">
        <w:rPr>
          <w:rFonts w:asciiTheme="majorHAnsi" w:hAnsiTheme="majorHAnsi" w:cs="Times New Roman"/>
          <w:szCs w:val="22"/>
        </w:rPr>
        <w:t>rural</w:t>
      </w:r>
      <w:r w:rsidRPr="00B24A80">
        <w:rPr>
          <w:rFonts w:asciiTheme="majorHAnsi" w:hAnsiTheme="majorHAnsi" w:cs="Times New Roman"/>
          <w:spacing w:val="-13"/>
          <w:szCs w:val="22"/>
        </w:rPr>
        <w:t xml:space="preserve"> </w:t>
      </w:r>
      <w:r w:rsidRPr="00B24A80">
        <w:rPr>
          <w:rFonts w:asciiTheme="majorHAnsi" w:hAnsiTheme="majorHAnsi" w:cs="Times New Roman"/>
          <w:szCs w:val="22"/>
        </w:rPr>
        <w:t>en</w:t>
      </w:r>
      <w:r w:rsidRPr="00B24A80">
        <w:rPr>
          <w:rFonts w:asciiTheme="majorHAnsi" w:hAnsiTheme="majorHAnsi" w:cs="Times New Roman"/>
          <w:spacing w:val="-12"/>
          <w:szCs w:val="22"/>
        </w:rPr>
        <w:t xml:space="preserve"> </w:t>
      </w:r>
      <w:r w:rsidR="00083C09" w:rsidRPr="00B24A80">
        <w:rPr>
          <w:rFonts w:asciiTheme="majorHAnsi" w:hAnsiTheme="majorHAnsi" w:cs="Times New Roman"/>
          <w:spacing w:val="-12"/>
          <w:szCs w:val="22"/>
        </w:rPr>
        <w:t>e</w:t>
      </w:r>
      <w:r w:rsidRPr="00B24A80">
        <w:rPr>
          <w:rFonts w:asciiTheme="majorHAnsi" w:hAnsiTheme="majorHAnsi" w:cs="Times New Roman"/>
          <w:szCs w:val="22"/>
        </w:rPr>
        <w:t>l</w:t>
      </w:r>
      <w:r w:rsidRPr="00B24A80">
        <w:rPr>
          <w:rFonts w:asciiTheme="majorHAnsi" w:hAnsiTheme="majorHAnsi" w:cs="Times New Roman"/>
          <w:spacing w:val="-10"/>
          <w:szCs w:val="22"/>
        </w:rPr>
        <w:t xml:space="preserve"> </w:t>
      </w:r>
      <w:r w:rsidRPr="00B24A80">
        <w:rPr>
          <w:rFonts w:asciiTheme="majorHAnsi" w:hAnsiTheme="majorHAnsi" w:cs="Times New Roman"/>
          <w:szCs w:val="22"/>
        </w:rPr>
        <w:t>que,</w:t>
      </w:r>
      <w:r w:rsidR="00083C09" w:rsidRPr="00B24A80">
        <w:rPr>
          <w:rFonts w:asciiTheme="majorHAnsi" w:hAnsiTheme="majorHAnsi" w:cs="Times New Roman"/>
          <w:szCs w:val="22"/>
        </w:rPr>
        <w:t xml:space="preserve"> </w:t>
      </w:r>
      <w:r w:rsidRPr="00B24A80">
        <w:rPr>
          <w:rFonts w:asciiTheme="majorHAnsi" w:hAnsiTheme="majorHAnsi" w:cs="Times New Roman"/>
          <w:spacing w:val="-64"/>
          <w:szCs w:val="22"/>
        </w:rPr>
        <w:t xml:space="preserve"> </w:t>
      </w:r>
      <w:r w:rsidRPr="00B24A80">
        <w:rPr>
          <w:rFonts w:asciiTheme="majorHAnsi" w:hAnsiTheme="majorHAnsi" w:cs="Times New Roman"/>
          <w:szCs w:val="22"/>
        </w:rPr>
        <w:t>por</w:t>
      </w:r>
      <w:r w:rsidRPr="00B24A80">
        <w:rPr>
          <w:rFonts w:asciiTheme="majorHAnsi" w:hAnsiTheme="majorHAnsi" w:cs="Times New Roman"/>
          <w:spacing w:val="-6"/>
          <w:szCs w:val="22"/>
        </w:rPr>
        <w:t xml:space="preserve"> </w:t>
      </w:r>
      <w:r w:rsidRPr="00B24A80">
        <w:rPr>
          <w:rFonts w:asciiTheme="majorHAnsi" w:hAnsiTheme="majorHAnsi" w:cs="Times New Roman"/>
          <w:szCs w:val="22"/>
        </w:rPr>
        <w:t>sus</w:t>
      </w:r>
      <w:r w:rsidRPr="00B24A80">
        <w:rPr>
          <w:rFonts w:asciiTheme="majorHAnsi" w:hAnsiTheme="majorHAnsi" w:cs="Times New Roman"/>
          <w:spacing w:val="-8"/>
          <w:szCs w:val="22"/>
        </w:rPr>
        <w:t xml:space="preserve"> </w:t>
      </w:r>
      <w:r w:rsidRPr="00B24A80">
        <w:rPr>
          <w:rFonts w:asciiTheme="majorHAnsi" w:hAnsiTheme="majorHAnsi" w:cs="Times New Roman"/>
          <w:szCs w:val="22"/>
        </w:rPr>
        <w:t>características</w:t>
      </w:r>
      <w:r w:rsidRPr="00B24A80">
        <w:rPr>
          <w:rFonts w:asciiTheme="majorHAnsi" w:hAnsiTheme="majorHAnsi" w:cs="Times New Roman"/>
          <w:spacing w:val="-8"/>
          <w:szCs w:val="22"/>
        </w:rPr>
        <w:t xml:space="preserve"> </w:t>
      </w:r>
      <w:r w:rsidRPr="00B24A80">
        <w:rPr>
          <w:rFonts w:asciiTheme="majorHAnsi" w:hAnsiTheme="majorHAnsi" w:cs="Times New Roman"/>
          <w:szCs w:val="22"/>
        </w:rPr>
        <w:t>geográficas,</w:t>
      </w:r>
      <w:r w:rsidRPr="00B24A80">
        <w:rPr>
          <w:rFonts w:asciiTheme="majorHAnsi" w:hAnsiTheme="majorHAnsi" w:cs="Times New Roman"/>
          <w:spacing w:val="-5"/>
          <w:szCs w:val="22"/>
        </w:rPr>
        <w:t xml:space="preserve"> </w:t>
      </w:r>
      <w:r w:rsidRPr="00B24A80">
        <w:rPr>
          <w:rFonts w:asciiTheme="majorHAnsi" w:hAnsiTheme="majorHAnsi" w:cs="Times New Roman"/>
          <w:szCs w:val="22"/>
        </w:rPr>
        <w:t>paisajísticas,</w:t>
      </w:r>
      <w:r w:rsidRPr="00B24A80">
        <w:rPr>
          <w:rFonts w:asciiTheme="majorHAnsi" w:hAnsiTheme="majorHAnsi" w:cs="Times New Roman"/>
          <w:spacing w:val="-4"/>
          <w:szCs w:val="22"/>
        </w:rPr>
        <w:t xml:space="preserve"> </w:t>
      </w:r>
      <w:r w:rsidRPr="00B24A80">
        <w:rPr>
          <w:rFonts w:asciiTheme="majorHAnsi" w:hAnsiTheme="majorHAnsi" w:cs="Times New Roman"/>
          <w:szCs w:val="22"/>
        </w:rPr>
        <w:t>ambientales,</w:t>
      </w:r>
      <w:r w:rsidRPr="00B24A80">
        <w:rPr>
          <w:rFonts w:asciiTheme="majorHAnsi" w:hAnsiTheme="majorHAnsi" w:cs="Times New Roman"/>
          <w:spacing w:val="-7"/>
          <w:szCs w:val="22"/>
        </w:rPr>
        <w:t xml:space="preserve"> </w:t>
      </w:r>
      <w:r w:rsidRPr="00B24A80">
        <w:rPr>
          <w:rFonts w:asciiTheme="majorHAnsi" w:hAnsiTheme="majorHAnsi" w:cs="Times New Roman"/>
          <w:szCs w:val="22"/>
        </w:rPr>
        <w:t>por</w:t>
      </w:r>
      <w:r w:rsidRPr="00B24A80">
        <w:rPr>
          <w:rFonts w:asciiTheme="majorHAnsi" w:hAnsiTheme="majorHAnsi" w:cs="Times New Roman"/>
          <w:spacing w:val="-6"/>
          <w:szCs w:val="22"/>
        </w:rPr>
        <w:t xml:space="preserve"> </w:t>
      </w:r>
      <w:r w:rsidRPr="00B24A80">
        <w:rPr>
          <w:rFonts w:asciiTheme="majorHAnsi" w:hAnsiTheme="majorHAnsi" w:cs="Times New Roman"/>
          <w:szCs w:val="22"/>
        </w:rPr>
        <w:t>formar</w:t>
      </w:r>
      <w:r w:rsidRPr="00B24A80">
        <w:rPr>
          <w:rFonts w:asciiTheme="majorHAnsi" w:hAnsiTheme="majorHAnsi" w:cs="Times New Roman"/>
          <w:spacing w:val="-64"/>
          <w:szCs w:val="22"/>
        </w:rPr>
        <w:t xml:space="preserve"> </w:t>
      </w:r>
      <w:r w:rsidRPr="00B24A80">
        <w:rPr>
          <w:rFonts w:asciiTheme="majorHAnsi" w:hAnsiTheme="majorHAnsi" w:cs="Times New Roman"/>
          <w:szCs w:val="22"/>
        </w:rPr>
        <w:t>parte de áreas de utilidad pública de infraestructura para la provisión de</w:t>
      </w:r>
      <w:r w:rsidRPr="00B24A80">
        <w:rPr>
          <w:rFonts w:asciiTheme="majorHAnsi" w:hAnsiTheme="majorHAnsi" w:cs="Times New Roman"/>
          <w:spacing w:val="1"/>
          <w:szCs w:val="22"/>
        </w:rPr>
        <w:t xml:space="preserve"> </w:t>
      </w:r>
      <w:r w:rsidRPr="00B24A80">
        <w:rPr>
          <w:rFonts w:asciiTheme="majorHAnsi" w:hAnsiTheme="majorHAnsi" w:cs="Times New Roman"/>
          <w:szCs w:val="22"/>
        </w:rPr>
        <w:t>servicios</w:t>
      </w:r>
      <w:r w:rsidRPr="00B24A80">
        <w:rPr>
          <w:rFonts w:asciiTheme="majorHAnsi" w:hAnsiTheme="majorHAnsi" w:cs="Times New Roman"/>
          <w:spacing w:val="-9"/>
          <w:szCs w:val="22"/>
        </w:rPr>
        <w:t xml:space="preserve"> </w:t>
      </w:r>
      <w:r w:rsidRPr="00B24A80">
        <w:rPr>
          <w:rFonts w:asciiTheme="majorHAnsi" w:hAnsiTheme="majorHAnsi" w:cs="Times New Roman"/>
          <w:szCs w:val="22"/>
        </w:rPr>
        <w:t>públicos</w:t>
      </w:r>
      <w:r w:rsidRPr="00B24A80">
        <w:rPr>
          <w:rFonts w:asciiTheme="majorHAnsi" w:hAnsiTheme="majorHAnsi" w:cs="Times New Roman"/>
          <w:spacing w:val="-9"/>
          <w:szCs w:val="22"/>
        </w:rPr>
        <w:t xml:space="preserve"> </w:t>
      </w:r>
      <w:r w:rsidRPr="00B24A80">
        <w:rPr>
          <w:rFonts w:asciiTheme="majorHAnsi" w:hAnsiTheme="majorHAnsi" w:cs="Times New Roman"/>
          <w:szCs w:val="22"/>
        </w:rPr>
        <w:t>domiciliarios</w:t>
      </w:r>
      <w:r w:rsidRPr="00B24A80">
        <w:rPr>
          <w:rFonts w:asciiTheme="majorHAnsi" w:hAnsiTheme="majorHAnsi" w:cs="Times New Roman"/>
          <w:spacing w:val="-8"/>
          <w:szCs w:val="22"/>
        </w:rPr>
        <w:t xml:space="preserve"> </w:t>
      </w:r>
      <w:r w:rsidRPr="00B24A80">
        <w:rPr>
          <w:rFonts w:asciiTheme="majorHAnsi" w:hAnsiTheme="majorHAnsi" w:cs="Times New Roman"/>
          <w:szCs w:val="22"/>
        </w:rPr>
        <w:t>o</w:t>
      </w:r>
      <w:r w:rsidRPr="00B24A80">
        <w:rPr>
          <w:rFonts w:asciiTheme="majorHAnsi" w:hAnsiTheme="majorHAnsi" w:cs="Times New Roman"/>
          <w:spacing w:val="-8"/>
          <w:szCs w:val="22"/>
        </w:rPr>
        <w:t xml:space="preserve"> </w:t>
      </w:r>
      <w:r w:rsidRPr="00B24A80">
        <w:rPr>
          <w:rFonts w:asciiTheme="majorHAnsi" w:hAnsiTheme="majorHAnsi" w:cs="Times New Roman"/>
          <w:szCs w:val="22"/>
        </w:rPr>
        <w:t>áreas</w:t>
      </w:r>
      <w:r w:rsidRPr="00B24A80">
        <w:rPr>
          <w:rFonts w:asciiTheme="majorHAnsi" w:hAnsiTheme="majorHAnsi" w:cs="Times New Roman"/>
          <w:spacing w:val="-9"/>
          <w:szCs w:val="22"/>
        </w:rPr>
        <w:t xml:space="preserve"> </w:t>
      </w:r>
      <w:r w:rsidRPr="00B24A80">
        <w:rPr>
          <w:rFonts w:asciiTheme="majorHAnsi" w:hAnsiTheme="majorHAnsi" w:cs="Times New Roman"/>
          <w:szCs w:val="22"/>
        </w:rPr>
        <w:t>de</w:t>
      </w:r>
      <w:r w:rsidRPr="00B24A80">
        <w:rPr>
          <w:rFonts w:asciiTheme="majorHAnsi" w:hAnsiTheme="majorHAnsi" w:cs="Times New Roman"/>
          <w:spacing w:val="-8"/>
          <w:szCs w:val="22"/>
        </w:rPr>
        <w:t xml:space="preserve"> </w:t>
      </w:r>
      <w:r w:rsidRPr="00B24A80">
        <w:rPr>
          <w:rFonts w:asciiTheme="majorHAnsi" w:hAnsiTheme="majorHAnsi" w:cs="Times New Roman"/>
          <w:szCs w:val="22"/>
        </w:rPr>
        <w:t>amenaza</w:t>
      </w:r>
      <w:r w:rsidRPr="00B24A80">
        <w:rPr>
          <w:rFonts w:asciiTheme="majorHAnsi" w:hAnsiTheme="majorHAnsi" w:cs="Times New Roman"/>
          <w:spacing w:val="-7"/>
          <w:szCs w:val="22"/>
        </w:rPr>
        <w:t xml:space="preserve"> </w:t>
      </w:r>
      <w:r w:rsidRPr="00B24A80">
        <w:rPr>
          <w:rFonts w:asciiTheme="majorHAnsi" w:hAnsiTheme="majorHAnsi" w:cs="Times New Roman"/>
          <w:szCs w:val="22"/>
        </w:rPr>
        <w:t>y</w:t>
      </w:r>
      <w:r w:rsidRPr="00B24A80">
        <w:rPr>
          <w:rFonts w:asciiTheme="majorHAnsi" w:hAnsiTheme="majorHAnsi" w:cs="Times New Roman"/>
          <w:spacing w:val="-9"/>
          <w:szCs w:val="22"/>
        </w:rPr>
        <w:t xml:space="preserve"> </w:t>
      </w:r>
      <w:r w:rsidRPr="00B24A80">
        <w:rPr>
          <w:rFonts w:asciiTheme="majorHAnsi" w:hAnsiTheme="majorHAnsi" w:cs="Times New Roman"/>
          <w:szCs w:val="22"/>
        </w:rPr>
        <w:t>riesgo</w:t>
      </w:r>
      <w:r w:rsidRPr="00B24A80">
        <w:rPr>
          <w:rFonts w:asciiTheme="majorHAnsi" w:hAnsiTheme="majorHAnsi" w:cs="Times New Roman"/>
          <w:spacing w:val="-8"/>
          <w:szCs w:val="22"/>
        </w:rPr>
        <w:t xml:space="preserve"> </w:t>
      </w:r>
      <w:r w:rsidRPr="00B24A80">
        <w:rPr>
          <w:rFonts w:asciiTheme="majorHAnsi" w:hAnsiTheme="majorHAnsi" w:cs="Times New Roman"/>
          <w:szCs w:val="22"/>
        </w:rPr>
        <w:t>no</w:t>
      </w:r>
      <w:r w:rsidRPr="00B24A80">
        <w:rPr>
          <w:rFonts w:asciiTheme="majorHAnsi" w:hAnsiTheme="majorHAnsi" w:cs="Times New Roman"/>
          <w:spacing w:val="-7"/>
          <w:szCs w:val="22"/>
        </w:rPr>
        <w:t xml:space="preserve"> </w:t>
      </w:r>
      <w:r w:rsidRPr="00B24A80">
        <w:rPr>
          <w:rFonts w:asciiTheme="majorHAnsi" w:hAnsiTheme="majorHAnsi" w:cs="Times New Roman"/>
          <w:szCs w:val="22"/>
        </w:rPr>
        <w:t>mitigable,</w:t>
      </w:r>
      <w:r w:rsidRPr="00B24A80">
        <w:rPr>
          <w:rFonts w:asciiTheme="majorHAnsi" w:hAnsiTheme="majorHAnsi" w:cs="Times New Roman"/>
          <w:spacing w:val="-65"/>
          <w:szCs w:val="22"/>
        </w:rPr>
        <w:t xml:space="preserve"> </w:t>
      </w:r>
      <w:r w:rsidRPr="00B24A80">
        <w:rPr>
          <w:rFonts w:asciiTheme="majorHAnsi" w:hAnsiTheme="majorHAnsi" w:cs="Times New Roman"/>
          <w:szCs w:val="22"/>
        </w:rPr>
        <w:t>su uso está destinado a la protección en la que se tiene restringida la</w:t>
      </w:r>
      <w:r w:rsidRPr="00B24A80">
        <w:rPr>
          <w:rFonts w:asciiTheme="majorHAnsi" w:hAnsiTheme="majorHAnsi" w:cs="Times New Roman"/>
          <w:spacing w:val="1"/>
          <w:szCs w:val="22"/>
        </w:rPr>
        <w:t xml:space="preserve"> </w:t>
      </w:r>
      <w:r w:rsidRPr="00B24A80">
        <w:rPr>
          <w:rFonts w:asciiTheme="majorHAnsi" w:hAnsiTheme="majorHAnsi" w:cs="Times New Roman"/>
          <w:szCs w:val="22"/>
        </w:rPr>
        <w:t>posibilidad</w:t>
      </w:r>
      <w:r w:rsidRPr="00B24A80">
        <w:rPr>
          <w:rFonts w:asciiTheme="majorHAnsi" w:hAnsiTheme="majorHAnsi" w:cs="Times New Roman"/>
          <w:spacing w:val="-3"/>
          <w:szCs w:val="22"/>
        </w:rPr>
        <w:t xml:space="preserve"> </w:t>
      </w:r>
      <w:r w:rsidRPr="00B24A80">
        <w:rPr>
          <w:rFonts w:asciiTheme="majorHAnsi" w:hAnsiTheme="majorHAnsi" w:cs="Times New Roman"/>
          <w:szCs w:val="22"/>
        </w:rPr>
        <w:t>de</w:t>
      </w:r>
      <w:r w:rsidRPr="00B24A80">
        <w:rPr>
          <w:rFonts w:asciiTheme="majorHAnsi" w:hAnsiTheme="majorHAnsi" w:cs="Times New Roman"/>
          <w:spacing w:val="-2"/>
          <w:szCs w:val="22"/>
        </w:rPr>
        <w:t xml:space="preserve"> </w:t>
      </w:r>
      <w:r w:rsidRPr="00B24A80">
        <w:rPr>
          <w:rFonts w:asciiTheme="majorHAnsi" w:hAnsiTheme="majorHAnsi" w:cs="Times New Roman"/>
          <w:szCs w:val="22"/>
        </w:rPr>
        <w:t>urbanizarse.</w:t>
      </w:r>
    </w:p>
    <w:p w14:paraId="325990DC" w14:textId="77777777" w:rsidR="005B34B2" w:rsidRPr="00B24A80" w:rsidRDefault="005B34B2" w:rsidP="005B34B2">
      <w:pPr>
        <w:pStyle w:val="Prrafodelista"/>
        <w:rPr>
          <w:rFonts w:asciiTheme="majorHAnsi" w:hAnsiTheme="majorHAnsi" w:cs="Times New Roman"/>
          <w:szCs w:val="22"/>
        </w:rPr>
      </w:pPr>
    </w:p>
    <w:p w14:paraId="707C4DC2" w14:textId="77777777" w:rsidR="005B34B2" w:rsidRPr="00B24A80" w:rsidRDefault="005B34B2" w:rsidP="005B34B2">
      <w:pPr>
        <w:pStyle w:val="Prrafodelista"/>
        <w:tabs>
          <w:tab w:val="left" w:pos="567"/>
          <w:tab w:val="left" w:pos="1094"/>
        </w:tabs>
        <w:autoSpaceDE w:val="0"/>
        <w:autoSpaceDN w:val="0"/>
        <w:ind w:left="284" w:right="116"/>
        <w:contextualSpacing w:val="0"/>
        <w:rPr>
          <w:rFonts w:asciiTheme="majorHAnsi" w:hAnsiTheme="majorHAnsi" w:cs="Times New Roman"/>
          <w:szCs w:val="22"/>
        </w:rPr>
      </w:pPr>
    </w:p>
    <w:p w14:paraId="5946AA9D" w14:textId="4ADB0EDF" w:rsidR="005E16E8" w:rsidRPr="00B24A80" w:rsidRDefault="005E16E8"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Compatibilidad de usos de suelo. - </w:t>
      </w:r>
      <w:r w:rsidRPr="00B24A80">
        <w:rPr>
          <w:rFonts w:asciiTheme="majorHAnsi" w:eastAsia="Calibri" w:hAnsiTheme="majorHAnsi" w:cstheme="majorHAnsi"/>
          <w:color w:val="000000"/>
          <w:szCs w:val="22"/>
        </w:rPr>
        <w:t xml:space="preserve">Cada PIT establece las compatibilidades e incompatibilidades en el uso del suelo previstas para cada uno, y con ello la relación entre los usos: principal, complementario, restringido y prohibido. </w:t>
      </w:r>
    </w:p>
    <w:p w14:paraId="070C395B" w14:textId="77777777" w:rsidR="005E16E8" w:rsidRPr="00B24A80" w:rsidRDefault="005E16E8" w:rsidP="00CA24CF">
      <w:pPr>
        <w:pStyle w:val="Prrafodelista"/>
        <w:numPr>
          <w:ilvl w:val="0"/>
          <w:numId w:val="105"/>
        </w:numPr>
        <w:tabs>
          <w:tab w:val="left" w:pos="822"/>
        </w:tabs>
        <w:autoSpaceDE w:val="0"/>
        <w:autoSpaceDN w:val="0"/>
        <w:ind w:hanging="361"/>
        <w:contextualSpacing w:val="0"/>
        <w:rPr>
          <w:rFonts w:asciiTheme="majorHAnsi" w:hAnsiTheme="majorHAnsi" w:cs="Times New Roman"/>
          <w:szCs w:val="22"/>
        </w:rPr>
      </w:pPr>
      <w:r w:rsidRPr="00B24A80">
        <w:rPr>
          <w:rFonts w:asciiTheme="majorHAnsi" w:hAnsiTheme="majorHAnsi" w:cs="Times New Roman"/>
          <w:szCs w:val="22"/>
        </w:rPr>
        <w:t>Uso</w:t>
      </w:r>
      <w:r w:rsidRPr="00B24A80">
        <w:rPr>
          <w:rFonts w:asciiTheme="majorHAnsi" w:hAnsiTheme="majorHAnsi" w:cs="Times New Roman"/>
          <w:spacing w:val="-1"/>
          <w:szCs w:val="22"/>
        </w:rPr>
        <w:t xml:space="preserve"> </w:t>
      </w:r>
      <w:r w:rsidRPr="00B24A80">
        <w:rPr>
          <w:rFonts w:asciiTheme="majorHAnsi" w:hAnsiTheme="majorHAnsi" w:cs="Times New Roman"/>
          <w:szCs w:val="22"/>
        </w:rPr>
        <w:t>principal.</w:t>
      </w:r>
      <w:r w:rsidRPr="00B24A80">
        <w:rPr>
          <w:rFonts w:asciiTheme="majorHAnsi" w:hAnsiTheme="majorHAnsi" w:cs="Times New Roman"/>
          <w:spacing w:val="-3"/>
          <w:szCs w:val="22"/>
        </w:rPr>
        <w:t xml:space="preserve"> </w:t>
      </w:r>
      <w:r w:rsidRPr="00B24A80">
        <w:rPr>
          <w:rFonts w:asciiTheme="majorHAnsi" w:hAnsiTheme="majorHAnsi" w:cs="Times New Roman"/>
          <w:szCs w:val="22"/>
        </w:rPr>
        <w:t>Es</w:t>
      </w:r>
      <w:r w:rsidRPr="00B24A80">
        <w:rPr>
          <w:rFonts w:asciiTheme="majorHAnsi" w:hAnsiTheme="majorHAnsi" w:cs="Times New Roman"/>
          <w:spacing w:val="-1"/>
          <w:szCs w:val="22"/>
        </w:rPr>
        <w:t xml:space="preserve"> </w:t>
      </w:r>
      <w:r w:rsidRPr="00B24A80">
        <w:rPr>
          <w:rFonts w:asciiTheme="majorHAnsi" w:hAnsiTheme="majorHAnsi" w:cs="Times New Roman"/>
          <w:szCs w:val="22"/>
        </w:rPr>
        <w:t>el</w:t>
      </w:r>
      <w:r w:rsidRPr="00B24A80">
        <w:rPr>
          <w:rFonts w:asciiTheme="majorHAnsi" w:hAnsiTheme="majorHAnsi" w:cs="Times New Roman"/>
          <w:spacing w:val="-4"/>
          <w:szCs w:val="22"/>
        </w:rPr>
        <w:t xml:space="preserve"> </w:t>
      </w:r>
      <w:r w:rsidRPr="00B24A80">
        <w:rPr>
          <w:rFonts w:asciiTheme="majorHAnsi" w:hAnsiTheme="majorHAnsi" w:cs="Times New Roman"/>
          <w:szCs w:val="22"/>
        </w:rPr>
        <w:t>uso</w:t>
      </w:r>
      <w:r w:rsidRPr="00B24A80">
        <w:rPr>
          <w:rFonts w:asciiTheme="majorHAnsi" w:hAnsiTheme="majorHAnsi" w:cs="Times New Roman"/>
          <w:spacing w:val="-1"/>
          <w:szCs w:val="22"/>
        </w:rPr>
        <w:t xml:space="preserve"> </w:t>
      </w:r>
      <w:r w:rsidRPr="00B24A80">
        <w:rPr>
          <w:rFonts w:asciiTheme="majorHAnsi" w:hAnsiTheme="majorHAnsi" w:cs="Times New Roman"/>
          <w:szCs w:val="22"/>
        </w:rPr>
        <w:t>específico</w:t>
      </w:r>
      <w:r w:rsidRPr="00B24A80">
        <w:rPr>
          <w:rFonts w:asciiTheme="majorHAnsi" w:hAnsiTheme="majorHAnsi" w:cs="Times New Roman"/>
          <w:spacing w:val="-3"/>
          <w:szCs w:val="22"/>
        </w:rPr>
        <w:t xml:space="preserve"> </w:t>
      </w:r>
      <w:r w:rsidRPr="00B24A80">
        <w:rPr>
          <w:rFonts w:asciiTheme="majorHAnsi" w:hAnsiTheme="majorHAnsi" w:cs="Times New Roman"/>
          <w:szCs w:val="22"/>
        </w:rPr>
        <w:t>permitido</w:t>
      </w:r>
      <w:r w:rsidRPr="00B24A80">
        <w:rPr>
          <w:rFonts w:asciiTheme="majorHAnsi" w:hAnsiTheme="majorHAnsi" w:cs="Times New Roman"/>
          <w:spacing w:val="-2"/>
          <w:szCs w:val="22"/>
        </w:rPr>
        <w:t xml:space="preserve"> </w:t>
      </w:r>
      <w:r w:rsidRPr="00B24A80">
        <w:rPr>
          <w:rFonts w:asciiTheme="majorHAnsi" w:hAnsiTheme="majorHAnsi" w:cs="Times New Roman"/>
          <w:szCs w:val="22"/>
        </w:rPr>
        <w:t>en la</w:t>
      </w:r>
      <w:r w:rsidRPr="00B24A80">
        <w:rPr>
          <w:rFonts w:asciiTheme="majorHAnsi" w:hAnsiTheme="majorHAnsi" w:cs="Times New Roman"/>
          <w:spacing w:val="-3"/>
          <w:szCs w:val="22"/>
        </w:rPr>
        <w:t xml:space="preserve"> </w:t>
      </w:r>
      <w:r w:rsidRPr="00B24A80">
        <w:rPr>
          <w:rFonts w:asciiTheme="majorHAnsi" w:hAnsiTheme="majorHAnsi" w:cs="Times New Roman"/>
          <w:szCs w:val="22"/>
        </w:rPr>
        <w:t>totalidad</w:t>
      </w:r>
      <w:r w:rsidRPr="00B24A80">
        <w:rPr>
          <w:rFonts w:asciiTheme="majorHAnsi" w:hAnsiTheme="majorHAnsi" w:cs="Times New Roman"/>
          <w:spacing w:val="-3"/>
          <w:szCs w:val="22"/>
        </w:rPr>
        <w:t xml:space="preserve"> </w:t>
      </w:r>
      <w:r w:rsidRPr="00B24A80">
        <w:rPr>
          <w:rFonts w:asciiTheme="majorHAnsi" w:hAnsiTheme="majorHAnsi" w:cs="Times New Roman"/>
          <w:szCs w:val="22"/>
        </w:rPr>
        <w:t>de</w:t>
      </w:r>
      <w:r w:rsidRPr="00B24A80">
        <w:rPr>
          <w:rFonts w:asciiTheme="majorHAnsi" w:hAnsiTheme="majorHAnsi" w:cs="Times New Roman"/>
          <w:spacing w:val="-3"/>
          <w:szCs w:val="22"/>
        </w:rPr>
        <w:t xml:space="preserve"> </w:t>
      </w:r>
      <w:r w:rsidRPr="00B24A80">
        <w:rPr>
          <w:rFonts w:asciiTheme="majorHAnsi" w:hAnsiTheme="majorHAnsi" w:cs="Times New Roman"/>
          <w:szCs w:val="22"/>
        </w:rPr>
        <w:t>una</w:t>
      </w:r>
      <w:r w:rsidRPr="00B24A80">
        <w:rPr>
          <w:rFonts w:asciiTheme="majorHAnsi" w:hAnsiTheme="majorHAnsi" w:cs="Times New Roman"/>
          <w:spacing w:val="-3"/>
          <w:szCs w:val="22"/>
        </w:rPr>
        <w:t xml:space="preserve"> </w:t>
      </w:r>
      <w:r w:rsidRPr="00B24A80">
        <w:rPr>
          <w:rFonts w:asciiTheme="majorHAnsi" w:hAnsiTheme="majorHAnsi" w:cs="Times New Roman"/>
          <w:szCs w:val="22"/>
        </w:rPr>
        <w:t>zona.</w:t>
      </w:r>
    </w:p>
    <w:p w14:paraId="7B01163F" w14:textId="77777777" w:rsidR="005E16E8" w:rsidRPr="00B24A80" w:rsidRDefault="005E16E8" w:rsidP="00CA24CF">
      <w:pPr>
        <w:pStyle w:val="Prrafodelista"/>
        <w:numPr>
          <w:ilvl w:val="0"/>
          <w:numId w:val="105"/>
        </w:numPr>
        <w:tabs>
          <w:tab w:val="left" w:pos="822"/>
        </w:tabs>
        <w:autoSpaceDE w:val="0"/>
        <w:autoSpaceDN w:val="0"/>
        <w:ind w:left="821" w:right="121"/>
        <w:contextualSpacing w:val="0"/>
        <w:rPr>
          <w:rFonts w:asciiTheme="majorHAnsi" w:hAnsiTheme="majorHAnsi" w:cs="Times New Roman"/>
          <w:szCs w:val="22"/>
        </w:rPr>
      </w:pPr>
      <w:r w:rsidRPr="00B24A80">
        <w:rPr>
          <w:rFonts w:asciiTheme="majorHAnsi" w:hAnsiTheme="majorHAnsi" w:cs="Times New Roman"/>
          <w:szCs w:val="22"/>
        </w:rPr>
        <w:t>Uso</w:t>
      </w:r>
      <w:r w:rsidRPr="00B24A80">
        <w:rPr>
          <w:rFonts w:asciiTheme="majorHAnsi" w:hAnsiTheme="majorHAnsi" w:cs="Times New Roman"/>
          <w:spacing w:val="1"/>
          <w:szCs w:val="22"/>
        </w:rPr>
        <w:t xml:space="preserve"> </w:t>
      </w:r>
      <w:r w:rsidRPr="00B24A80">
        <w:rPr>
          <w:rFonts w:asciiTheme="majorHAnsi" w:hAnsiTheme="majorHAnsi" w:cs="Times New Roman"/>
          <w:szCs w:val="22"/>
        </w:rPr>
        <w:t>complementario.</w:t>
      </w:r>
      <w:r w:rsidRPr="00B24A80">
        <w:rPr>
          <w:rFonts w:asciiTheme="majorHAnsi" w:hAnsiTheme="majorHAnsi" w:cs="Times New Roman"/>
          <w:spacing w:val="1"/>
          <w:szCs w:val="22"/>
        </w:rPr>
        <w:t xml:space="preserve"> </w:t>
      </w:r>
      <w:r w:rsidRPr="00B24A80">
        <w:rPr>
          <w:rFonts w:asciiTheme="majorHAnsi" w:hAnsiTheme="majorHAnsi" w:cs="Times New Roman"/>
          <w:szCs w:val="22"/>
        </w:rPr>
        <w:t>Es</w:t>
      </w:r>
      <w:r w:rsidRPr="00B24A80">
        <w:rPr>
          <w:rFonts w:asciiTheme="majorHAnsi" w:hAnsiTheme="majorHAnsi" w:cs="Times New Roman"/>
          <w:spacing w:val="1"/>
          <w:szCs w:val="22"/>
        </w:rPr>
        <w:t xml:space="preserve"> </w:t>
      </w:r>
      <w:r w:rsidRPr="00B24A80">
        <w:rPr>
          <w:rFonts w:asciiTheme="majorHAnsi" w:hAnsiTheme="majorHAnsi" w:cs="Times New Roman"/>
          <w:szCs w:val="22"/>
        </w:rPr>
        <w:t>aquel</w:t>
      </w:r>
      <w:r w:rsidRPr="00B24A80">
        <w:rPr>
          <w:rFonts w:asciiTheme="majorHAnsi" w:hAnsiTheme="majorHAnsi" w:cs="Times New Roman"/>
          <w:spacing w:val="1"/>
          <w:szCs w:val="22"/>
        </w:rPr>
        <w:t xml:space="preserve"> </w:t>
      </w:r>
      <w:r w:rsidRPr="00B24A80">
        <w:rPr>
          <w:rFonts w:asciiTheme="majorHAnsi" w:hAnsiTheme="majorHAnsi" w:cs="Times New Roman"/>
          <w:szCs w:val="22"/>
        </w:rPr>
        <w:t>que</w:t>
      </w:r>
      <w:r w:rsidRPr="00B24A80">
        <w:rPr>
          <w:rFonts w:asciiTheme="majorHAnsi" w:hAnsiTheme="majorHAnsi" w:cs="Times New Roman"/>
          <w:spacing w:val="1"/>
          <w:szCs w:val="22"/>
        </w:rPr>
        <w:t xml:space="preserve"> </w:t>
      </w:r>
      <w:r w:rsidRPr="00B24A80">
        <w:rPr>
          <w:rFonts w:asciiTheme="majorHAnsi" w:hAnsiTheme="majorHAnsi" w:cs="Times New Roman"/>
          <w:szCs w:val="22"/>
        </w:rPr>
        <w:t>contribuye</w:t>
      </w:r>
      <w:r w:rsidRPr="00B24A80">
        <w:rPr>
          <w:rFonts w:asciiTheme="majorHAnsi" w:hAnsiTheme="majorHAnsi" w:cs="Times New Roman"/>
          <w:spacing w:val="1"/>
          <w:szCs w:val="22"/>
        </w:rPr>
        <w:t xml:space="preserve"> </w:t>
      </w:r>
      <w:r w:rsidRPr="00B24A80">
        <w:rPr>
          <w:rFonts w:asciiTheme="majorHAnsi" w:hAnsiTheme="majorHAnsi" w:cs="Times New Roman"/>
          <w:szCs w:val="22"/>
        </w:rPr>
        <w:t>al</w:t>
      </w:r>
      <w:r w:rsidRPr="00B24A80">
        <w:rPr>
          <w:rFonts w:asciiTheme="majorHAnsi" w:hAnsiTheme="majorHAnsi" w:cs="Times New Roman"/>
          <w:spacing w:val="1"/>
          <w:szCs w:val="22"/>
        </w:rPr>
        <w:t xml:space="preserve"> </w:t>
      </w:r>
      <w:r w:rsidRPr="00B24A80">
        <w:rPr>
          <w:rFonts w:asciiTheme="majorHAnsi" w:hAnsiTheme="majorHAnsi" w:cs="Times New Roman"/>
          <w:szCs w:val="22"/>
        </w:rPr>
        <w:t>adecuado</w:t>
      </w:r>
      <w:r w:rsidRPr="00B24A80">
        <w:rPr>
          <w:rFonts w:asciiTheme="majorHAnsi" w:hAnsiTheme="majorHAnsi" w:cs="Times New Roman"/>
          <w:spacing w:val="1"/>
          <w:szCs w:val="22"/>
        </w:rPr>
        <w:t xml:space="preserve"> </w:t>
      </w:r>
      <w:r w:rsidRPr="00B24A80">
        <w:rPr>
          <w:rFonts w:asciiTheme="majorHAnsi" w:hAnsiTheme="majorHAnsi" w:cs="Times New Roman"/>
          <w:szCs w:val="22"/>
        </w:rPr>
        <w:t>funcionamiento</w:t>
      </w:r>
      <w:r w:rsidRPr="00B24A80">
        <w:rPr>
          <w:rFonts w:asciiTheme="majorHAnsi" w:hAnsiTheme="majorHAnsi" w:cs="Times New Roman"/>
          <w:spacing w:val="-7"/>
          <w:szCs w:val="22"/>
        </w:rPr>
        <w:t xml:space="preserve"> </w:t>
      </w:r>
      <w:r w:rsidRPr="00B24A80">
        <w:rPr>
          <w:rFonts w:asciiTheme="majorHAnsi" w:hAnsiTheme="majorHAnsi" w:cs="Times New Roman"/>
          <w:szCs w:val="22"/>
        </w:rPr>
        <w:t>del</w:t>
      </w:r>
      <w:r w:rsidRPr="00B24A80">
        <w:rPr>
          <w:rFonts w:asciiTheme="majorHAnsi" w:hAnsiTheme="majorHAnsi" w:cs="Times New Roman"/>
          <w:spacing w:val="-7"/>
          <w:szCs w:val="22"/>
        </w:rPr>
        <w:t xml:space="preserve"> </w:t>
      </w:r>
      <w:r w:rsidRPr="00B24A80">
        <w:rPr>
          <w:rFonts w:asciiTheme="majorHAnsi" w:hAnsiTheme="majorHAnsi" w:cs="Times New Roman"/>
          <w:szCs w:val="22"/>
        </w:rPr>
        <w:t>uso</w:t>
      </w:r>
      <w:r w:rsidRPr="00B24A80">
        <w:rPr>
          <w:rFonts w:asciiTheme="majorHAnsi" w:hAnsiTheme="majorHAnsi" w:cs="Times New Roman"/>
          <w:spacing w:val="-6"/>
          <w:szCs w:val="22"/>
        </w:rPr>
        <w:t xml:space="preserve"> </w:t>
      </w:r>
      <w:r w:rsidRPr="00B24A80">
        <w:rPr>
          <w:rFonts w:asciiTheme="majorHAnsi" w:hAnsiTheme="majorHAnsi" w:cs="Times New Roman"/>
          <w:szCs w:val="22"/>
        </w:rPr>
        <w:t>principal,</w:t>
      </w:r>
      <w:r w:rsidRPr="00B24A80">
        <w:rPr>
          <w:rFonts w:asciiTheme="majorHAnsi" w:hAnsiTheme="majorHAnsi" w:cs="Times New Roman"/>
          <w:spacing w:val="-7"/>
          <w:szCs w:val="22"/>
        </w:rPr>
        <w:t xml:space="preserve"> </w:t>
      </w:r>
      <w:r w:rsidRPr="00B24A80">
        <w:rPr>
          <w:rFonts w:asciiTheme="majorHAnsi" w:hAnsiTheme="majorHAnsi" w:cs="Times New Roman"/>
          <w:szCs w:val="22"/>
        </w:rPr>
        <w:t>permitiéndose</w:t>
      </w:r>
      <w:r w:rsidRPr="00B24A80">
        <w:rPr>
          <w:rFonts w:asciiTheme="majorHAnsi" w:hAnsiTheme="majorHAnsi" w:cs="Times New Roman"/>
          <w:spacing w:val="-6"/>
          <w:szCs w:val="22"/>
        </w:rPr>
        <w:t xml:space="preserve"> </w:t>
      </w:r>
      <w:r w:rsidRPr="00B24A80">
        <w:rPr>
          <w:rFonts w:asciiTheme="majorHAnsi" w:hAnsiTheme="majorHAnsi" w:cs="Times New Roman"/>
          <w:szCs w:val="22"/>
        </w:rPr>
        <w:t>en</w:t>
      </w:r>
      <w:r w:rsidRPr="00B24A80">
        <w:rPr>
          <w:rFonts w:asciiTheme="majorHAnsi" w:hAnsiTheme="majorHAnsi" w:cs="Times New Roman"/>
          <w:spacing w:val="-6"/>
          <w:szCs w:val="22"/>
        </w:rPr>
        <w:t xml:space="preserve"> </w:t>
      </w:r>
      <w:r w:rsidRPr="00B24A80">
        <w:rPr>
          <w:rFonts w:asciiTheme="majorHAnsi" w:hAnsiTheme="majorHAnsi" w:cs="Times New Roman"/>
          <w:szCs w:val="22"/>
        </w:rPr>
        <w:t>aquellas</w:t>
      </w:r>
      <w:r w:rsidRPr="00B24A80">
        <w:rPr>
          <w:rFonts w:asciiTheme="majorHAnsi" w:hAnsiTheme="majorHAnsi" w:cs="Times New Roman"/>
          <w:spacing w:val="-7"/>
          <w:szCs w:val="22"/>
        </w:rPr>
        <w:t xml:space="preserve"> </w:t>
      </w:r>
      <w:r w:rsidRPr="00B24A80">
        <w:rPr>
          <w:rFonts w:asciiTheme="majorHAnsi" w:hAnsiTheme="majorHAnsi" w:cs="Times New Roman"/>
          <w:szCs w:val="22"/>
        </w:rPr>
        <w:t>áreas</w:t>
      </w:r>
      <w:r w:rsidRPr="00B24A80">
        <w:rPr>
          <w:rFonts w:asciiTheme="majorHAnsi" w:hAnsiTheme="majorHAnsi" w:cs="Times New Roman"/>
          <w:spacing w:val="-9"/>
          <w:szCs w:val="22"/>
        </w:rPr>
        <w:t xml:space="preserve"> </w:t>
      </w:r>
      <w:r w:rsidRPr="00B24A80">
        <w:rPr>
          <w:rFonts w:asciiTheme="majorHAnsi" w:hAnsiTheme="majorHAnsi" w:cs="Times New Roman"/>
          <w:szCs w:val="22"/>
        </w:rPr>
        <w:t>que</w:t>
      </w:r>
      <w:r w:rsidRPr="00B24A80">
        <w:rPr>
          <w:rFonts w:asciiTheme="majorHAnsi" w:hAnsiTheme="majorHAnsi" w:cs="Times New Roman"/>
          <w:spacing w:val="-6"/>
          <w:szCs w:val="22"/>
        </w:rPr>
        <w:t xml:space="preserve"> </w:t>
      </w:r>
      <w:r w:rsidRPr="00B24A80">
        <w:rPr>
          <w:rFonts w:asciiTheme="majorHAnsi" w:hAnsiTheme="majorHAnsi" w:cs="Times New Roman"/>
          <w:szCs w:val="22"/>
        </w:rPr>
        <w:t>se</w:t>
      </w:r>
      <w:r w:rsidRPr="00B24A80">
        <w:rPr>
          <w:rFonts w:asciiTheme="majorHAnsi" w:hAnsiTheme="majorHAnsi" w:cs="Times New Roman"/>
          <w:spacing w:val="-64"/>
          <w:szCs w:val="22"/>
        </w:rPr>
        <w:t xml:space="preserve"> </w:t>
      </w:r>
      <w:r w:rsidRPr="00B24A80">
        <w:rPr>
          <w:rFonts w:asciiTheme="majorHAnsi" w:hAnsiTheme="majorHAnsi" w:cs="Times New Roman"/>
          <w:szCs w:val="22"/>
        </w:rPr>
        <w:t>señale</w:t>
      </w:r>
      <w:r w:rsidRPr="00B24A80">
        <w:rPr>
          <w:rFonts w:asciiTheme="majorHAnsi" w:hAnsiTheme="majorHAnsi" w:cs="Times New Roman"/>
          <w:spacing w:val="-3"/>
          <w:szCs w:val="22"/>
        </w:rPr>
        <w:t xml:space="preserve"> </w:t>
      </w:r>
      <w:r w:rsidRPr="00B24A80">
        <w:rPr>
          <w:rFonts w:asciiTheme="majorHAnsi" w:hAnsiTheme="majorHAnsi" w:cs="Times New Roman"/>
          <w:szCs w:val="22"/>
        </w:rPr>
        <w:t>de</w:t>
      </w:r>
      <w:r w:rsidRPr="00B24A80">
        <w:rPr>
          <w:rFonts w:asciiTheme="majorHAnsi" w:hAnsiTheme="majorHAnsi" w:cs="Times New Roman"/>
          <w:spacing w:val="-2"/>
          <w:szCs w:val="22"/>
        </w:rPr>
        <w:t xml:space="preserve"> </w:t>
      </w:r>
      <w:r w:rsidRPr="00B24A80">
        <w:rPr>
          <w:rFonts w:asciiTheme="majorHAnsi" w:hAnsiTheme="majorHAnsi" w:cs="Times New Roman"/>
          <w:szCs w:val="22"/>
        </w:rPr>
        <w:t>forma específica.</w:t>
      </w:r>
    </w:p>
    <w:p w14:paraId="73BF65F2" w14:textId="77777777" w:rsidR="005E16E8" w:rsidRPr="00B24A80" w:rsidRDefault="005E16E8" w:rsidP="00CA24CF">
      <w:pPr>
        <w:pStyle w:val="Prrafodelista"/>
        <w:numPr>
          <w:ilvl w:val="0"/>
          <w:numId w:val="105"/>
        </w:numPr>
        <w:tabs>
          <w:tab w:val="left" w:pos="822"/>
        </w:tabs>
        <w:autoSpaceDE w:val="0"/>
        <w:autoSpaceDN w:val="0"/>
        <w:ind w:left="821" w:right="116"/>
        <w:contextualSpacing w:val="0"/>
        <w:rPr>
          <w:rFonts w:asciiTheme="majorHAnsi" w:hAnsiTheme="majorHAnsi" w:cs="Times New Roman"/>
          <w:szCs w:val="22"/>
        </w:rPr>
      </w:pPr>
      <w:r w:rsidRPr="00B24A80">
        <w:rPr>
          <w:rFonts w:asciiTheme="majorHAnsi" w:hAnsiTheme="majorHAnsi" w:cs="Times New Roman"/>
          <w:szCs w:val="22"/>
        </w:rPr>
        <w:t>Uso</w:t>
      </w:r>
      <w:r w:rsidRPr="00B24A80">
        <w:rPr>
          <w:rFonts w:asciiTheme="majorHAnsi" w:hAnsiTheme="majorHAnsi" w:cs="Times New Roman"/>
          <w:spacing w:val="1"/>
          <w:szCs w:val="22"/>
        </w:rPr>
        <w:t xml:space="preserve"> </w:t>
      </w:r>
      <w:r w:rsidRPr="00B24A80">
        <w:rPr>
          <w:rFonts w:asciiTheme="majorHAnsi" w:hAnsiTheme="majorHAnsi" w:cs="Times New Roman"/>
          <w:szCs w:val="22"/>
        </w:rPr>
        <w:t>restringido.</w:t>
      </w:r>
      <w:r w:rsidRPr="00B24A80">
        <w:rPr>
          <w:rFonts w:asciiTheme="majorHAnsi" w:hAnsiTheme="majorHAnsi" w:cs="Times New Roman"/>
          <w:spacing w:val="1"/>
          <w:szCs w:val="22"/>
        </w:rPr>
        <w:t xml:space="preserve"> </w:t>
      </w:r>
      <w:r w:rsidRPr="00B24A80">
        <w:rPr>
          <w:rFonts w:asciiTheme="majorHAnsi" w:hAnsiTheme="majorHAnsi" w:cs="Times New Roman"/>
          <w:szCs w:val="22"/>
        </w:rPr>
        <w:t>Es</w:t>
      </w:r>
      <w:r w:rsidRPr="00B24A80">
        <w:rPr>
          <w:rFonts w:asciiTheme="majorHAnsi" w:hAnsiTheme="majorHAnsi" w:cs="Times New Roman"/>
          <w:spacing w:val="1"/>
          <w:szCs w:val="22"/>
        </w:rPr>
        <w:t xml:space="preserve"> </w:t>
      </w:r>
      <w:r w:rsidRPr="00B24A80">
        <w:rPr>
          <w:rFonts w:asciiTheme="majorHAnsi" w:hAnsiTheme="majorHAnsi" w:cs="Times New Roman"/>
          <w:szCs w:val="22"/>
        </w:rPr>
        <w:t>aquel</w:t>
      </w:r>
      <w:r w:rsidRPr="00B24A80">
        <w:rPr>
          <w:rFonts w:asciiTheme="majorHAnsi" w:hAnsiTheme="majorHAnsi" w:cs="Times New Roman"/>
          <w:spacing w:val="1"/>
          <w:szCs w:val="22"/>
        </w:rPr>
        <w:t xml:space="preserve"> </w:t>
      </w:r>
      <w:r w:rsidRPr="00B24A80">
        <w:rPr>
          <w:rFonts w:asciiTheme="majorHAnsi" w:hAnsiTheme="majorHAnsi" w:cs="Times New Roman"/>
          <w:szCs w:val="22"/>
        </w:rPr>
        <w:t>que</w:t>
      </w:r>
      <w:r w:rsidRPr="00B24A80">
        <w:rPr>
          <w:rFonts w:asciiTheme="majorHAnsi" w:hAnsiTheme="majorHAnsi" w:cs="Times New Roman"/>
          <w:spacing w:val="1"/>
          <w:szCs w:val="22"/>
        </w:rPr>
        <w:t xml:space="preserve"> </w:t>
      </w:r>
      <w:r w:rsidRPr="00B24A80">
        <w:rPr>
          <w:rFonts w:asciiTheme="majorHAnsi" w:hAnsiTheme="majorHAnsi" w:cs="Times New Roman"/>
          <w:szCs w:val="22"/>
        </w:rPr>
        <w:t>no</w:t>
      </w:r>
      <w:r w:rsidRPr="00B24A80">
        <w:rPr>
          <w:rFonts w:asciiTheme="majorHAnsi" w:hAnsiTheme="majorHAnsi" w:cs="Times New Roman"/>
          <w:spacing w:val="1"/>
          <w:szCs w:val="22"/>
        </w:rPr>
        <w:t xml:space="preserve"> </w:t>
      </w:r>
      <w:r w:rsidRPr="00B24A80">
        <w:rPr>
          <w:rFonts w:asciiTheme="majorHAnsi" w:hAnsiTheme="majorHAnsi" w:cs="Times New Roman"/>
          <w:szCs w:val="22"/>
        </w:rPr>
        <w:t>es</w:t>
      </w:r>
      <w:r w:rsidRPr="00B24A80">
        <w:rPr>
          <w:rFonts w:asciiTheme="majorHAnsi" w:hAnsiTheme="majorHAnsi" w:cs="Times New Roman"/>
          <w:spacing w:val="1"/>
          <w:szCs w:val="22"/>
        </w:rPr>
        <w:t xml:space="preserve"> </w:t>
      </w:r>
      <w:r w:rsidRPr="00B24A80">
        <w:rPr>
          <w:rFonts w:asciiTheme="majorHAnsi" w:hAnsiTheme="majorHAnsi" w:cs="Times New Roman"/>
          <w:szCs w:val="22"/>
        </w:rPr>
        <w:t>requerido</w:t>
      </w:r>
      <w:r w:rsidRPr="00B24A80">
        <w:rPr>
          <w:rFonts w:asciiTheme="majorHAnsi" w:hAnsiTheme="majorHAnsi" w:cs="Times New Roman"/>
          <w:spacing w:val="1"/>
          <w:szCs w:val="22"/>
        </w:rPr>
        <w:t xml:space="preserve"> </w:t>
      </w:r>
      <w:r w:rsidRPr="00B24A80">
        <w:rPr>
          <w:rFonts w:asciiTheme="majorHAnsi" w:hAnsiTheme="majorHAnsi" w:cs="Times New Roman"/>
          <w:szCs w:val="22"/>
        </w:rPr>
        <w:t>para</w:t>
      </w:r>
      <w:r w:rsidRPr="00B24A80">
        <w:rPr>
          <w:rFonts w:asciiTheme="majorHAnsi" w:hAnsiTheme="majorHAnsi" w:cs="Times New Roman"/>
          <w:spacing w:val="1"/>
          <w:szCs w:val="22"/>
        </w:rPr>
        <w:t xml:space="preserve"> </w:t>
      </w:r>
      <w:r w:rsidRPr="00B24A80">
        <w:rPr>
          <w:rFonts w:asciiTheme="majorHAnsi" w:hAnsiTheme="majorHAnsi" w:cs="Times New Roman"/>
          <w:szCs w:val="22"/>
        </w:rPr>
        <w:t>el</w:t>
      </w:r>
      <w:r w:rsidRPr="00B24A80">
        <w:rPr>
          <w:rFonts w:asciiTheme="majorHAnsi" w:hAnsiTheme="majorHAnsi" w:cs="Times New Roman"/>
          <w:spacing w:val="1"/>
          <w:szCs w:val="22"/>
        </w:rPr>
        <w:t xml:space="preserve"> </w:t>
      </w:r>
      <w:r w:rsidRPr="00B24A80">
        <w:rPr>
          <w:rFonts w:asciiTheme="majorHAnsi" w:hAnsiTheme="majorHAnsi" w:cs="Times New Roman"/>
          <w:szCs w:val="22"/>
        </w:rPr>
        <w:t>adecuado</w:t>
      </w:r>
      <w:r w:rsidRPr="00B24A80">
        <w:rPr>
          <w:rFonts w:asciiTheme="majorHAnsi" w:hAnsiTheme="majorHAnsi" w:cs="Times New Roman"/>
          <w:spacing w:val="1"/>
          <w:szCs w:val="22"/>
        </w:rPr>
        <w:t xml:space="preserve"> </w:t>
      </w:r>
      <w:r w:rsidRPr="00B24A80">
        <w:rPr>
          <w:rFonts w:asciiTheme="majorHAnsi" w:hAnsiTheme="majorHAnsi" w:cs="Times New Roman"/>
          <w:szCs w:val="22"/>
        </w:rPr>
        <w:t>funcionamiento del uso principal, pero que se permite bajo determinadas</w:t>
      </w:r>
      <w:r w:rsidRPr="00B24A80">
        <w:rPr>
          <w:rFonts w:asciiTheme="majorHAnsi" w:hAnsiTheme="majorHAnsi" w:cs="Times New Roman"/>
          <w:spacing w:val="-64"/>
          <w:szCs w:val="22"/>
        </w:rPr>
        <w:t xml:space="preserve"> </w:t>
      </w:r>
      <w:r w:rsidRPr="00B24A80">
        <w:rPr>
          <w:rFonts w:asciiTheme="majorHAnsi" w:hAnsiTheme="majorHAnsi" w:cs="Times New Roman"/>
          <w:szCs w:val="22"/>
        </w:rPr>
        <w:t>condiciones.</w:t>
      </w:r>
    </w:p>
    <w:p w14:paraId="10B6E6E2" w14:textId="1D68BEEB" w:rsidR="005E16E8" w:rsidRPr="00B24A80" w:rsidRDefault="005E16E8" w:rsidP="00CA24CF">
      <w:pPr>
        <w:pStyle w:val="Prrafodelista"/>
        <w:numPr>
          <w:ilvl w:val="0"/>
          <w:numId w:val="105"/>
        </w:numPr>
        <w:tabs>
          <w:tab w:val="left" w:pos="822"/>
        </w:tabs>
        <w:autoSpaceDE w:val="0"/>
        <w:autoSpaceDN w:val="0"/>
        <w:ind w:left="821" w:right="119"/>
        <w:contextualSpacing w:val="0"/>
        <w:rPr>
          <w:rFonts w:asciiTheme="majorHAnsi" w:hAnsiTheme="majorHAnsi" w:cs="Times New Roman"/>
          <w:szCs w:val="22"/>
        </w:rPr>
      </w:pPr>
      <w:r w:rsidRPr="00B24A80">
        <w:rPr>
          <w:rFonts w:asciiTheme="majorHAnsi" w:hAnsiTheme="majorHAnsi" w:cs="Times New Roman"/>
          <w:szCs w:val="22"/>
        </w:rPr>
        <w:t>Uso prohibido. Es aquel que no es compatible con el uso principal o</w:t>
      </w:r>
      <w:r w:rsidRPr="00B24A80">
        <w:rPr>
          <w:rFonts w:asciiTheme="majorHAnsi" w:hAnsiTheme="majorHAnsi" w:cs="Times New Roman"/>
          <w:spacing w:val="1"/>
          <w:szCs w:val="22"/>
        </w:rPr>
        <w:t xml:space="preserve"> </w:t>
      </w:r>
      <w:r w:rsidRPr="00B24A80">
        <w:rPr>
          <w:rFonts w:asciiTheme="majorHAnsi" w:hAnsiTheme="majorHAnsi" w:cs="Times New Roman"/>
          <w:szCs w:val="22"/>
        </w:rPr>
        <w:t>complementario, y no es permitido en una determinada zona. Los usos</w:t>
      </w:r>
      <w:r w:rsidRPr="00B24A80">
        <w:rPr>
          <w:rFonts w:asciiTheme="majorHAnsi" w:hAnsiTheme="majorHAnsi" w:cs="Times New Roman"/>
          <w:spacing w:val="1"/>
          <w:szCs w:val="22"/>
        </w:rPr>
        <w:t xml:space="preserve"> </w:t>
      </w:r>
      <w:r w:rsidRPr="00B24A80">
        <w:rPr>
          <w:rFonts w:asciiTheme="majorHAnsi" w:hAnsiTheme="majorHAnsi" w:cs="Times New Roman"/>
          <w:szCs w:val="22"/>
        </w:rPr>
        <w:t>que no estén previstos como principales, complementarios o restringidos</w:t>
      </w:r>
      <w:r w:rsidRPr="00B24A80">
        <w:rPr>
          <w:rFonts w:asciiTheme="majorHAnsi" w:hAnsiTheme="majorHAnsi" w:cs="Times New Roman"/>
          <w:spacing w:val="-64"/>
          <w:szCs w:val="22"/>
        </w:rPr>
        <w:t xml:space="preserve"> </w:t>
      </w:r>
      <w:r w:rsidRPr="00B24A80">
        <w:rPr>
          <w:rFonts w:asciiTheme="majorHAnsi" w:hAnsiTheme="majorHAnsi" w:cs="Times New Roman"/>
          <w:szCs w:val="22"/>
        </w:rPr>
        <w:t>se</w:t>
      </w:r>
      <w:r w:rsidRPr="00B24A80">
        <w:rPr>
          <w:rFonts w:asciiTheme="majorHAnsi" w:hAnsiTheme="majorHAnsi" w:cs="Times New Roman"/>
          <w:spacing w:val="-1"/>
          <w:szCs w:val="22"/>
        </w:rPr>
        <w:t xml:space="preserve"> </w:t>
      </w:r>
      <w:r w:rsidRPr="00B24A80">
        <w:rPr>
          <w:rFonts w:asciiTheme="majorHAnsi" w:hAnsiTheme="majorHAnsi" w:cs="Times New Roman"/>
          <w:szCs w:val="22"/>
        </w:rPr>
        <w:t>encuentran</w:t>
      </w:r>
      <w:r w:rsidRPr="00B24A80">
        <w:rPr>
          <w:rFonts w:asciiTheme="majorHAnsi" w:hAnsiTheme="majorHAnsi" w:cs="Times New Roman"/>
          <w:spacing w:val="-2"/>
          <w:szCs w:val="22"/>
        </w:rPr>
        <w:t xml:space="preserve"> </w:t>
      </w:r>
      <w:r w:rsidRPr="00B24A80">
        <w:rPr>
          <w:rFonts w:asciiTheme="majorHAnsi" w:hAnsiTheme="majorHAnsi" w:cs="Times New Roman"/>
          <w:szCs w:val="22"/>
        </w:rPr>
        <w:t>prohibidos.</w:t>
      </w:r>
    </w:p>
    <w:p w14:paraId="56710C0B" w14:textId="77777777" w:rsidR="00581E06" w:rsidRPr="00B24A80" w:rsidRDefault="00581E06" w:rsidP="00581E06">
      <w:pPr>
        <w:pStyle w:val="Prrafodelista"/>
        <w:tabs>
          <w:tab w:val="left" w:pos="822"/>
        </w:tabs>
        <w:autoSpaceDE w:val="0"/>
        <w:autoSpaceDN w:val="0"/>
        <w:ind w:left="821" w:right="119"/>
        <w:contextualSpacing w:val="0"/>
        <w:rPr>
          <w:rFonts w:ascii="Times New Roman" w:hAnsi="Times New Roman" w:cs="Times New Roman"/>
          <w:szCs w:val="22"/>
        </w:rPr>
      </w:pPr>
    </w:p>
    <w:p w14:paraId="2408BF6D" w14:textId="6DD16792" w:rsidR="00C14635"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Ocupación del suelo. - </w:t>
      </w:r>
      <w:r w:rsidRPr="00B24A80">
        <w:rPr>
          <w:rFonts w:asciiTheme="majorHAnsi" w:eastAsia="Calibri" w:hAnsiTheme="majorHAnsi" w:cstheme="majorHAnsi"/>
          <w:szCs w:val="22"/>
        </w:rPr>
        <w:t xml:space="preserve">Cada PIT detalla el nivel de aprovechamiento constructivo que se deberá implementar en función de la subclasificación del suelo y los usos asignados. Para el caso del suelo rural, relacionado con las dinámicas del </w:t>
      </w:r>
      <w:r w:rsidR="00083C09" w:rsidRPr="00B24A80">
        <w:rPr>
          <w:rFonts w:asciiTheme="majorHAnsi" w:eastAsia="Calibri" w:hAnsiTheme="majorHAnsi" w:cstheme="majorHAnsi"/>
          <w:szCs w:val="22"/>
        </w:rPr>
        <w:t>C</w:t>
      </w:r>
      <w:r w:rsidRPr="00B24A80">
        <w:rPr>
          <w:rFonts w:asciiTheme="majorHAnsi" w:eastAsia="Calibri" w:hAnsiTheme="majorHAnsi" w:cstheme="majorHAnsi"/>
          <w:szCs w:val="22"/>
        </w:rPr>
        <w:t>antón como territorios colectivos, adjudicaciones pendientes y relacionamiento de asentamientos humanos, se definieron fraccionamientos restringidos y no permitidos.</w:t>
      </w:r>
    </w:p>
    <w:p w14:paraId="2E481BD1" w14:textId="7AEAFD6A" w:rsidR="005E16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Componente urbanístico – suelo rural de protección. – </w:t>
      </w:r>
      <w:r w:rsidRPr="00B24A80">
        <w:rPr>
          <w:rFonts w:asciiTheme="majorHAnsi" w:eastAsia="Calibri" w:hAnsiTheme="majorHAnsi" w:cstheme="majorHAnsi"/>
          <w:szCs w:val="22"/>
        </w:rPr>
        <w:t>De acuerdo a la normativa legal vigente, se determina para cada Polígono de Intervención Territorial, los tratamientos, usos y aprovechamientos correspondientes, que se deben respetar y cumplir.</w:t>
      </w:r>
    </w:p>
    <w:p w14:paraId="42B226DB" w14:textId="2A08CA5D"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En los siguientes cuadros se establecen los usos compatibles de cada uso principal de los polígonos de intervención territorial que son de obligatorio cumplimiento:</w:t>
      </w:r>
    </w:p>
    <w:p w14:paraId="3BC7DCBE" w14:textId="1ED264D4" w:rsidR="005E16E8" w:rsidRPr="009E73C4" w:rsidRDefault="008B1039" w:rsidP="005E16E8">
      <w:pPr>
        <w:pStyle w:val="Descripcin"/>
        <w:rPr>
          <w:rFonts w:cstheme="majorHAnsi"/>
          <w:sz w:val="18"/>
        </w:rPr>
      </w:pPr>
      <w:r w:rsidRPr="00B24A80">
        <w:rPr>
          <w:rFonts w:eastAsia="Calibri" w:cstheme="majorHAnsi"/>
          <w:sz w:val="22"/>
          <w:szCs w:val="22"/>
        </w:rPr>
        <w:br w:type="page"/>
      </w:r>
      <w:bookmarkStart w:id="131" w:name="_Toc81085724"/>
      <w:r w:rsidR="005E16E8" w:rsidRPr="009E73C4">
        <w:rPr>
          <w:rFonts w:cstheme="majorHAnsi"/>
          <w:sz w:val="18"/>
        </w:rPr>
        <w:lastRenderedPageBreak/>
        <w:t xml:space="preserve">Tabla </w:t>
      </w:r>
      <w:r w:rsidR="005E16E8" w:rsidRPr="009E73C4">
        <w:rPr>
          <w:rFonts w:cstheme="majorHAnsi"/>
          <w:sz w:val="18"/>
        </w:rPr>
        <w:fldChar w:fldCharType="begin"/>
      </w:r>
      <w:r w:rsidR="005E16E8" w:rsidRPr="009E73C4">
        <w:rPr>
          <w:rFonts w:cstheme="majorHAnsi"/>
          <w:sz w:val="18"/>
        </w:rPr>
        <w:instrText xml:space="preserve"> SEQ Tabla \* ARABIC </w:instrText>
      </w:r>
      <w:r w:rsidR="005E16E8" w:rsidRPr="009E73C4">
        <w:rPr>
          <w:rFonts w:cstheme="majorHAnsi"/>
          <w:sz w:val="18"/>
        </w:rPr>
        <w:fldChar w:fldCharType="separate"/>
      </w:r>
      <w:r w:rsidR="00F53605">
        <w:rPr>
          <w:rFonts w:cstheme="majorHAnsi"/>
          <w:noProof/>
          <w:sz w:val="18"/>
        </w:rPr>
        <w:t>9</w:t>
      </w:r>
      <w:r w:rsidR="005E16E8" w:rsidRPr="009E73C4">
        <w:rPr>
          <w:rFonts w:cstheme="majorHAnsi"/>
          <w:noProof/>
          <w:sz w:val="18"/>
        </w:rPr>
        <w:fldChar w:fldCharType="end"/>
      </w:r>
      <w:r w:rsidR="005E16E8" w:rsidRPr="009E73C4">
        <w:rPr>
          <w:rFonts w:cstheme="majorHAnsi"/>
          <w:sz w:val="18"/>
        </w:rPr>
        <w:t xml:space="preserve">. Ficha para el PIT 1 - </w:t>
      </w:r>
      <w:r w:rsidR="005E16E8" w:rsidRPr="009E73C4">
        <w:rPr>
          <w:rFonts w:cstheme="majorHAnsi"/>
          <w:sz w:val="18"/>
          <w:lang w:val="es-EC"/>
        </w:rPr>
        <w:t>Centro Poblado Rural</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054"/>
        <w:gridCol w:w="1984"/>
        <w:gridCol w:w="2158"/>
        <w:gridCol w:w="1811"/>
      </w:tblGrid>
      <w:tr w:rsidR="005E16E8" w:rsidRPr="009E73C4" w14:paraId="2A5A0682" w14:textId="77777777" w:rsidTr="009E73C4">
        <w:trPr>
          <w:trHeight w:val="20"/>
        </w:trPr>
        <w:tc>
          <w:tcPr>
            <w:tcW w:w="9781" w:type="dxa"/>
            <w:gridSpan w:val="5"/>
            <w:shd w:val="clear" w:color="auto" w:fill="FBD4B4" w:themeFill="accent6" w:themeFillTint="66"/>
            <w:noWrap/>
            <w:vAlign w:val="center"/>
            <w:hideMark/>
          </w:tcPr>
          <w:p w14:paraId="2D517DF6"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Arial Narrow" w:eastAsia="Times New Roman" w:hAnsi="Arial Narrow" w:cs="Calibri"/>
                <w:color w:val="000000"/>
                <w:sz w:val="18"/>
                <w:szCs w:val="18"/>
                <w:lang w:val="es-EC" w:eastAsia="es-EC"/>
              </w:rPr>
              <w:t>PIT 1- Centro Poblado Rural</w:t>
            </w:r>
            <w:r w:rsidRPr="009E73C4" w:rsidDel="00F815D1">
              <w:rPr>
                <w:rFonts w:ascii="Calibri" w:eastAsia="Times New Roman" w:hAnsi="Calibri" w:cs="Calibri"/>
                <w:b/>
                <w:bCs/>
                <w:color w:val="000000"/>
                <w:sz w:val="18"/>
                <w:szCs w:val="18"/>
                <w:lang w:eastAsia="es-EC"/>
              </w:rPr>
              <w:t xml:space="preserve"> </w:t>
            </w:r>
          </w:p>
        </w:tc>
      </w:tr>
      <w:tr w:rsidR="005E16E8" w:rsidRPr="009E73C4" w14:paraId="1A77ED09" w14:textId="77777777" w:rsidTr="009E73C4">
        <w:trPr>
          <w:trHeight w:val="20"/>
        </w:trPr>
        <w:tc>
          <w:tcPr>
            <w:tcW w:w="1774" w:type="dxa"/>
            <w:shd w:val="clear" w:color="auto" w:fill="auto"/>
            <w:noWrap/>
            <w:vAlign w:val="center"/>
            <w:hideMark/>
          </w:tcPr>
          <w:p w14:paraId="5AB86F49"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038" w:type="dxa"/>
            <w:gridSpan w:val="2"/>
            <w:shd w:val="clear" w:color="auto" w:fill="auto"/>
            <w:vAlign w:val="center"/>
            <w:hideMark/>
          </w:tcPr>
          <w:p w14:paraId="709216FD"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2F88CF16"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(ha) </w:t>
            </w:r>
          </w:p>
        </w:tc>
        <w:tc>
          <w:tcPr>
            <w:tcW w:w="1811" w:type="dxa"/>
            <w:shd w:val="clear" w:color="auto" w:fill="auto"/>
            <w:noWrap/>
            <w:vAlign w:val="center"/>
            <w:hideMark/>
          </w:tcPr>
          <w:p w14:paraId="2E7D5D7A"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5E16E8" w:rsidRPr="009E73C4" w14:paraId="3FED4E9F"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D3256"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b/>
                <w:bCs/>
                <w:color w:val="000000"/>
                <w:sz w:val="18"/>
                <w:szCs w:val="18"/>
                <w:lang w:eastAsia="es-EC"/>
              </w:rPr>
              <w:t>PIT1-CPR</w:t>
            </w:r>
          </w:p>
        </w:tc>
        <w:tc>
          <w:tcPr>
            <w:tcW w:w="40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10CC55"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Arial Narrow" w:eastAsia="Times New Roman" w:hAnsi="Arial Narrow" w:cs="Calibri"/>
                <w:color w:val="000000"/>
                <w:sz w:val="18"/>
                <w:szCs w:val="18"/>
                <w:lang w:val="es-EC" w:eastAsia="es-EC"/>
              </w:rPr>
              <w:t>Centro Poblado Rural</w:t>
            </w:r>
          </w:p>
        </w:tc>
        <w:tc>
          <w:tcPr>
            <w:tcW w:w="2158" w:type="dxa"/>
            <w:tcBorders>
              <w:top w:val="single" w:sz="4" w:space="0" w:color="auto"/>
              <w:left w:val="nil"/>
              <w:bottom w:val="single" w:sz="4" w:space="0" w:color="auto"/>
              <w:right w:val="single" w:sz="4" w:space="0" w:color="auto"/>
            </w:tcBorders>
            <w:shd w:val="clear" w:color="auto" w:fill="auto"/>
            <w:vAlign w:val="center"/>
          </w:tcPr>
          <w:p w14:paraId="1B7BB079"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482,86</w:t>
            </w:r>
          </w:p>
        </w:tc>
        <w:tc>
          <w:tcPr>
            <w:tcW w:w="1811" w:type="dxa"/>
            <w:tcBorders>
              <w:top w:val="single" w:sz="4" w:space="0" w:color="auto"/>
              <w:left w:val="nil"/>
              <w:bottom w:val="single" w:sz="4" w:space="0" w:color="auto"/>
              <w:right w:val="single" w:sz="4" w:space="0" w:color="auto"/>
            </w:tcBorders>
            <w:shd w:val="clear" w:color="auto" w:fill="auto"/>
            <w:noWrap/>
            <w:vAlign w:val="center"/>
          </w:tcPr>
          <w:p w14:paraId="732DD264"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0,40%</w:t>
            </w:r>
          </w:p>
        </w:tc>
      </w:tr>
      <w:tr w:rsidR="005E16E8" w:rsidRPr="009E73C4" w14:paraId="6C92C7C8" w14:textId="77777777" w:rsidTr="009E73C4">
        <w:trPr>
          <w:trHeight w:val="20"/>
        </w:trPr>
        <w:tc>
          <w:tcPr>
            <w:tcW w:w="9781" w:type="dxa"/>
            <w:gridSpan w:val="5"/>
            <w:shd w:val="clear" w:color="auto" w:fill="auto"/>
            <w:noWrap/>
            <w:vAlign w:val="center"/>
          </w:tcPr>
          <w:p w14:paraId="0DEE1330" w14:textId="77777777" w:rsidR="005E16E8" w:rsidRPr="009E73C4" w:rsidRDefault="005E16E8" w:rsidP="00737C5B">
            <w:pPr>
              <w:jc w:val="center"/>
              <w:rPr>
                <w:rFonts w:ascii="Calibri" w:eastAsia="Times New Roman" w:hAnsi="Calibri" w:cs="Calibri"/>
                <w:color w:val="000000"/>
                <w:sz w:val="18"/>
                <w:szCs w:val="18"/>
                <w:lang w:eastAsia="es-EC"/>
              </w:rPr>
            </w:pPr>
          </w:p>
          <w:p w14:paraId="0162E1B9"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noProof/>
                <w:color w:val="000000"/>
                <w:sz w:val="18"/>
                <w:szCs w:val="18"/>
                <w:lang w:val="es-EC" w:eastAsia="es-EC"/>
              </w:rPr>
              <w:drawing>
                <wp:inline distT="0" distB="0" distL="0" distR="0" wp14:anchorId="6CCE85EF" wp14:editId="49F51A02">
                  <wp:extent cx="5283472" cy="3778444"/>
                  <wp:effectExtent l="0" t="0" r="0" b="0"/>
                  <wp:docPr id="947888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88380" name=""/>
                          <pic:cNvPicPr/>
                        </pic:nvPicPr>
                        <pic:blipFill>
                          <a:blip r:embed="rId20"/>
                          <a:stretch>
                            <a:fillRect/>
                          </a:stretch>
                        </pic:blipFill>
                        <pic:spPr>
                          <a:xfrm>
                            <a:off x="0" y="0"/>
                            <a:ext cx="5283472" cy="3778444"/>
                          </a:xfrm>
                          <a:prstGeom prst="rect">
                            <a:avLst/>
                          </a:prstGeom>
                        </pic:spPr>
                      </pic:pic>
                    </a:graphicData>
                  </a:graphic>
                </wp:inline>
              </w:drawing>
            </w:r>
          </w:p>
          <w:p w14:paraId="497A1C0C"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6ED48B53" w14:textId="77777777" w:rsidTr="009E73C4">
        <w:trPr>
          <w:trHeight w:val="20"/>
        </w:trPr>
        <w:tc>
          <w:tcPr>
            <w:tcW w:w="9781" w:type="dxa"/>
            <w:gridSpan w:val="5"/>
            <w:shd w:val="clear" w:color="auto" w:fill="FBD4B4" w:themeFill="accent6" w:themeFillTint="66"/>
            <w:vAlign w:val="center"/>
            <w:hideMark/>
          </w:tcPr>
          <w:p w14:paraId="56073DA3"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5E16E8" w:rsidRPr="009E73C4" w14:paraId="0AF290C8" w14:textId="77777777" w:rsidTr="009E73C4">
        <w:trPr>
          <w:trHeight w:val="276"/>
        </w:trPr>
        <w:tc>
          <w:tcPr>
            <w:tcW w:w="9781" w:type="dxa"/>
            <w:gridSpan w:val="5"/>
            <w:vMerge w:val="restart"/>
            <w:shd w:val="clear" w:color="auto" w:fill="auto"/>
            <w:vAlign w:val="center"/>
            <w:hideMark/>
          </w:tcPr>
          <w:p w14:paraId="6AF1EBAE" w14:textId="714C586F" w:rsidR="005E16E8" w:rsidRPr="009E73C4" w:rsidRDefault="005E16E8" w:rsidP="00737C5B">
            <w:pPr>
              <w:rPr>
                <w:rFonts w:asciiTheme="majorHAnsi" w:eastAsia="Calibri" w:hAnsiTheme="majorHAnsi" w:cstheme="majorHAnsi"/>
                <w:color w:val="000000"/>
                <w:sz w:val="18"/>
                <w:szCs w:val="18"/>
              </w:rPr>
            </w:pPr>
            <w:r w:rsidRPr="009E73C4">
              <w:rPr>
                <w:rFonts w:ascii="Calibri" w:eastAsia="Times New Roman" w:hAnsi="Calibri" w:cs="Calibri"/>
                <w:b/>
                <w:bCs/>
                <w:sz w:val="18"/>
                <w:szCs w:val="18"/>
                <w:lang w:eastAsia="es-EC"/>
              </w:rPr>
              <w:t xml:space="preserve">Mejoramiento </w:t>
            </w:r>
            <w:r w:rsidR="00C14635" w:rsidRPr="009E73C4">
              <w:rPr>
                <w:rFonts w:ascii="Calibri" w:eastAsia="Times New Roman" w:hAnsi="Calibri" w:cs="Calibri"/>
                <w:b/>
                <w:bCs/>
                <w:sz w:val="18"/>
                <w:szCs w:val="18"/>
                <w:lang w:eastAsia="es-EC"/>
              </w:rPr>
              <w:t>integral. -</w:t>
            </w:r>
            <w:r w:rsidRPr="009E73C4">
              <w:rPr>
                <w:rFonts w:ascii="Calibri" w:eastAsia="Times New Roman" w:hAnsi="Calibri" w:cs="Calibri"/>
                <w:b/>
                <w:bCs/>
                <w:sz w:val="18"/>
                <w:szCs w:val="18"/>
                <w:lang w:eastAsia="es-EC"/>
              </w:rPr>
              <w:t xml:space="preserve"> </w:t>
            </w:r>
            <w:r w:rsidRPr="009E73C4">
              <w:rPr>
                <w:rFonts w:asciiTheme="majorHAnsi" w:eastAsia="Calibri" w:hAnsiTheme="majorHAnsi" w:cstheme="majorHAnsi"/>
                <w:color w:val="000000"/>
                <w:sz w:val="18"/>
                <w:szCs w:val="18"/>
              </w:rPr>
              <w:t>Se aplica a aquellas zonas caracterizadas por la presencia de asentamientos humanos con alta necesidad de intervención para mejorar la infraestructura vial, servicios públicos, equipamientos y espacio público y mitigar riesgos, en zonas producto del desarrollo informal con capacidad de integración urbana o procesos de redensificación en urbanizaciones formales que deban ser objeto de procesos de reordenamiento físico-espacial, regularización predial</w:t>
            </w:r>
            <w:r w:rsidR="000C23DD" w:rsidRPr="009E73C4">
              <w:rPr>
                <w:rFonts w:asciiTheme="majorHAnsi" w:eastAsia="Calibri" w:hAnsiTheme="majorHAnsi" w:cstheme="majorHAnsi"/>
                <w:color w:val="000000"/>
                <w:sz w:val="18"/>
                <w:szCs w:val="18"/>
              </w:rPr>
              <w:t>.</w:t>
            </w:r>
          </w:p>
          <w:p w14:paraId="5DEB6E37" w14:textId="77777777" w:rsidR="005E16E8" w:rsidRPr="009E73C4" w:rsidRDefault="005E16E8" w:rsidP="00737C5B">
            <w:pPr>
              <w:rPr>
                <w:rFonts w:asciiTheme="majorHAnsi" w:eastAsia="Calibri" w:hAnsiTheme="majorHAnsi" w:cstheme="majorHAnsi"/>
                <w:b/>
                <w:bCs/>
                <w:sz w:val="18"/>
                <w:szCs w:val="18"/>
              </w:rPr>
            </w:pPr>
          </w:p>
          <w:p w14:paraId="2BF02580" w14:textId="18E9845A" w:rsidR="005E16E8" w:rsidRPr="009E73C4" w:rsidRDefault="005E16E8" w:rsidP="00737C5B">
            <w:pPr>
              <w:rPr>
                <w:rFonts w:asciiTheme="majorHAnsi" w:eastAsia="Calibri" w:hAnsiTheme="majorHAnsi" w:cstheme="majorHAnsi"/>
                <w:color w:val="000000"/>
                <w:sz w:val="18"/>
                <w:szCs w:val="18"/>
              </w:rPr>
            </w:pPr>
            <w:r w:rsidRPr="009E73C4">
              <w:rPr>
                <w:rFonts w:asciiTheme="majorHAnsi" w:eastAsia="Calibri" w:hAnsiTheme="majorHAnsi" w:cstheme="majorHAnsi"/>
                <w:color w:val="000000"/>
                <w:sz w:val="18"/>
                <w:szCs w:val="18"/>
              </w:rPr>
              <w:t>En función de las características de estos asentamientos humanos en suelo rural, se ha definido como PIT para fomentar la gestión y consolidación de usos, aprovechamientos y sobretodo la prestación de servicios públicos de forma integral.</w:t>
            </w:r>
          </w:p>
          <w:p w14:paraId="36DB5A18" w14:textId="77777777" w:rsidR="005E16E8" w:rsidRPr="009E73C4" w:rsidRDefault="005E16E8" w:rsidP="00737C5B">
            <w:pPr>
              <w:rPr>
                <w:rFonts w:ascii="Calibri" w:eastAsia="Times New Roman" w:hAnsi="Calibri" w:cs="Calibri"/>
                <w:b/>
                <w:bCs/>
                <w:sz w:val="18"/>
                <w:szCs w:val="18"/>
                <w:lang w:eastAsia="es-EC"/>
              </w:rPr>
            </w:pPr>
          </w:p>
          <w:p w14:paraId="181C2635"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69B58EDA" w14:textId="77777777" w:rsidTr="009E73C4">
        <w:trPr>
          <w:trHeight w:val="276"/>
        </w:trPr>
        <w:tc>
          <w:tcPr>
            <w:tcW w:w="9781" w:type="dxa"/>
            <w:gridSpan w:val="5"/>
            <w:vMerge/>
            <w:vAlign w:val="center"/>
            <w:hideMark/>
          </w:tcPr>
          <w:p w14:paraId="16A8EDC0"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3B3E9155" w14:textId="77777777" w:rsidTr="009E73C4">
        <w:trPr>
          <w:trHeight w:val="20"/>
        </w:trPr>
        <w:tc>
          <w:tcPr>
            <w:tcW w:w="9781" w:type="dxa"/>
            <w:gridSpan w:val="5"/>
            <w:shd w:val="clear" w:color="auto" w:fill="FBD4B4" w:themeFill="accent6" w:themeFillTint="66"/>
            <w:noWrap/>
            <w:vAlign w:val="center"/>
            <w:hideMark/>
          </w:tcPr>
          <w:p w14:paraId="7536328F"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5E16E8" w:rsidRPr="009E73C4" w14:paraId="30724600" w14:textId="77777777" w:rsidTr="009E73C4">
        <w:trPr>
          <w:trHeight w:val="20"/>
        </w:trPr>
        <w:tc>
          <w:tcPr>
            <w:tcW w:w="1774" w:type="dxa"/>
            <w:shd w:val="clear" w:color="auto" w:fill="FBD4B4" w:themeFill="accent6" w:themeFillTint="66"/>
            <w:noWrap/>
            <w:vAlign w:val="center"/>
            <w:hideMark/>
          </w:tcPr>
          <w:p w14:paraId="6A5A4D9B" w14:textId="77777777" w:rsidR="005E16E8" w:rsidRPr="009E73C4" w:rsidRDefault="005E16E8" w:rsidP="00737C5B">
            <w:pPr>
              <w:jc w:val="center"/>
              <w:rPr>
                <w:rFonts w:ascii="Calibri" w:eastAsia="Times New Roman" w:hAnsi="Calibri" w:cs="Calibri"/>
                <w:b/>
                <w:bCs/>
                <w:color w:val="000000"/>
                <w:sz w:val="18"/>
                <w:szCs w:val="18"/>
                <w:lang w:eastAsia="es-EC"/>
              </w:rPr>
            </w:pPr>
          </w:p>
        </w:tc>
        <w:tc>
          <w:tcPr>
            <w:tcW w:w="2054" w:type="dxa"/>
            <w:shd w:val="clear" w:color="auto" w:fill="FBD4B4" w:themeFill="accent6" w:themeFillTint="66"/>
            <w:vAlign w:val="center"/>
            <w:hideMark/>
          </w:tcPr>
          <w:p w14:paraId="25602A72"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754929E8"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12D9A8F6"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811" w:type="dxa"/>
            <w:shd w:val="clear" w:color="auto" w:fill="FBD4B4" w:themeFill="accent6" w:themeFillTint="66"/>
            <w:noWrap/>
            <w:vAlign w:val="center"/>
            <w:hideMark/>
          </w:tcPr>
          <w:p w14:paraId="4333ACA0"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5E16E8" w:rsidRPr="009E73C4" w14:paraId="23C71CB7" w14:textId="77777777" w:rsidTr="009E73C4">
        <w:trPr>
          <w:trHeight w:val="20"/>
        </w:trPr>
        <w:tc>
          <w:tcPr>
            <w:tcW w:w="1774" w:type="dxa"/>
            <w:shd w:val="clear" w:color="auto" w:fill="auto"/>
            <w:noWrap/>
            <w:vAlign w:val="center"/>
          </w:tcPr>
          <w:p w14:paraId="2AF4399B" w14:textId="77777777" w:rsidR="005E16E8" w:rsidRPr="009E73C4" w:rsidRDefault="005E16E8" w:rsidP="00737C5B">
            <w:pPr>
              <w:rPr>
                <w:rFonts w:ascii="Calibri" w:eastAsia="Times New Roman" w:hAnsi="Calibri" w:cs="Calibri"/>
                <w:sz w:val="18"/>
                <w:szCs w:val="18"/>
                <w:lang w:eastAsia="es-EC"/>
              </w:rPr>
            </w:pPr>
          </w:p>
        </w:tc>
        <w:tc>
          <w:tcPr>
            <w:tcW w:w="2054" w:type="dxa"/>
            <w:tcBorders>
              <w:top w:val="nil"/>
              <w:left w:val="nil"/>
              <w:bottom w:val="single" w:sz="4" w:space="0" w:color="auto"/>
              <w:right w:val="single" w:sz="4" w:space="0" w:color="auto"/>
            </w:tcBorders>
            <w:shd w:val="clear" w:color="auto" w:fill="auto"/>
            <w:vAlign w:val="center"/>
          </w:tcPr>
          <w:p w14:paraId="7652AD59"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Residencial rural de baja densidad</w:t>
            </w:r>
          </w:p>
        </w:tc>
        <w:tc>
          <w:tcPr>
            <w:tcW w:w="1984" w:type="dxa"/>
            <w:tcBorders>
              <w:top w:val="nil"/>
              <w:left w:val="nil"/>
              <w:bottom w:val="single" w:sz="4" w:space="0" w:color="auto"/>
              <w:right w:val="single" w:sz="4" w:space="0" w:color="auto"/>
            </w:tcBorders>
            <w:shd w:val="clear" w:color="auto" w:fill="auto"/>
            <w:noWrap/>
            <w:vAlign w:val="center"/>
          </w:tcPr>
          <w:p w14:paraId="5CD11874"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Vivienda social</w:t>
            </w:r>
          </w:p>
        </w:tc>
        <w:tc>
          <w:tcPr>
            <w:tcW w:w="2158" w:type="dxa"/>
            <w:tcBorders>
              <w:top w:val="nil"/>
              <w:left w:val="nil"/>
              <w:bottom w:val="single" w:sz="4" w:space="0" w:color="auto"/>
              <w:right w:val="single" w:sz="4" w:space="0" w:color="auto"/>
            </w:tcBorders>
            <w:shd w:val="clear" w:color="auto" w:fill="auto"/>
            <w:noWrap/>
            <w:vAlign w:val="center"/>
          </w:tcPr>
          <w:p w14:paraId="5CA41459" w14:textId="2880939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Tala selectiva</w:t>
            </w:r>
            <w:r w:rsidRPr="009E73C4">
              <w:rPr>
                <w:rFonts w:ascii="Arial Narrow" w:eastAsia="Times New Roman" w:hAnsi="Arial Narrow" w:cs="Calibri"/>
                <w:color w:val="000000"/>
                <w:sz w:val="18"/>
                <w:szCs w:val="18"/>
                <w:lang w:val="es-EC" w:eastAsia="es-EC"/>
              </w:rPr>
              <w:br/>
            </w:r>
            <w:r w:rsidR="00A35002">
              <w:rPr>
                <w:rFonts w:ascii="Arial Narrow" w:eastAsia="Times New Roman" w:hAnsi="Arial Narrow" w:cs="Calibri"/>
                <w:color w:val="000000"/>
                <w:sz w:val="18"/>
                <w:szCs w:val="18"/>
                <w:lang w:val="es-EC" w:eastAsia="es-EC"/>
              </w:rPr>
              <w:t>Rural</w:t>
            </w:r>
            <w:r w:rsidRPr="009E73C4">
              <w:rPr>
                <w:rFonts w:ascii="Arial Narrow" w:eastAsia="Times New Roman" w:hAnsi="Arial Narrow" w:cs="Calibri"/>
                <w:color w:val="000000"/>
                <w:sz w:val="18"/>
                <w:szCs w:val="18"/>
                <w:lang w:val="es-EC" w:eastAsia="es-EC"/>
              </w:rPr>
              <w:br/>
              <w:t>Drenajes para agro</w:t>
            </w:r>
          </w:p>
        </w:tc>
        <w:tc>
          <w:tcPr>
            <w:tcW w:w="1811" w:type="dxa"/>
            <w:tcBorders>
              <w:top w:val="nil"/>
              <w:left w:val="nil"/>
              <w:bottom w:val="single" w:sz="4" w:space="0" w:color="auto"/>
              <w:right w:val="single" w:sz="4" w:space="0" w:color="auto"/>
            </w:tcBorders>
            <w:shd w:val="clear" w:color="auto" w:fill="auto"/>
            <w:noWrap/>
            <w:vAlign w:val="center"/>
          </w:tcPr>
          <w:p w14:paraId="1DAD7DFD" w14:textId="1E797FAE"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Deforestación</w:t>
            </w:r>
            <w:r w:rsidRPr="009E73C4">
              <w:rPr>
                <w:rFonts w:ascii="Arial Narrow" w:eastAsia="Times New Roman" w:hAnsi="Arial Narrow" w:cs="Calibri"/>
                <w:color w:val="000000"/>
                <w:sz w:val="18"/>
                <w:szCs w:val="18"/>
                <w:lang w:val="es-EC" w:eastAsia="es-EC"/>
              </w:rPr>
              <w:br/>
            </w:r>
            <w:r w:rsidR="00A35002">
              <w:rPr>
                <w:rFonts w:ascii="Arial Narrow" w:eastAsia="Times New Roman" w:hAnsi="Arial Narrow" w:cs="Calibri"/>
                <w:color w:val="000000"/>
                <w:sz w:val="18"/>
                <w:szCs w:val="18"/>
                <w:lang w:val="es-EC" w:eastAsia="es-EC"/>
              </w:rPr>
              <w:t>Rural</w:t>
            </w:r>
            <w:r w:rsidRPr="009E73C4">
              <w:rPr>
                <w:rFonts w:ascii="Arial Narrow" w:eastAsia="Times New Roman" w:hAnsi="Arial Narrow" w:cs="Calibri"/>
                <w:color w:val="000000"/>
                <w:sz w:val="18"/>
                <w:szCs w:val="18"/>
                <w:lang w:val="es-EC" w:eastAsia="es-EC"/>
              </w:rPr>
              <w:t xml:space="preserve"> extensiva</w:t>
            </w:r>
          </w:p>
        </w:tc>
      </w:tr>
      <w:tr w:rsidR="005E16E8" w:rsidRPr="009E73C4" w14:paraId="6DA3EB05" w14:textId="77777777" w:rsidTr="009E73C4">
        <w:trPr>
          <w:trHeight w:val="20"/>
        </w:trPr>
        <w:tc>
          <w:tcPr>
            <w:tcW w:w="9781" w:type="dxa"/>
            <w:gridSpan w:val="5"/>
            <w:shd w:val="clear" w:color="auto" w:fill="FBD4B4" w:themeFill="accent6" w:themeFillTint="66"/>
            <w:noWrap/>
            <w:vAlign w:val="center"/>
            <w:hideMark/>
          </w:tcPr>
          <w:p w14:paraId="28A56F19"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5E16E8" w:rsidRPr="009E73C4" w14:paraId="66A73484" w14:textId="77777777" w:rsidTr="009E73C4">
        <w:trPr>
          <w:trHeight w:val="20"/>
        </w:trPr>
        <w:tc>
          <w:tcPr>
            <w:tcW w:w="1774" w:type="dxa"/>
            <w:shd w:val="clear" w:color="auto" w:fill="auto"/>
            <w:noWrap/>
            <w:vAlign w:val="center"/>
            <w:hideMark/>
          </w:tcPr>
          <w:p w14:paraId="447C0FF5"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007" w:type="dxa"/>
            <w:gridSpan w:val="4"/>
            <w:shd w:val="clear" w:color="auto" w:fill="auto"/>
            <w:vAlign w:val="center"/>
          </w:tcPr>
          <w:p w14:paraId="667D0EA1" w14:textId="1576A51B" w:rsidR="005E16E8" w:rsidRPr="009E73C4" w:rsidRDefault="000A50EE"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4</w:t>
            </w:r>
            <w:r w:rsidR="005E16E8" w:rsidRPr="009E73C4">
              <w:rPr>
                <w:rFonts w:ascii="Calibri" w:eastAsia="Times New Roman" w:hAnsi="Calibri" w:cs="Calibri"/>
                <w:color w:val="000000"/>
                <w:sz w:val="18"/>
                <w:szCs w:val="18"/>
                <w:lang w:eastAsia="es-EC"/>
              </w:rPr>
              <w:t>00 m2</w:t>
            </w:r>
          </w:p>
        </w:tc>
      </w:tr>
      <w:tr w:rsidR="005E16E8" w:rsidRPr="009E73C4" w14:paraId="7A697F2C" w14:textId="77777777" w:rsidTr="009E73C4">
        <w:trPr>
          <w:trHeight w:val="20"/>
        </w:trPr>
        <w:tc>
          <w:tcPr>
            <w:tcW w:w="1774" w:type="dxa"/>
            <w:shd w:val="clear" w:color="auto" w:fill="auto"/>
            <w:noWrap/>
            <w:vAlign w:val="center"/>
            <w:hideMark/>
          </w:tcPr>
          <w:p w14:paraId="379699B9"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007" w:type="dxa"/>
            <w:gridSpan w:val="4"/>
            <w:shd w:val="clear" w:color="auto" w:fill="auto"/>
          </w:tcPr>
          <w:p w14:paraId="27942C05" w14:textId="4482750D" w:rsidR="005E16E8" w:rsidRPr="006F1DE2" w:rsidRDefault="005E16E8" w:rsidP="00737C5B">
            <w:pPr>
              <w:jc w:val="center"/>
              <w:rPr>
                <w:rFonts w:ascii="Calibri" w:eastAsia="Times New Roman" w:hAnsi="Calibri" w:cs="Calibri"/>
                <w:sz w:val="18"/>
                <w:szCs w:val="18"/>
                <w:lang w:eastAsia="es-EC"/>
              </w:rPr>
            </w:pPr>
            <w:r w:rsidRPr="006F1DE2">
              <w:rPr>
                <w:rFonts w:ascii="Times New Roman" w:eastAsia="Times New Roman" w:hAnsi="Times New Roman" w:cs="Times New Roman"/>
                <w:sz w:val="18"/>
                <w:szCs w:val="18"/>
                <w:lang w:val="es-EC" w:eastAsia="es-EC"/>
              </w:rPr>
              <w:t>Vivienda rural - 1-4 frente</w:t>
            </w:r>
            <w:r w:rsidR="000A50EE" w:rsidRPr="006F1DE2">
              <w:rPr>
                <w:rFonts w:ascii="Times New Roman" w:eastAsia="Times New Roman" w:hAnsi="Times New Roman" w:cs="Times New Roman"/>
                <w:sz w:val="18"/>
                <w:szCs w:val="18"/>
                <w:lang w:val="es-EC" w:eastAsia="es-EC"/>
              </w:rPr>
              <w:t>*</w:t>
            </w:r>
            <w:r w:rsidRPr="006F1DE2">
              <w:rPr>
                <w:rFonts w:ascii="Times New Roman" w:eastAsia="Times New Roman" w:hAnsi="Times New Roman" w:cs="Times New Roman"/>
                <w:sz w:val="18"/>
                <w:szCs w:val="18"/>
                <w:lang w:val="es-EC" w:eastAsia="es-EC"/>
              </w:rPr>
              <w:t>. Franja 100m ancho río</w:t>
            </w:r>
            <w:r w:rsidR="00465552" w:rsidRPr="006F1DE2">
              <w:rPr>
                <w:rFonts w:ascii="Times New Roman" w:eastAsia="Times New Roman" w:hAnsi="Times New Roman" w:cs="Times New Roman"/>
                <w:sz w:val="18"/>
                <w:szCs w:val="18"/>
                <w:lang w:val="es-EC" w:eastAsia="es-EC"/>
              </w:rPr>
              <w:t xml:space="preserve">, previo el informe de </w:t>
            </w:r>
            <w:r w:rsidR="007D42FF">
              <w:rPr>
                <w:rFonts w:ascii="Times New Roman" w:eastAsia="Times New Roman" w:hAnsi="Times New Roman" w:cs="Times New Roman"/>
                <w:sz w:val="18"/>
                <w:szCs w:val="18"/>
                <w:lang w:val="es-EC" w:eastAsia="es-EC"/>
              </w:rPr>
              <w:t>la Unidad de Gestión de R</w:t>
            </w:r>
            <w:r w:rsidR="00465552" w:rsidRPr="006F1DE2">
              <w:rPr>
                <w:rFonts w:ascii="Times New Roman" w:eastAsia="Times New Roman" w:hAnsi="Times New Roman" w:cs="Times New Roman"/>
                <w:sz w:val="18"/>
                <w:szCs w:val="18"/>
                <w:lang w:val="es-EC" w:eastAsia="es-EC"/>
              </w:rPr>
              <w:t>iesgos</w:t>
            </w:r>
          </w:p>
        </w:tc>
      </w:tr>
      <w:tr w:rsidR="005E16E8" w:rsidRPr="009E73C4" w14:paraId="13382ACC" w14:textId="77777777" w:rsidTr="009E73C4">
        <w:trPr>
          <w:trHeight w:val="20"/>
        </w:trPr>
        <w:tc>
          <w:tcPr>
            <w:tcW w:w="1774" w:type="dxa"/>
            <w:shd w:val="clear" w:color="auto" w:fill="auto"/>
            <w:noWrap/>
            <w:vAlign w:val="center"/>
            <w:hideMark/>
          </w:tcPr>
          <w:p w14:paraId="3C40C680"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007" w:type="dxa"/>
            <w:gridSpan w:val="4"/>
            <w:shd w:val="clear" w:color="auto" w:fill="auto"/>
          </w:tcPr>
          <w:p w14:paraId="1C0BFEBC" w14:textId="15B25678" w:rsidR="005E16E8"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bl>
    <w:p w14:paraId="6E02C815" w14:textId="70EF9CFB" w:rsidR="00F17252" w:rsidRPr="009E73C4" w:rsidRDefault="000A50EE" w:rsidP="00F17252">
      <w:pPr>
        <w:rPr>
          <w:rFonts w:asciiTheme="majorHAnsi" w:eastAsia="Calibri" w:hAnsiTheme="majorHAnsi" w:cstheme="majorHAnsi"/>
          <w:sz w:val="18"/>
          <w:szCs w:val="18"/>
        </w:rPr>
      </w:pPr>
      <w:r w:rsidRPr="009E73C4">
        <w:rPr>
          <w:rFonts w:asciiTheme="majorHAnsi" w:eastAsia="Calibri" w:hAnsiTheme="majorHAnsi" w:cstheme="majorHAnsi"/>
          <w:sz w:val="18"/>
          <w:szCs w:val="18"/>
        </w:rPr>
        <w:t>*en ningún caso se permitirá fraccionamientos con frentes menores a de 6m</w:t>
      </w:r>
    </w:p>
    <w:p w14:paraId="6054AF7B" w14:textId="5A821C5D" w:rsidR="00F17252" w:rsidRPr="009E73C4" w:rsidRDefault="005E16E8" w:rsidP="008B1039">
      <w:pPr>
        <w:pStyle w:val="Descripcin"/>
        <w:rPr>
          <w:rFonts w:ascii="Times New Roman" w:eastAsia="Times New Roman" w:hAnsi="Times New Roman" w:cs="Times New Roman"/>
          <w:color w:val="000000"/>
          <w:sz w:val="18"/>
          <w:lang w:val="es-EC" w:eastAsia="es-EC"/>
        </w:rPr>
      </w:pPr>
      <w:r w:rsidRPr="009E73C4">
        <w:rPr>
          <w:rFonts w:cstheme="majorHAnsi"/>
          <w:sz w:val="18"/>
        </w:rPr>
        <w:lastRenderedPageBreak/>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10</w:t>
      </w:r>
      <w:r w:rsidRPr="009E73C4">
        <w:rPr>
          <w:rFonts w:cstheme="majorHAnsi"/>
          <w:noProof/>
          <w:sz w:val="18"/>
        </w:rPr>
        <w:fldChar w:fldCharType="end"/>
      </w:r>
      <w:r w:rsidRPr="009E73C4">
        <w:rPr>
          <w:rFonts w:cstheme="majorHAnsi"/>
          <w:sz w:val="18"/>
        </w:rPr>
        <w:t xml:space="preserve">. Ficha para el PIT 2 - </w:t>
      </w:r>
      <w:r w:rsidRPr="009E73C4">
        <w:rPr>
          <w:rFonts w:ascii="Times New Roman" w:eastAsia="Times New Roman" w:hAnsi="Times New Roman" w:cs="Times New Roman"/>
          <w:color w:val="000000"/>
          <w:sz w:val="18"/>
          <w:lang w:val="es-EC" w:eastAsia="es-EC"/>
        </w:rPr>
        <w:t>Bosque y Vegetación Natural</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015"/>
        <w:gridCol w:w="2185"/>
        <w:gridCol w:w="1995"/>
        <w:gridCol w:w="1812"/>
      </w:tblGrid>
      <w:tr w:rsidR="005E16E8" w:rsidRPr="009E73C4" w14:paraId="55B4E627" w14:textId="77777777" w:rsidTr="009E73C4">
        <w:trPr>
          <w:trHeight w:val="20"/>
        </w:trPr>
        <w:tc>
          <w:tcPr>
            <w:tcW w:w="9781" w:type="dxa"/>
            <w:gridSpan w:val="5"/>
            <w:shd w:val="clear" w:color="auto" w:fill="FBD4B4" w:themeFill="accent6" w:themeFillTint="66"/>
            <w:noWrap/>
            <w:vAlign w:val="center"/>
            <w:hideMark/>
          </w:tcPr>
          <w:p w14:paraId="3B4B6029"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cstheme="majorHAnsi"/>
                <w:sz w:val="18"/>
                <w:szCs w:val="18"/>
              </w:rPr>
              <w:t xml:space="preserve">PIT 2 - </w:t>
            </w:r>
            <w:r w:rsidRPr="009E73C4">
              <w:rPr>
                <w:rFonts w:ascii="Times New Roman" w:eastAsia="Times New Roman" w:hAnsi="Times New Roman" w:cs="Times New Roman"/>
                <w:color w:val="000000"/>
                <w:sz w:val="18"/>
                <w:szCs w:val="18"/>
                <w:lang w:val="es-EC" w:eastAsia="es-EC"/>
              </w:rPr>
              <w:t>Bosque y Vegetación Natural</w:t>
            </w:r>
          </w:p>
        </w:tc>
      </w:tr>
      <w:tr w:rsidR="005E16E8" w:rsidRPr="009E73C4" w14:paraId="28B418F1" w14:textId="77777777" w:rsidTr="009E73C4">
        <w:trPr>
          <w:trHeight w:val="20"/>
        </w:trPr>
        <w:tc>
          <w:tcPr>
            <w:tcW w:w="1774" w:type="dxa"/>
            <w:shd w:val="clear" w:color="auto" w:fill="auto"/>
            <w:noWrap/>
            <w:vAlign w:val="center"/>
            <w:hideMark/>
          </w:tcPr>
          <w:p w14:paraId="17EE372B"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200" w:type="dxa"/>
            <w:gridSpan w:val="2"/>
            <w:shd w:val="clear" w:color="auto" w:fill="auto"/>
            <w:vAlign w:val="center"/>
            <w:hideMark/>
          </w:tcPr>
          <w:p w14:paraId="28C72DA9"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1995" w:type="dxa"/>
            <w:shd w:val="clear" w:color="auto" w:fill="auto"/>
            <w:noWrap/>
            <w:vAlign w:val="center"/>
            <w:hideMark/>
          </w:tcPr>
          <w:p w14:paraId="7C2F7958"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w:t>
            </w:r>
          </w:p>
        </w:tc>
        <w:tc>
          <w:tcPr>
            <w:tcW w:w="1812" w:type="dxa"/>
            <w:shd w:val="clear" w:color="auto" w:fill="auto"/>
            <w:noWrap/>
            <w:vAlign w:val="center"/>
            <w:hideMark/>
          </w:tcPr>
          <w:p w14:paraId="444F13B6"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5E16E8" w:rsidRPr="009E73C4" w14:paraId="10870B5F"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D97A4"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PIT2-BVN</w:t>
            </w:r>
          </w:p>
        </w:tc>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F2A00"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Bosque y Vegetación Natural</w:t>
            </w:r>
          </w:p>
        </w:tc>
        <w:tc>
          <w:tcPr>
            <w:tcW w:w="1995" w:type="dxa"/>
            <w:tcBorders>
              <w:top w:val="nil"/>
              <w:left w:val="nil"/>
              <w:bottom w:val="single" w:sz="4" w:space="0" w:color="auto"/>
              <w:right w:val="single" w:sz="4" w:space="0" w:color="auto"/>
            </w:tcBorders>
            <w:shd w:val="clear" w:color="auto" w:fill="auto"/>
            <w:vAlign w:val="center"/>
          </w:tcPr>
          <w:p w14:paraId="169AF70D"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45779,63</w:t>
            </w:r>
          </w:p>
        </w:tc>
        <w:tc>
          <w:tcPr>
            <w:tcW w:w="1812" w:type="dxa"/>
            <w:tcBorders>
              <w:top w:val="nil"/>
              <w:left w:val="nil"/>
              <w:bottom w:val="single" w:sz="4" w:space="0" w:color="auto"/>
              <w:right w:val="single" w:sz="4" w:space="0" w:color="auto"/>
            </w:tcBorders>
            <w:shd w:val="clear" w:color="auto" w:fill="auto"/>
            <w:noWrap/>
            <w:vAlign w:val="center"/>
          </w:tcPr>
          <w:p w14:paraId="52047847"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37,90%</w:t>
            </w:r>
          </w:p>
        </w:tc>
      </w:tr>
      <w:tr w:rsidR="005E16E8" w:rsidRPr="009E73C4" w14:paraId="5A664BFC" w14:textId="77777777" w:rsidTr="009E73C4">
        <w:trPr>
          <w:trHeight w:val="20"/>
        </w:trPr>
        <w:tc>
          <w:tcPr>
            <w:tcW w:w="9781" w:type="dxa"/>
            <w:gridSpan w:val="5"/>
            <w:shd w:val="clear" w:color="auto" w:fill="auto"/>
            <w:noWrap/>
            <w:vAlign w:val="center"/>
          </w:tcPr>
          <w:p w14:paraId="27CBEB3E" w14:textId="77777777" w:rsidR="005E16E8" w:rsidRPr="009E73C4" w:rsidRDefault="005E16E8" w:rsidP="00737C5B">
            <w:pPr>
              <w:jc w:val="center"/>
              <w:rPr>
                <w:rFonts w:ascii="Calibri" w:eastAsia="Times New Roman" w:hAnsi="Calibri" w:cs="Calibri"/>
                <w:color w:val="000000"/>
                <w:sz w:val="18"/>
                <w:szCs w:val="18"/>
                <w:lang w:eastAsia="es-EC"/>
              </w:rPr>
            </w:pPr>
          </w:p>
          <w:p w14:paraId="550C780C"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noProof/>
                <w:color w:val="000000"/>
                <w:sz w:val="18"/>
                <w:szCs w:val="18"/>
                <w:lang w:val="es-EC" w:eastAsia="es-EC"/>
              </w:rPr>
              <w:drawing>
                <wp:inline distT="0" distB="0" distL="0" distR="0" wp14:anchorId="610911D6" wp14:editId="33FE19DB">
                  <wp:extent cx="5169166" cy="3733992"/>
                  <wp:effectExtent l="0" t="0" r="0" b="0"/>
                  <wp:docPr id="1448564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64876" name=""/>
                          <pic:cNvPicPr/>
                        </pic:nvPicPr>
                        <pic:blipFill>
                          <a:blip r:embed="rId21"/>
                          <a:stretch>
                            <a:fillRect/>
                          </a:stretch>
                        </pic:blipFill>
                        <pic:spPr>
                          <a:xfrm>
                            <a:off x="0" y="0"/>
                            <a:ext cx="5169166" cy="3733992"/>
                          </a:xfrm>
                          <a:prstGeom prst="rect">
                            <a:avLst/>
                          </a:prstGeom>
                        </pic:spPr>
                      </pic:pic>
                    </a:graphicData>
                  </a:graphic>
                </wp:inline>
              </w:drawing>
            </w:r>
          </w:p>
        </w:tc>
      </w:tr>
      <w:tr w:rsidR="005E16E8" w:rsidRPr="009E73C4" w14:paraId="75B025CC" w14:textId="77777777" w:rsidTr="009E73C4">
        <w:trPr>
          <w:trHeight w:val="20"/>
        </w:trPr>
        <w:tc>
          <w:tcPr>
            <w:tcW w:w="9781" w:type="dxa"/>
            <w:gridSpan w:val="5"/>
            <w:shd w:val="clear" w:color="auto" w:fill="FBD4B4" w:themeFill="accent6" w:themeFillTint="66"/>
            <w:vAlign w:val="center"/>
            <w:hideMark/>
          </w:tcPr>
          <w:p w14:paraId="217DE468"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5E16E8" w:rsidRPr="009E73C4" w14:paraId="7DC1B32F" w14:textId="77777777" w:rsidTr="009E73C4">
        <w:trPr>
          <w:trHeight w:val="276"/>
        </w:trPr>
        <w:tc>
          <w:tcPr>
            <w:tcW w:w="9781" w:type="dxa"/>
            <w:gridSpan w:val="5"/>
            <w:vMerge w:val="restart"/>
            <w:shd w:val="clear" w:color="auto" w:fill="auto"/>
            <w:vAlign w:val="center"/>
            <w:hideMark/>
          </w:tcPr>
          <w:p w14:paraId="01A6EFE9" w14:textId="77777777" w:rsidR="005E16E8" w:rsidRPr="009E73C4" w:rsidRDefault="005E16E8" w:rsidP="00737C5B">
            <w:pPr>
              <w:rPr>
                <w:rFonts w:ascii="Calibri" w:eastAsia="Times New Roman" w:hAnsi="Calibri" w:cs="Calibri"/>
                <w:b/>
                <w:bCs/>
                <w:color w:val="000000"/>
                <w:sz w:val="18"/>
                <w:szCs w:val="18"/>
                <w:lang w:eastAsia="es-EC"/>
              </w:rPr>
            </w:pPr>
          </w:p>
          <w:p w14:paraId="7C4E673A"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b/>
                <w:bCs/>
                <w:color w:val="000000"/>
                <w:sz w:val="18"/>
                <w:szCs w:val="18"/>
                <w:lang w:eastAsia="es-EC"/>
              </w:rPr>
              <w:t xml:space="preserve">Recuperación: </w:t>
            </w:r>
            <w:r w:rsidRPr="009E73C4">
              <w:rPr>
                <w:rFonts w:ascii="Calibri" w:eastAsia="Times New Roman" w:hAnsi="Calibri" w:cs="Calibri"/>
                <w:color w:val="000000"/>
                <w:sz w:val="18"/>
                <w:szCs w:val="18"/>
                <w:lang w:eastAsia="es-EC"/>
              </w:rPr>
              <w:t>Se aplica a aquellas zonas que han sufrido un proceso de deterioro ambiental y/o paisajístico, debido al desarrollo de las actividades productivas o extractivas y cuya recuperación es necesaria para mantener el equilibrio de los ecosistemas naturales, según lo establecido en la legislación ambiental y agraria.</w:t>
            </w:r>
          </w:p>
          <w:p w14:paraId="66DB1501"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32AEC89D" w14:textId="77777777" w:rsidTr="009E73C4">
        <w:trPr>
          <w:trHeight w:val="276"/>
        </w:trPr>
        <w:tc>
          <w:tcPr>
            <w:tcW w:w="9781" w:type="dxa"/>
            <w:gridSpan w:val="5"/>
            <w:vMerge/>
            <w:vAlign w:val="center"/>
            <w:hideMark/>
          </w:tcPr>
          <w:p w14:paraId="0B03FA87"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671B927D" w14:textId="77777777" w:rsidTr="009E73C4">
        <w:trPr>
          <w:trHeight w:val="20"/>
        </w:trPr>
        <w:tc>
          <w:tcPr>
            <w:tcW w:w="9781" w:type="dxa"/>
            <w:gridSpan w:val="5"/>
            <w:shd w:val="clear" w:color="auto" w:fill="FBD4B4" w:themeFill="accent6" w:themeFillTint="66"/>
            <w:noWrap/>
            <w:vAlign w:val="center"/>
            <w:hideMark/>
          </w:tcPr>
          <w:p w14:paraId="7652F205"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5E16E8" w:rsidRPr="009E73C4" w14:paraId="59364524" w14:textId="77777777" w:rsidTr="009E73C4">
        <w:trPr>
          <w:trHeight w:val="20"/>
        </w:trPr>
        <w:tc>
          <w:tcPr>
            <w:tcW w:w="1774" w:type="dxa"/>
            <w:shd w:val="clear" w:color="auto" w:fill="FBD4B4" w:themeFill="accent6" w:themeFillTint="66"/>
            <w:noWrap/>
            <w:vAlign w:val="center"/>
            <w:hideMark/>
          </w:tcPr>
          <w:p w14:paraId="27CFBC2C" w14:textId="77777777" w:rsidR="005E16E8" w:rsidRPr="009E73C4" w:rsidRDefault="005E16E8" w:rsidP="00737C5B">
            <w:pPr>
              <w:jc w:val="center"/>
              <w:rPr>
                <w:rFonts w:ascii="Calibri" w:eastAsia="Times New Roman" w:hAnsi="Calibri" w:cs="Calibri"/>
                <w:b/>
                <w:bCs/>
                <w:color w:val="000000"/>
                <w:sz w:val="18"/>
                <w:szCs w:val="18"/>
                <w:lang w:eastAsia="es-EC"/>
              </w:rPr>
            </w:pPr>
          </w:p>
        </w:tc>
        <w:tc>
          <w:tcPr>
            <w:tcW w:w="2015" w:type="dxa"/>
            <w:shd w:val="clear" w:color="auto" w:fill="FBD4B4" w:themeFill="accent6" w:themeFillTint="66"/>
            <w:vAlign w:val="center"/>
            <w:hideMark/>
          </w:tcPr>
          <w:p w14:paraId="6772BA00"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2185" w:type="dxa"/>
            <w:shd w:val="clear" w:color="auto" w:fill="FBD4B4" w:themeFill="accent6" w:themeFillTint="66"/>
            <w:noWrap/>
            <w:vAlign w:val="center"/>
            <w:hideMark/>
          </w:tcPr>
          <w:p w14:paraId="37567FEC"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1995" w:type="dxa"/>
            <w:shd w:val="clear" w:color="auto" w:fill="FBD4B4" w:themeFill="accent6" w:themeFillTint="66"/>
            <w:noWrap/>
            <w:vAlign w:val="center"/>
            <w:hideMark/>
          </w:tcPr>
          <w:p w14:paraId="0C76461F"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812" w:type="dxa"/>
            <w:shd w:val="clear" w:color="auto" w:fill="FBD4B4" w:themeFill="accent6" w:themeFillTint="66"/>
            <w:noWrap/>
            <w:vAlign w:val="center"/>
            <w:hideMark/>
          </w:tcPr>
          <w:p w14:paraId="306CCE62"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5E16E8" w:rsidRPr="009E73C4" w14:paraId="6FEFB423" w14:textId="77777777" w:rsidTr="009E73C4">
        <w:trPr>
          <w:trHeight w:val="20"/>
        </w:trPr>
        <w:tc>
          <w:tcPr>
            <w:tcW w:w="1774" w:type="dxa"/>
            <w:shd w:val="clear" w:color="auto" w:fill="auto"/>
            <w:noWrap/>
            <w:vAlign w:val="center"/>
            <w:hideMark/>
          </w:tcPr>
          <w:p w14:paraId="1207511E" w14:textId="77777777" w:rsidR="005E16E8" w:rsidRPr="009E73C4" w:rsidRDefault="005E16E8" w:rsidP="00737C5B">
            <w:pPr>
              <w:rPr>
                <w:rFonts w:ascii="Calibri" w:eastAsia="Times New Roman" w:hAnsi="Calibri" w:cs="Calibri"/>
                <w:sz w:val="18"/>
                <w:szCs w:val="18"/>
                <w:lang w:eastAsia="es-EC"/>
              </w:rPr>
            </w:pPr>
          </w:p>
        </w:tc>
        <w:tc>
          <w:tcPr>
            <w:tcW w:w="2015" w:type="dxa"/>
            <w:tcBorders>
              <w:top w:val="nil"/>
              <w:left w:val="nil"/>
              <w:bottom w:val="single" w:sz="4" w:space="0" w:color="auto"/>
              <w:right w:val="single" w:sz="4" w:space="0" w:color="auto"/>
            </w:tcBorders>
            <w:shd w:val="clear" w:color="auto" w:fill="auto"/>
            <w:vAlign w:val="center"/>
            <w:hideMark/>
          </w:tcPr>
          <w:p w14:paraId="3DBFB9F9"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Manejo Forestal Sostenible</w:t>
            </w:r>
            <w:r w:rsidRPr="009E73C4">
              <w:rPr>
                <w:rFonts w:ascii="Arial Narrow" w:eastAsia="Times New Roman" w:hAnsi="Arial Narrow" w:cs="Calibri"/>
                <w:color w:val="000000"/>
                <w:sz w:val="18"/>
                <w:szCs w:val="18"/>
                <w:lang w:val="es-EC" w:eastAsia="es-EC"/>
              </w:rPr>
              <w:br/>
              <w:t>Restauración ecológica</w:t>
            </w:r>
            <w:r w:rsidRPr="009E73C4">
              <w:rPr>
                <w:rFonts w:ascii="Arial Narrow" w:eastAsia="Times New Roman" w:hAnsi="Arial Narrow" w:cs="Calibri"/>
                <w:color w:val="000000"/>
                <w:sz w:val="18"/>
                <w:szCs w:val="18"/>
                <w:lang w:val="es-EC" w:eastAsia="es-EC"/>
              </w:rPr>
              <w:br/>
              <w:t>Investigación científica sobre biodiversidad</w:t>
            </w:r>
            <w:r w:rsidRPr="009E73C4">
              <w:rPr>
                <w:rFonts w:ascii="Arial Narrow" w:eastAsia="Times New Roman" w:hAnsi="Arial Narrow" w:cs="Calibri"/>
                <w:color w:val="000000"/>
                <w:sz w:val="18"/>
                <w:szCs w:val="18"/>
                <w:lang w:val="es-EC" w:eastAsia="es-EC"/>
              </w:rPr>
              <w:br/>
              <w:t>Franjas para conectividad</w:t>
            </w:r>
          </w:p>
        </w:tc>
        <w:tc>
          <w:tcPr>
            <w:tcW w:w="2185" w:type="dxa"/>
            <w:tcBorders>
              <w:top w:val="nil"/>
              <w:left w:val="nil"/>
              <w:bottom w:val="single" w:sz="4" w:space="0" w:color="auto"/>
              <w:right w:val="single" w:sz="4" w:space="0" w:color="auto"/>
            </w:tcBorders>
            <w:shd w:val="clear" w:color="auto" w:fill="auto"/>
            <w:noWrap/>
            <w:vAlign w:val="center"/>
            <w:hideMark/>
          </w:tcPr>
          <w:p w14:paraId="7F4E69A2"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Agricultura y ganadería regenerativa</w:t>
            </w:r>
            <w:r w:rsidRPr="009E73C4">
              <w:rPr>
                <w:rFonts w:ascii="Arial Narrow" w:eastAsia="Times New Roman" w:hAnsi="Arial Narrow" w:cs="Calibri"/>
                <w:color w:val="000000"/>
                <w:sz w:val="18"/>
                <w:szCs w:val="18"/>
                <w:lang w:val="es-EC" w:eastAsia="es-EC"/>
              </w:rPr>
              <w:br/>
              <w:t>Turismo de investigación</w:t>
            </w:r>
          </w:p>
        </w:tc>
        <w:tc>
          <w:tcPr>
            <w:tcW w:w="1995" w:type="dxa"/>
            <w:tcBorders>
              <w:top w:val="nil"/>
              <w:left w:val="nil"/>
              <w:bottom w:val="single" w:sz="4" w:space="0" w:color="auto"/>
              <w:right w:val="single" w:sz="4" w:space="0" w:color="auto"/>
            </w:tcBorders>
            <w:shd w:val="clear" w:color="auto" w:fill="auto"/>
            <w:noWrap/>
            <w:vAlign w:val="center"/>
            <w:hideMark/>
          </w:tcPr>
          <w:p w14:paraId="7E37666E" w14:textId="1BC8AB1A"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Tala selectiva</w:t>
            </w:r>
            <w:r w:rsidRPr="009E73C4">
              <w:rPr>
                <w:rFonts w:ascii="Arial Narrow" w:eastAsia="Times New Roman" w:hAnsi="Arial Narrow" w:cs="Calibri"/>
                <w:color w:val="000000"/>
                <w:sz w:val="18"/>
                <w:szCs w:val="18"/>
                <w:lang w:val="es-EC" w:eastAsia="es-EC"/>
              </w:rPr>
              <w:br/>
            </w:r>
            <w:r w:rsidR="00A35002">
              <w:rPr>
                <w:rFonts w:ascii="Arial Narrow" w:eastAsia="Times New Roman" w:hAnsi="Arial Narrow" w:cs="Calibri"/>
                <w:color w:val="000000"/>
                <w:sz w:val="18"/>
                <w:szCs w:val="18"/>
                <w:lang w:val="es-EC" w:eastAsia="es-EC"/>
              </w:rPr>
              <w:t>Rural</w:t>
            </w:r>
            <w:r w:rsidRPr="009E73C4">
              <w:rPr>
                <w:rFonts w:ascii="Arial Narrow" w:eastAsia="Times New Roman" w:hAnsi="Arial Narrow" w:cs="Calibri"/>
                <w:color w:val="000000"/>
                <w:sz w:val="18"/>
                <w:szCs w:val="18"/>
                <w:lang w:val="es-EC" w:eastAsia="es-EC"/>
              </w:rPr>
              <w:br/>
              <w:t>Drenajes para agro</w:t>
            </w:r>
          </w:p>
        </w:tc>
        <w:tc>
          <w:tcPr>
            <w:tcW w:w="1812" w:type="dxa"/>
            <w:tcBorders>
              <w:top w:val="nil"/>
              <w:left w:val="nil"/>
              <w:bottom w:val="single" w:sz="4" w:space="0" w:color="auto"/>
              <w:right w:val="single" w:sz="4" w:space="0" w:color="auto"/>
            </w:tcBorders>
            <w:shd w:val="clear" w:color="auto" w:fill="auto"/>
            <w:noWrap/>
            <w:vAlign w:val="center"/>
            <w:hideMark/>
          </w:tcPr>
          <w:p w14:paraId="2E619075" w14:textId="750A2E15"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Deforestación</w:t>
            </w:r>
            <w:r w:rsidRPr="009E73C4">
              <w:rPr>
                <w:rFonts w:ascii="Arial Narrow" w:eastAsia="Times New Roman" w:hAnsi="Arial Narrow" w:cs="Calibri"/>
                <w:color w:val="000000"/>
                <w:sz w:val="18"/>
                <w:szCs w:val="18"/>
                <w:lang w:val="es-EC" w:eastAsia="es-EC"/>
              </w:rPr>
              <w:br/>
            </w:r>
            <w:r w:rsidR="00A35002">
              <w:rPr>
                <w:rFonts w:ascii="Arial Narrow" w:eastAsia="Times New Roman" w:hAnsi="Arial Narrow" w:cs="Calibri"/>
                <w:color w:val="000000"/>
                <w:sz w:val="18"/>
                <w:szCs w:val="18"/>
                <w:lang w:val="es-EC" w:eastAsia="es-EC"/>
              </w:rPr>
              <w:t>Rural</w:t>
            </w:r>
            <w:r w:rsidRPr="009E73C4">
              <w:rPr>
                <w:rFonts w:ascii="Arial Narrow" w:eastAsia="Times New Roman" w:hAnsi="Arial Narrow" w:cs="Calibri"/>
                <w:color w:val="000000"/>
                <w:sz w:val="18"/>
                <w:szCs w:val="18"/>
                <w:lang w:val="es-EC" w:eastAsia="es-EC"/>
              </w:rPr>
              <w:t xml:space="preserve"> extensiva</w:t>
            </w:r>
            <w:r w:rsidRPr="009E73C4">
              <w:rPr>
                <w:rFonts w:ascii="Arial Narrow" w:eastAsia="Times New Roman" w:hAnsi="Arial Narrow" w:cs="Calibri"/>
                <w:color w:val="000000"/>
                <w:sz w:val="18"/>
                <w:szCs w:val="18"/>
                <w:lang w:val="es-EC" w:eastAsia="es-EC"/>
              </w:rPr>
              <w:br/>
              <w:t>Extracción de flora y fauna endémica</w:t>
            </w:r>
            <w:r w:rsidRPr="009E73C4">
              <w:rPr>
                <w:rFonts w:ascii="Arial Narrow" w:eastAsia="Times New Roman" w:hAnsi="Arial Narrow" w:cs="Calibri"/>
                <w:color w:val="000000"/>
                <w:sz w:val="18"/>
                <w:szCs w:val="18"/>
                <w:lang w:val="es-EC" w:eastAsia="es-EC"/>
              </w:rPr>
              <w:br/>
              <w:t>Cacería y pesca</w:t>
            </w:r>
            <w:r w:rsidRPr="009E73C4">
              <w:rPr>
                <w:rFonts w:ascii="Arial Narrow" w:eastAsia="Times New Roman" w:hAnsi="Arial Narrow" w:cs="Calibri"/>
                <w:color w:val="000000"/>
                <w:sz w:val="18"/>
                <w:szCs w:val="18"/>
                <w:lang w:val="es-EC" w:eastAsia="es-EC"/>
              </w:rPr>
              <w:br/>
              <w:t>Contaminación</w:t>
            </w:r>
          </w:p>
        </w:tc>
      </w:tr>
      <w:tr w:rsidR="005E16E8" w:rsidRPr="009E73C4" w14:paraId="79BB3939" w14:textId="77777777" w:rsidTr="009E73C4">
        <w:trPr>
          <w:trHeight w:val="20"/>
        </w:trPr>
        <w:tc>
          <w:tcPr>
            <w:tcW w:w="9781" w:type="dxa"/>
            <w:gridSpan w:val="5"/>
            <w:shd w:val="clear" w:color="auto" w:fill="FBD4B4" w:themeFill="accent6" w:themeFillTint="66"/>
            <w:noWrap/>
            <w:vAlign w:val="center"/>
            <w:hideMark/>
          </w:tcPr>
          <w:p w14:paraId="5EE7B297"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5E16E8" w:rsidRPr="009E73C4" w14:paraId="09E3DAA3" w14:textId="77777777" w:rsidTr="009E73C4">
        <w:trPr>
          <w:trHeight w:val="20"/>
        </w:trPr>
        <w:tc>
          <w:tcPr>
            <w:tcW w:w="1774" w:type="dxa"/>
            <w:shd w:val="clear" w:color="auto" w:fill="auto"/>
            <w:noWrap/>
            <w:vAlign w:val="center"/>
            <w:hideMark/>
          </w:tcPr>
          <w:p w14:paraId="1E8F2EE7"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007" w:type="dxa"/>
            <w:gridSpan w:val="4"/>
            <w:shd w:val="clear" w:color="auto" w:fill="auto"/>
            <w:vAlign w:val="center"/>
            <w:hideMark/>
          </w:tcPr>
          <w:p w14:paraId="3C107561" w14:textId="77777777" w:rsidR="00BA2442" w:rsidRDefault="00BA2442"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p w14:paraId="76071CAC" w14:textId="7A2563F5" w:rsidR="0029546D" w:rsidRPr="009E73C4" w:rsidRDefault="0029546D" w:rsidP="00737C5B">
            <w:pPr>
              <w:rPr>
                <w:rFonts w:ascii="Calibri" w:eastAsia="Times New Roman" w:hAnsi="Calibri" w:cs="Calibri"/>
                <w:color w:val="000000"/>
                <w:sz w:val="18"/>
                <w:szCs w:val="18"/>
                <w:lang w:eastAsia="es-EC"/>
              </w:rPr>
            </w:pPr>
          </w:p>
        </w:tc>
      </w:tr>
      <w:tr w:rsidR="005E16E8" w:rsidRPr="009E73C4" w14:paraId="1E26BBBC" w14:textId="77777777" w:rsidTr="009E73C4">
        <w:trPr>
          <w:trHeight w:val="20"/>
        </w:trPr>
        <w:tc>
          <w:tcPr>
            <w:tcW w:w="1774" w:type="dxa"/>
            <w:shd w:val="clear" w:color="auto" w:fill="auto"/>
            <w:noWrap/>
            <w:vAlign w:val="center"/>
            <w:hideMark/>
          </w:tcPr>
          <w:p w14:paraId="05476547"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007" w:type="dxa"/>
            <w:gridSpan w:val="4"/>
            <w:shd w:val="clear" w:color="auto" w:fill="auto"/>
            <w:vAlign w:val="center"/>
          </w:tcPr>
          <w:p w14:paraId="1F0501E7" w14:textId="55392CA1" w:rsidR="005E16E8" w:rsidRPr="009E73C4" w:rsidRDefault="005E16E8"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 xml:space="preserve">Pueblos y </w:t>
            </w:r>
            <w:r w:rsidR="00581E06" w:rsidRPr="009E73C4">
              <w:rPr>
                <w:rFonts w:ascii="Times New Roman" w:eastAsia="Times New Roman" w:hAnsi="Times New Roman" w:cs="Times New Roman"/>
                <w:color w:val="000000"/>
                <w:sz w:val="18"/>
                <w:szCs w:val="18"/>
                <w:lang w:val="es-EC" w:eastAsia="es-EC"/>
              </w:rPr>
              <w:t>nacionalidades</w:t>
            </w:r>
            <w:r w:rsidRPr="009E73C4">
              <w:rPr>
                <w:rFonts w:ascii="Times New Roman" w:eastAsia="Times New Roman" w:hAnsi="Times New Roman" w:cs="Times New Roman"/>
                <w:color w:val="000000"/>
                <w:sz w:val="18"/>
                <w:szCs w:val="18"/>
                <w:lang w:val="es-EC" w:eastAsia="es-EC"/>
              </w:rPr>
              <w:t>: Acorde a normativas comunitarias</w:t>
            </w:r>
            <w:r w:rsidRPr="009E73C4">
              <w:rPr>
                <w:rFonts w:ascii="Times New Roman" w:eastAsia="Times New Roman" w:hAnsi="Times New Roman" w:cs="Times New Roman"/>
                <w:color w:val="000000"/>
                <w:sz w:val="18"/>
                <w:szCs w:val="18"/>
                <w:lang w:val="es-EC" w:eastAsia="es-EC"/>
              </w:rPr>
              <w:br/>
              <w:t>Otra población se define acorde a:</w:t>
            </w:r>
            <w:r w:rsidRPr="009E73C4">
              <w:rPr>
                <w:rFonts w:ascii="Times New Roman" w:eastAsia="Times New Roman" w:hAnsi="Times New Roman" w:cs="Times New Roman"/>
                <w:color w:val="000000"/>
                <w:sz w:val="18"/>
                <w:szCs w:val="18"/>
                <w:lang w:val="es-EC" w:eastAsia="es-EC"/>
              </w:rPr>
              <w:br/>
              <w:t>Plan de Manejo Integral y Programa de Manejo Forestal Sustentable, para cualquier tamaño de superficie;</w:t>
            </w:r>
            <w:r w:rsidRPr="009E73C4">
              <w:rPr>
                <w:rFonts w:ascii="Times New Roman" w:eastAsia="Times New Roman" w:hAnsi="Times New Roman" w:cs="Times New Roman"/>
                <w:color w:val="000000"/>
                <w:sz w:val="18"/>
                <w:szCs w:val="18"/>
                <w:lang w:val="es-EC" w:eastAsia="es-EC"/>
              </w:rPr>
              <w:br/>
              <w:t>Programa de Manejo Forestal Simplificado, para cualquier tamaño de superficie del bosque, opcionalmente cuando:</w:t>
            </w:r>
            <w:r w:rsidRPr="009E73C4">
              <w:rPr>
                <w:rFonts w:ascii="Times New Roman" w:eastAsia="Times New Roman" w:hAnsi="Times New Roman" w:cs="Times New Roman"/>
                <w:color w:val="000000"/>
                <w:sz w:val="18"/>
                <w:szCs w:val="18"/>
                <w:lang w:val="es-EC" w:eastAsia="es-EC"/>
              </w:rPr>
              <w:br/>
              <w:t>- Se trate de un solo predio y,</w:t>
            </w:r>
            <w:r w:rsidRPr="009E73C4">
              <w:rPr>
                <w:rFonts w:ascii="Times New Roman" w:eastAsia="Times New Roman" w:hAnsi="Times New Roman" w:cs="Times New Roman"/>
                <w:color w:val="000000"/>
                <w:sz w:val="18"/>
                <w:szCs w:val="18"/>
                <w:lang w:val="es-EC" w:eastAsia="es-EC"/>
              </w:rPr>
              <w:br/>
              <w:t>- El manejo forestal, se realizará con arrastre no mecanizado.</w:t>
            </w:r>
          </w:p>
        </w:tc>
      </w:tr>
      <w:tr w:rsidR="005E16E8" w:rsidRPr="009E73C4" w14:paraId="697C4FAA" w14:textId="77777777" w:rsidTr="009E73C4">
        <w:trPr>
          <w:trHeight w:val="20"/>
        </w:trPr>
        <w:tc>
          <w:tcPr>
            <w:tcW w:w="1774" w:type="dxa"/>
            <w:shd w:val="clear" w:color="auto" w:fill="auto"/>
            <w:noWrap/>
            <w:vAlign w:val="center"/>
            <w:hideMark/>
          </w:tcPr>
          <w:p w14:paraId="4EFCD358"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007" w:type="dxa"/>
            <w:gridSpan w:val="4"/>
            <w:shd w:val="clear" w:color="auto" w:fill="auto"/>
          </w:tcPr>
          <w:p w14:paraId="5444ABB6"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 xml:space="preserve">Plan de Manejo Integral y Programa de Corta para Zona de Conversión Legal, cuando, se solicita para usos de </w:t>
            </w:r>
            <w:r w:rsidRPr="009E73C4">
              <w:rPr>
                <w:rFonts w:ascii="Times New Roman" w:eastAsia="Times New Roman" w:hAnsi="Times New Roman" w:cs="Times New Roman"/>
                <w:color w:val="000000"/>
                <w:sz w:val="18"/>
                <w:szCs w:val="18"/>
                <w:lang w:val="es-EC" w:eastAsia="es-EC"/>
              </w:rPr>
              <w:lastRenderedPageBreak/>
              <w:t>subsistencia, una autorización para cambiar el uso forestal de áreas con bosque nativo, a otros usos</w:t>
            </w:r>
          </w:p>
        </w:tc>
      </w:tr>
    </w:tbl>
    <w:p w14:paraId="759FD245" w14:textId="77777777" w:rsidR="005E16E8" w:rsidRPr="009E73C4" w:rsidRDefault="005E16E8" w:rsidP="005E16E8">
      <w:pPr>
        <w:pStyle w:val="Descripcin"/>
        <w:rPr>
          <w:rFonts w:cstheme="majorHAnsi"/>
          <w:sz w:val="18"/>
        </w:rPr>
      </w:pPr>
      <w:bookmarkStart w:id="132" w:name="_Toc81085726"/>
    </w:p>
    <w:p w14:paraId="170E308E" w14:textId="467BB799" w:rsidR="005E16E8" w:rsidRPr="009E73C4" w:rsidRDefault="005E16E8" w:rsidP="005E16E8">
      <w:pPr>
        <w:pStyle w:val="Descripcin"/>
        <w:rPr>
          <w:rFonts w:ascii="Times New Roman" w:eastAsia="Times New Roman" w:hAnsi="Times New Roman" w:cs="Times New Roman"/>
          <w:color w:val="000000"/>
          <w:sz w:val="18"/>
          <w:lang w:val="es-EC" w:eastAsia="es-EC"/>
        </w:rPr>
      </w:pPr>
      <w:r w:rsidRPr="009E73C4">
        <w:rPr>
          <w:rFonts w:cstheme="majorHAnsi"/>
          <w:sz w:val="18"/>
        </w:rPr>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11</w:t>
      </w:r>
      <w:r w:rsidRPr="009E73C4">
        <w:rPr>
          <w:rFonts w:cstheme="majorHAnsi"/>
          <w:noProof/>
          <w:sz w:val="18"/>
        </w:rPr>
        <w:fldChar w:fldCharType="end"/>
      </w:r>
      <w:r w:rsidRPr="009E73C4">
        <w:rPr>
          <w:rFonts w:cstheme="majorHAnsi"/>
          <w:sz w:val="18"/>
        </w:rPr>
        <w:t xml:space="preserve">. Ficha para el </w:t>
      </w:r>
      <w:bookmarkEnd w:id="132"/>
      <w:r w:rsidRPr="009E73C4">
        <w:rPr>
          <w:rFonts w:cstheme="majorHAnsi"/>
          <w:sz w:val="18"/>
        </w:rPr>
        <w:t xml:space="preserve">PIT 3 - </w:t>
      </w:r>
      <w:r w:rsidRPr="009E73C4">
        <w:rPr>
          <w:rFonts w:ascii="Times New Roman" w:eastAsia="Times New Roman" w:hAnsi="Times New Roman" w:cs="Times New Roman"/>
          <w:color w:val="000000"/>
          <w:sz w:val="18"/>
          <w:lang w:val="es-EC" w:eastAsia="es-EC"/>
        </w:rPr>
        <w:t>Recurso Natural Hídrico</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498"/>
        <w:gridCol w:w="1984"/>
        <w:gridCol w:w="1680"/>
        <w:gridCol w:w="1845"/>
      </w:tblGrid>
      <w:tr w:rsidR="005E16E8" w:rsidRPr="009E73C4" w14:paraId="5447453B" w14:textId="77777777" w:rsidTr="009E73C4">
        <w:trPr>
          <w:trHeight w:val="20"/>
        </w:trPr>
        <w:tc>
          <w:tcPr>
            <w:tcW w:w="9781" w:type="dxa"/>
            <w:gridSpan w:val="5"/>
            <w:shd w:val="clear" w:color="auto" w:fill="FBD4B4" w:themeFill="accent6" w:themeFillTint="66"/>
            <w:noWrap/>
            <w:vAlign w:val="center"/>
            <w:hideMark/>
          </w:tcPr>
          <w:p w14:paraId="16083789"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Times New Roman" w:eastAsia="Times New Roman" w:hAnsi="Times New Roman" w:cs="Times New Roman"/>
                <w:color w:val="000000"/>
                <w:sz w:val="18"/>
                <w:szCs w:val="18"/>
                <w:lang w:val="es-EC" w:eastAsia="es-EC"/>
              </w:rPr>
              <w:t>PIT 3 - Recurso Natural Hídrico</w:t>
            </w:r>
          </w:p>
        </w:tc>
      </w:tr>
      <w:tr w:rsidR="005E16E8" w:rsidRPr="009E73C4" w14:paraId="1CD5B69F" w14:textId="77777777" w:rsidTr="009E73C4">
        <w:trPr>
          <w:trHeight w:val="20"/>
        </w:trPr>
        <w:tc>
          <w:tcPr>
            <w:tcW w:w="1774" w:type="dxa"/>
            <w:shd w:val="clear" w:color="auto" w:fill="auto"/>
            <w:noWrap/>
            <w:vAlign w:val="center"/>
            <w:hideMark/>
          </w:tcPr>
          <w:p w14:paraId="4D37C6B1"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482" w:type="dxa"/>
            <w:gridSpan w:val="2"/>
            <w:shd w:val="clear" w:color="auto" w:fill="auto"/>
            <w:vAlign w:val="center"/>
            <w:hideMark/>
          </w:tcPr>
          <w:p w14:paraId="6FCE6178"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1680" w:type="dxa"/>
            <w:shd w:val="clear" w:color="auto" w:fill="auto"/>
            <w:noWrap/>
            <w:vAlign w:val="center"/>
            <w:hideMark/>
          </w:tcPr>
          <w:p w14:paraId="5B7E2B62"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(ha) </w:t>
            </w:r>
          </w:p>
        </w:tc>
        <w:tc>
          <w:tcPr>
            <w:tcW w:w="1845" w:type="dxa"/>
            <w:shd w:val="clear" w:color="auto" w:fill="auto"/>
            <w:noWrap/>
            <w:vAlign w:val="center"/>
            <w:hideMark/>
          </w:tcPr>
          <w:p w14:paraId="125332EF"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5E16E8" w:rsidRPr="009E73C4" w14:paraId="64DBE0E7"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BA34A"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PIT3-RNH</w:t>
            </w:r>
            <w:r w:rsidRPr="009E73C4" w:rsidDel="006D13F9">
              <w:rPr>
                <w:rFonts w:ascii="Calibri" w:eastAsia="Times New Roman" w:hAnsi="Calibri" w:cs="Calibri"/>
                <w:color w:val="000000"/>
                <w:sz w:val="18"/>
                <w:szCs w:val="18"/>
                <w:lang w:eastAsia="es-EC"/>
              </w:rPr>
              <w:t xml:space="preserve"> </w:t>
            </w:r>
          </w:p>
        </w:tc>
        <w:tc>
          <w:tcPr>
            <w:tcW w:w="4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442A32"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Recurso Natural Hídrico</w:t>
            </w:r>
          </w:p>
        </w:tc>
        <w:tc>
          <w:tcPr>
            <w:tcW w:w="1680" w:type="dxa"/>
            <w:tcBorders>
              <w:top w:val="single" w:sz="4" w:space="0" w:color="auto"/>
              <w:left w:val="nil"/>
              <w:bottom w:val="single" w:sz="4" w:space="0" w:color="auto"/>
              <w:right w:val="single" w:sz="4" w:space="0" w:color="auto"/>
            </w:tcBorders>
            <w:shd w:val="clear" w:color="auto" w:fill="auto"/>
            <w:vAlign w:val="center"/>
          </w:tcPr>
          <w:p w14:paraId="0A13919D"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13479,63</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BC5F885"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11,16%</w:t>
            </w:r>
          </w:p>
        </w:tc>
      </w:tr>
      <w:tr w:rsidR="005E16E8" w:rsidRPr="009E73C4" w14:paraId="2F8D3730" w14:textId="77777777" w:rsidTr="009E73C4">
        <w:trPr>
          <w:trHeight w:val="20"/>
        </w:trPr>
        <w:tc>
          <w:tcPr>
            <w:tcW w:w="9781" w:type="dxa"/>
            <w:gridSpan w:val="5"/>
            <w:shd w:val="clear" w:color="auto" w:fill="auto"/>
            <w:noWrap/>
            <w:vAlign w:val="center"/>
          </w:tcPr>
          <w:p w14:paraId="620E6134" w14:textId="77777777" w:rsidR="009E73C4" w:rsidRDefault="009E73C4" w:rsidP="00737C5B">
            <w:pPr>
              <w:jc w:val="center"/>
              <w:rPr>
                <w:rFonts w:ascii="Calibri" w:eastAsia="Times New Roman" w:hAnsi="Calibri" w:cs="Calibri"/>
                <w:b/>
                <w:bCs/>
                <w:color w:val="000000"/>
                <w:sz w:val="18"/>
                <w:szCs w:val="18"/>
                <w:lang w:eastAsia="es-EC"/>
              </w:rPr>
            </w:pPr>
          </w:p>
          <w:p w14:paraId="624FEEE8" w14:textId="4AD82B9F"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noProof/>
                <w:color w:val="000000"/>
                <w:sz w:val="18"/>
                <w:szCs w:val="18"/>
                <w:lang w:val="es-EC" w:eastAsia="es-EC"/>
              </w:rPr>
              <w:drawing>
                <wp:inline distT="0" distB="0" distL="0" distR="0" wp14:anchorId="390BBC11" wp14:editId="123AA91A">
                  <wp:extent cx="5181866" cy="3702240"/>
                  <wp:effectExtent l="0" t="0" r="0" b="0"/>
                  <wp:docPr id="74352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2110" name=""/>
                          <pic:cNvPicPr/>
                        </pic:nvPicPr>
                        <pic:blipFill>
                          <a:blip r:embed="rId22"/>
                          <a:stretch>
                            <a:fillRect/>
                          </a:stretch>
                        </pic:blipFill>
                        <pic:spPr>
                          <a:xfrm>
                            <a:off x="0" y="0"/>
                            <a:ext cx="5181866" cy="3702240"/>
                          </a:xfrm>
                          <a:prstGeom prst="rect">
                            <a:avLst/>
                          </a:prstGeom>
                        </pic:spPr>
                      </pic:pic>
                    </a:graphicData>
                  </a:graphic>
                </wp:inline>
              </w:drawing>
            </w:r>
          </w:p>
        </w:tc>
      </w:tr>
      <w:tr w:rsidR="005E16E8" w:rsidRPr="009E73C4" w14:paraId="0A4ED10C" w14:textId="77777777" w:rsidTr="009E73C4">
        <w:trPr>
          <w:trHeight w:val="20"/>
        </w:trPr>
        <w:tc>
          <w:tcPr>
            <w:tcW w:w="9781" w:type="dxa"/>
            <w:gridSpan w:val="5"/>
            <w:shd w:val="clear" w:color="auto" w:fill="FBD4B4" w:themeFill="accent6" w:themeFillTint="66"/>
            <w:vAlign w:val="center"/>
            <w:hideMark/>
          </w:tcPr>
          <w:p w14:paraId="578AFE68"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5E16E8" w:rsidRPr="009E73C4" w14:paraId="64C2A9EB" w14:textId="77777777" w:rsidTr="009E73C4">
        <w:trPr>
          <w:trHeight w:val="276"/>
        </w:trPr>
        <w:tc>
          <w:tcPr>
            <w:tcW w:w="9781" w:type="dxa"/>
            <w:gridSpan w:val="5"/>
            <w:vMerge w:val="restart"/>
            <w:shd w:val="clear" w:color="auto" w:fill="auto"/>
            <w:vAlign w:val="center"/>
            <w:hideMark/>
          </w:tcPr>
          <w:p w14:paraId="0CB6771B"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b/>
                <w:bCs/>
                <w:color w:val="000000"/>
                <w:sz w:val="18"/>
                <w:szCs w:val="18"/>
                <w:lang w:eastAsia="es-EC"/>
              </w:rPr>
              <w:t xml:space="preserve">Recuperación: </w:t>
            </w:r>
            <w:r w:rsidRPr="009E73C4">
              <w:rPr>
                <w:rFonts w:ascii="Calibri" w:eastAsia="Times New Roman" w:hAnsi="Calibri" w:cs="Calibri"/>
                <w:color w:val="000000"/>
                <w:sz w:val="18"/>
                <w:szCs w:val="18"/>
                <w:lang w:eastAsia="es-EC"/>
              </w:rPr>
              <w:t>Se aplica a aquellas zonas que han sufrido un proceso de deterioro ambiental y/o paisajístico, debido al desarrollo de las actividades productivas o extractivas y cuya recuperación es necesaria para mantener el equilibrio de los ecosistemas naturales, según lo establecido en la legislación ambiental y agraria.</w:t>
            </w:r>
          </w:p>
          <w:p w14:paraId="4F03EDB2"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08E084F7" w14:textId="77777777" w:rsidTr="009E73C4">
        <w:trPr>
          <w:trHeight w:val="276"/>
        </w:trPr>
        <w:tc>
          <w:tcPr>
            <w:tcW w:w="9781" w:type="dxa"/>
            <w:gridSpan w:val="5"/>
            <w:vMerge/>
            <w:vAlign w:val="center"/>
            <w:hideMark/>
          </w:tcPr>
          <w:p w14:paraId="1AFD7790" w14:textId="77777777" w:rsidR="005E16E8" w:rsidRPr="009E73C4" w:rsidRDefault="005E16E8" w:rsidP="00737C5B">
            <w:pPr>
              <w:rPr>
                <w:rFonts w:ascii="Calibri" w:eastAsia="Times New Roman" w:hAnsi="Calibri" w:cs="Calibri"/>
                <w:color w:val="000000"/>
                <w:sz w:val="18"/>
                <w:szCs w:val="18"/>
                <w:lang w:eastAsia="es-EC"/>
              </w:rPr>
            </w:pPr>
          </w:p>
        </w:tc>
      </w:tr>
      <w:tr w:rsidR="005E16E8" w:rsidRPr="009E73C4" w14:paraId="135A5E4F" w14:textId="77777777" w:rsidTr="009E73C4">
        <w:trPr>
          <w:trHeight w:val="20"/>
        </w:trPr>
        <w:tc>
          <w:tcPr>
            <w:tcW w:w="9781" w:type="dxa"/>
            <w:gridSpan w:val="5"/>
            <w:shd w:val="clear" w:color="auto" w:fill="FBD4B4" w:themeFill="accent6" w:themeFillTint="66"/>
            <w:noWrap/>
            <w:vAlign w:val="center"/>
            <w:hideMark/>
          </w:tcPr>
          <w:p w14:paraId="2859AD4E"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5E16E8" w:rsidRPr="009E73C4" w14:paraId="22577D9A" w14:textId="77777777" w:rsidTr="009E73C4">
        <w:trPr>
          <w:trHeight w:val="20"/>
        </w:trPr>
        <w:tc>
          <w:tcPr>
            <w:tcW w:w="1774" w:type="dxa"/>
            <w:shd w:val="clear" w:color="auto" w:fill="FBD4B4" w:themeFill="accent6" w:themeFillTint="66"/>
            <w:noWrap/>
            <w:vAlign w:val="center"/>
            <w:hideMark/>
          </w:tcPr>
          <w:p w14:paraId="0CE0AF6E" w14:textId="77777777" w:rsidR="005E16E8" w:rsidRPr="009E73C4" w:rsidRDefault="005E16E8" w:rsidP="00737C5B">
            <w:pPr>
              <w:jc w:val="center"/>
              <w:rPr>
                <w:rFonts w:ascii="Calibri" w:eastAsia="Times New Roman" w:hAnsi="Calibri" w:cs="Calibri"/>
                <w:b/>
                <w:bCs/>
                <w:color w:val="000000"/>
                <w:sz w:val="18"/>
                <w:szCs w:val="18"/>
                <w:lang w:eastAsia="es-EC"/>
              </w:rPr>
            </w:pPr>
          </w:p>
        </w:tc>
        <w:tc>
          <w:tcPr>
            <w:tcW w:w="2498" w:type="dxa"/>
            <w:shd w:val="clear" w:color="auto" w:fill="FBD4B4" w:themeFill="accent6" w:themeFillTint="66"/>
            <w:vAlign w:val="center"/>
            <w:hideMark/>
          </w:tcPr>
          <w:p w14:paraId="22B6C151"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5822F64C"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1680" w:type="dxa"/>
            <w:shd w:val="clear" w:color="auto" w:fill="FBD4B4" w:themeFill="accent6" w:themeFillTint="66"/>
            <w:noWrap/>
            <w:vAlign w:val="center"/>
            <w:hideMark/>
          </w:tcPr>
          <w:p w14:paraId="504FB273"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845" w:type="dxa"/>
            <w:shd w:val="clear" w:color="auto" w:fill="FBD4B4" w:themeFill="accent6" w:themeFillTint="66"/>
            <w:noWrap/>
            <w:vAlign w:val="center"/>
            <w:hideMark/>
          </w:tcPr>
          <w:p w14:paraId="1C7DD4C0"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5E16E8" w:rsidRPr="009E73C4" w14:paraId="4AA723AE" w14:textId="77777777" w:rsidTr="009E73C4">
        <w:trPr>
          <w:trHeight w:val="20"/>
        </w:trPr>
        <w:tc>
          <w:tcPr>
            <w:tcW w:w="1774" w:type="dxa"/>
            <w:tcBorders>
              <w:top w:val="single" w:sz="4" w:space="0" w:color="auto"/>
              <w:left w:val="single" w:sz="4" w:space="0" w:color="auto"/>
              <w:bottom w:val="single" w:sz="4" w:space="0" w:color="auto"/>
              <w:right w:val="nil"/>
            </w:tcBorders>
            <w:shd w:val="clear" w:color="auto" w:fill="auto"/>
            <w:noWrap/>
            <w:vAlign w:val="center"/>
          </w:tcPr>
          <w:p w14:paraId="117A4B19" w14:textId="77777777" w:rsidR="005E16E8" w:rsidRPr="009E73C4" w:rsidRDefault="005E16E8" w:rsidP="00737C5B">
            <w:pPr>
              <w:rPr>
                <w:rFonts w:ascii="Calibri" w:eastAsia="Times New Roman" w:hAnsi="Calibri" w:cs="Calibri"/>
                <w:sz w:val="18"/>
                <w:szCs w:val="18"/>
                <w:lang w:eastAsia="es-EC"/>
              </w:rPr>
            </w:pPr>
          </w:p>
        </w:tc>
        <w:tc>
          <w:tcPr>
            <w:tcW w:w="2498" w:type="dxa"/>
            <w:tcBorders>
              <w:top w:val="nil"/>
              <w:left w:val="nil"/>
              <w:bottom w:val="single" w:sz="4" w:space="0" w:color="auto"/>
              <w:right w:val="single" w:sz="4" w:space="0" w:color="auto"/>
            </w:tcBorders>
            <w:shd w:val="clear" w:color="auto" w:fill="auto"/>
            <w:vAlign w:val="center"/>
          </w:tcPr>
          <w:p w14:paraId="1B9FC2DE"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Restauración ecológica en riberas</w:t>
            </w:r>
            <w:r w:rsidRPr="009E73C4">
              <w:rPr>
                <w:rFonts w:ascii="Arial Narrow" w:eastAsia="Times New Roman" w:hAnsi="Arial Narrow" w:cs="Calibri"/>
                <w:color w:val="000000"/>
                <w:sz w:val="18"/>
                <w:szCs w:val="18"/>
                <w:lang w:val="es-EC" w:eastAsia="es-EC"/>
              </w:rPr>
              <w:br/>
              <w:t>Turismo</w:t>
            </w:r>
            <w:r w:rsidRPr="009E73C4">
              <w:rPr>
                <w:rFonts w:ascii="Arial Narrow" w:eastAsia="Times New Roman" w:hAnsi="Arial Narrow" w:cs="Calibri"/>
                <w:color w:val="000000"/>
                <w:sz w:val="18"/>
                <w:szCs w:val="18"/>
                <w:lang w:val="es-EC" w:eastAsia="es-EC"/>
              </w:rPr>
              <w:br/>
              <w:t>Revegetación zonas degradadas</w:t>
            </w:r>
          </w:p>
        </w:tc>
        <w:tc>
          <w:tcPr>
            <w:tcW w:w="1984" w:type="dxa"/>
            <w:tcBorders>
              <w:top w:val="nil"/>
              <w:left w:val="nil"/>
              <w:bottom w:val="single" w:sz="4" w:space="0" w:color="auto"/>
              <w:right w:val="single" w:sz="4" w:space="0" w:color="auto"/>
            </w:tcBorders>
            <w:shd w:val="clear" w:color="auto" w:fill="auto"/>
            <w:noWrap/>
            <w:vAlign w:val="center"/>
          </w:tcPr>
          <w:p w14:paraId="5B038EBF"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Recuperación de franjas ribereñas</w:t>
            </w:r>
          </w:p>
        </w:tc>
        <w:tc>
          <w:tcPr>
            <w:tcW w:w="1680" w:type="dxa"/>
            <w:tcBorders>
              <w:top w:val="nil"/>
              <w:left w:val="nil"/>
              <w:bottom w:val="single" w:sz="4" w:space="0" w:color="auto"/>
              <w:right w:val="single" w:sz="4" w:space="0" w:color="auto"/>
            </w:tcBorders>
            <w:shd w:val="clear" w:color="auto" w:fill="auto"/>
            <w:noWrap/>
            <w:vAlign w:val="center"/>
          </w:tcPr>
          <w:p w14:paraId="328815E5"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Minería artesanal</w:t>
            </w:r>
          </w:p>
        </w:tc>
        <w:tc>
          <w:tcPr>
            <w:tcW w:w="1845" w:type="dxa"/>
            <w:tcBorders>
              <w:top w:val="nil"/>
              <w:left w:val="nil"/>
              <w:bottom w:val="single" w:sz="4" w:space="0" w:color="auto"/>
              <w:right w:val="single" w:sz="4" w:space="0" w:color="auto"/>
            </w:tcBorders>
            <w:shd w:val="clear" w:color="auto" w:fill="auto"/>
            <w:noWrap/>
            <w:vAlign w:val="center"/>
          </w:tcPr>
          <w:p w14:paraId="29BCCA3C" w14:textId="77777777" w:rsidR="005E16E8" w:rsidRPr="009E73C4" w:rsidRDefault="005E16E8"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Minería no metálica empresarial</w:t>
            </w:r>
          </w:p>
        </w:tc>
      </w:tr>
      <w:tr w:rsidR="005E16E8" w:rsidRPr="009E73C4" w14:paraId="60AE39F8"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B9C8" w14:textId="77777777" w:rsidR="005E16E8" w:rsidRPr="009E73C4" w:rsidRDefault="005E16E8" w:rsidP="00737C5B">
            <w:pPr>
              <w:rPr>
                <w:rFonts w:ascii="Calibri" w:eastAsia="Times New Roman" w:hAnsi="Calibri" w:cs="Calibri"/>
                <w:sz w:val="18"/>
                <w:szCs w:val="18"/>
                <w:lang w:eastAsia="es-EC"/>
              </w:rPr>
            </w:pPr>
            <w:r w:rsidRPr="009E73C4">
              <w:rPr>
                <w:rFonts w:ascii="Calibri" w:eastAsia="Times New Roman" w:hAnsi="Calibri" w:cs="Calibri"/>
                <w:sz w:val="18"/>
                <w:szCs w:val="18"/>
                <w:lang w:eastAsia="es-EC"/>
              </w:rPr>
              <w:t>Riesgo alto y muy alto</w:t>
            </w:r>
          </w:p>
        </w:tc>
        <w:tc>
          <w:tcPr>
            <w:tcW w:w="2498" w:type="dxa"/>
            <w:tcBorders>
              <w:top w:val="nil"/>
              <w:left w:val="nil"/>
              <w:bottom w:val="single" w:sz="4" w:space="0" w:color="auto"/>
              <w:right w:val="single" w:sz="4" w:space="0" w:color="auto"/>
            </w:tcBorders>
            <w:shd w:val="clear" w:color="auto" w:fill="auto"/>
            <w:vAlign w:val="center"/>
          </w:tcPr>
          <w:p w14:paraId="61B3F2E3" w14:textId="77777777" w:rsidR="005E16E8" w:rsidRPr="009E73C4" w:rsidRDefault="005E16E8" w:rsidP="00737C5B">
            <w:pPr>
              <w:rPr>
                <w:rFonts w:ascii="Calibri" w:eastAsia="Times New Roman" w:hAnsi="Calibri" w:cs="Calibri"/>
                <w:sz w:val="18"/>
                <w:szCs w:val="18"/>
                <w:lang w:eastAsia="es-EC"/>
              </w:rPr>
            </w:pPr>
            <w:r w:rsidRPr="009E73C4">
              <w:rPr>
                <w:rFonts w:ascii="Calibri" w:eastAsia="Times New Roman" w:hAnsi="Calibri" w:cs="Calibri"/>
                <w:sz w:val="18"/>
                <w:szCs w:val="18"/>
                <w:lang w:eastAsia="es-EC"/>
              </w:rPr>
              <w:t>Embalses, restauración, estabilización de suelos,</w:t>
            </w:r>
          </w:p>
          <w:p w14:paraId="4F79E85F" w14:textId="77777777" w:rsidR="005E16E8" w:rsidRPr="009E73C4" w:rsidRDefault="005E16E8" w:rsidP="00737C5B">
            <w:pPr>
              <w:rPr>
                <w:rFonts w:ascii="Calibri" w:eastAsia="Times New Roman" w:hAnsi="Calibri" w:cs="Calibri"/>
                <w:sz w:val="18"/>
                <w:szCs w:val="18"/>
                <w:lang w:eastAsia="es-EC"/>
              </w:rPr>
            </w:pPr>
            <w:r w:rsidRPr="009E73C4">
              <w:rPr>
                <w:rFonts w:ascii="Calibri" w:eastAsia="Times New Roman" w:hAnsi="Calibri" w:cs="Calibri"/>
                <w:sz w:val="18"/>
                <w:szCs w:val="18"/>
                <w:lang w:eastAsia="es-EC"/>
              </w:rPr>
              <w:t xml:space="preserve">Caudal ecológico </w:t>
            </w:r>
          </w:p>
        </w:tc>
        <w:tc>
          <w:tcPr>
            <w:tcW w:w="1984" w:type="dxa"/>
            <w:tcBorders>
              <w:top w:val="nil"/>
              <w:left w:val="nil"/>
              <w:bottom w:val="single" w:sz="4" w:space="0" w:color="auto"/>
              <w:right w:val="single" w:sz="4" w:space="0" w:color="auto"/>
            </w:tcBorders>
            <w:shd w:val="clear" w:color="auto" w:fill="auto"/>
            <w:noWrap/>
            <w:vAlign w:val="center"/>
          </w:tcPr>
          <w:p w14:paraId="12D472A9" w14:textId="77777777" w:rsidR="005E16E8" w:rsidRPr="009E73C4" w:rsidRDefault="005E16E8" w:rsidP="00737C5B">
            <w:pPr>
              <w:rPr>
                <w:sz w:val="18"/>
                <w:szCs w:val="18"/>
              </w:rPr>
            </w:pPr>
            <w:r w:rsidRPr="009E73C4">
              <w:rPr>
                <w:sz w:val="18"/>
                <w:szCs w:val="18"/>
              </w:rPr>
              <w:t xml:space="preserve">Recuperación de franjas ribereñas (filtros vegetativos) </w:t>
            </w:r>
          </w:p>
          <w:p w14:paraId="7B3F7151" w14:textId="77777777" w:rsidR="005E16E8" w:rsidRPr="009E73C4" w:rsidRDefault="005E16E8" w:rsidP="00737C5B">
            <w:pPr>
              <w:rPr>
                <w:sz w:val="18"/>
                <w:szCs w:val="18"/>
              </w:rPr>
            </w:pPr>
          </w:p>
          <w:p w14:paraId="4BEB2BE8" w14:textId="77777777" w:rsidR="005E16E8" w:rsidRPr="009E73C4" w:rsidRDefault="005E16E8" w:rsidP="00737C5B">
            <w:pPr>
              <w:rPr>
                <w:rFonts w:ascii="Calibri" w:eastAsia="Times New Roman" w:hAnsi="Calibri" w:cs="Calibri"/>
                <w:sz w:val="18"/>
                <w:szCs w:val="18"/>
                <w:lang w:eastAsia="es-EC"/>
              </w:rPr>
            </w:pPr>
            <w:r w:rsidRPr="009E73C4">
              <w:rPr>
                <w:sz w:val="18"/>
                <w:szCs w:val="18"/>
              </w:rPr>
              <w:t>Revegetación en zonas degradadas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04A4F" w14:textId="5F73600E" w:rsidR="005E16E8" w:rsidRPr="009E73C4" w:rsidRDefault="00DE25C0" w:rsidP="00737C5B">
            <w:pPr>
              <w:rPr>
                <w:rFonts w:ascii="Calibri" w:eastAsia="Times New Roman" w:hAnsi="Calibri" w:cs="Calibri"/>
                <w:sz w:val="18"/>
                <w:szCs w:val="18"/>
                <w:lang w:eastAsia="es-EC"/>
              </w:rPr>
            </w:pPr>
            <w:r w:rsidRPr="009E73C4">
              <w:rPr>
                <w:rFonts w:ascii="Calibri" w:eastAsia="Times New Roman" w:hAnsi="Calibri" w:cs="Calibri"/>
                <w:sz w:val="18"/>
                <w:szCs w:val="18"/>
                <w:lang w:eastAsia="es-EC"/>
              </w:rPr>
              <w:t>NO APLICA</w:t>
            </w:r>
          </w:p>
        </w:tc>
        <w:tc>
          <w:tcPr>
            <w:tcW w:w="1845" w:type="dxa"/>
            <w:tcBorders>
              <w:top w:val="single" w:sz="4" w:space="0" w:color="auto"/>
              <w:left w:val="single" w:sz="4" w:space="0" w:color="auto"/>
              <w:bottom w:val="single" w:sz="4" w:space="0" w:color="auto"/>
            </w:tcBorders>
            <w:shd w:val="clear" w:color="auto" w:fill="auto"/>
            <w:noWrap/>
            <w:vAlign w:val="center"/>
          </w:tcPr>
          <w:p w14:paraId="5E2F892C" w14:textId="6906087D" w:rsidR="005E16E8" w:rsidRPr="009E73C4" w:rsidRDefault="00DE25C0" w:rsidP="00737C5B">
            <w:pPr>
              <w:rPr>
                <w:rFonts w:ascii="Calibri" w:eastAsia="Times New Roman" w:hAnsi="Calibri" w:cs="Calibri"/>
                <w:sz w:val="18"/>
                <w:szCs w:val="18"/>
                <w:lang w:eastAsia="es-EC"/>
              </w:rPr>
            </w:pPr>
            <w:r w:rsidRPr="009E73C4">
              <w:rPr>
                <w:rFonts w:ascii="Calibri" w:eastAsia="Times New Roman" w:hAnsi="Calibri" w:cs="Calibri"/>
                <w:sz w:val="18"/>
                <w:szCs w:val="18"/>
                <w:lang w:eastAsia="es-EC"/>
              </w:rPr>
              <w:t>NO APLICA</w:t>
            </w:r>
          </w:p>
        </w:tc>
      </w:tr>
      <w:tr w:rsidR="005E16E8" w:rsidRPr="009E73C4" w14:paraId="7B11BEF2" w14:textId="77777777" w:rsidTr="009E73C4">
        <w:trPr>
          <w:trHeight w:val="20"/>
        </w:trPr>
        <w:tc>
          <w:tcPr>
            <w:tcW w:w="9781" w:type="dxa"/>
            <w:gridSpan w:val="5"/>
            <w:shd w:val="clear" w:color="auto" w:fill="FBD4B4" w:themeFill="accent6" w:themeFillTint="66"/>
            <w:noWrap/>
            <w:vAlign w:val="center"/>
            <w:hideMark/>
          </w:tcPr>
          <w:p w14:paraId="16F2C8E5" w14:textId="77777777" w:rsidR="005E16E8" w:rsidRPr="009E73C4" w:rsidRDefault="005E16E8"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5E16E8" w:rsidRPr="009E73C4" w14:paraId="061E643C" w14:textId="77777777" w:rsidTr="009E73C4">
        <w:trPr>
          <w:trHeight w:val="20"/>
        </w:trPr>
        <w:tc>
          <w:tcPr>
            <w:tcW w:w="1774" w:type="dxa"/>
            <w:shd w:val="clear" w:color="auto" w:fill="auto"/>
            <w:noWrap/>
            <w:vAlign w:val="center"/>
            <w:hideMark/>
          </w:tcPr>
          <w:p w14:paraId="72D74E3C"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007" w:type="dxa"/>
            <w:gridSpan w:val="4"/>
            <w:shd w:val="clear" w:color="auto" w:fill="auto"/>
            <w:vAlign w:val="center"/>
          </w:tcPr>
          <w:p w14:paraId="48E14B9B"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r w:rsidR="005E16E8" w:rsidRPr="009E73C4" w14:paraId="6603F992" w14:textId="77777777" w:rsidTr="009E73C4">
        <w:trPr>
          <w:trHeight w:val="20"/>
        </w:trPr>
        <w:tc>
          <w:tcPr>
            <w:tcW w:w="1774" w:type="dxa"/>
            <w:shd w:val="clear" w:color="auto" w:fill="auto"/>
            <w:noWrap/>
            <w:vAlign w:val="center"/>
            <w:hideMark/>
          </w:tcPr>
          <w:p w14:paraId="56F80CFD"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007" w:type="dxa"/>
            <w:gridSpan w:val="4"/>
            <w:shd w:val="clear" w:color="auto" w:fill="auto"/>
          </w:tcPr>
          <w:p w14:paraId="051732C9"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r w:rsidR="005E16E8" w:rsidRPr="009E73C4" w14:paraId="01912A2D" w14:textId="77777777" w:rsidTr="009E73C4">
        <w:trPr>
          <w:trHeight w:val="20"/>
        </w:trPr>
        <w:tc>
          <w:tcPr>
            <w:tcW w:w="1774" w:type="dxa"/>
            <w:shd w:val="clear" w:color="auto" w:fill="auto"/>
            <w:noWrap/>
            <w:vAlign w:val="center"/>
            <w:hideMark/>
          </w:tcPr>
          <w:p w14:paraId="418A4ADA" w14:textId="77777777" w:rsidR="005E16E8" w:rsidRPr="009E73C4" w:rsidRDefault="005E16E8"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lastRenderedPageBreak/>
              <w:t>Edificabilidad</w:t>
            </w:r>
          </w:p>
        </w:tc>
        <w:tc>
          <w:tcPr>
            <w:tcW w:w="8007" w:type="dxa"/>
            <w:gridSpan w:val="4"/>
            <w:shd w:val="clear" w:color="auto" w:fill="auto"/>
          </w:tcPr>
          <w:p w14:paraId="71666DDA" w14:textId="77777777" w:rsidR="005E16E8" w:rsidRPr="009E73C4" w:rsidRDefault="005E16E8"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bl>
    <w:p w14:paraId="779B00E8" w14:textId="77777777" w:rsidR="005E16E8" w:rsidRPr="009E73C4" w:rsidRDefault="005E16E8" w:rsidP="005E16E8">
      <w:pPr>
        <w:rPr>
          <w:rFonts w:cstheme="majorHAnsi"/>
          <w:sz w:val="18"/>
          <w:szCs w:val="18"/>
        </w:rPr>
      </w:pPr>
    </w:p>
    <w:p w14:paraId="00DCDB33" w14:textId="13187A50" w:rsidR="005E16E8" w:rsidRPr="009E73C4" w:rsidRDefault="005E16E8" w:rsidP="009E73C4">
      <w:pPr>
        <w:pStyle w:val="Descripcin"/>
      </w:pPr>
      <w:r w:rsidRPr="009E73C4">
        <w:t xml:space="preserve">Tabla </w:t>
      </w:r>
      <w:r w:rsidR="00F53605">
        <w:fldChar w:fldCharType="begin"/>
      </w:r>
      <w:r w:rsidR="00F53605">
        <w:instrText xml:space="preserve"> SEQ Tabla \* ARABIC </w:instrText>
      </w:r>
      <w:r w:rsidR="00F53605">
        <w:fldChar w:fldCharType="separate"/>
      </w:r>
      <w:r w:rsidR="00F53605">
        <w:rPr>
          <w:noProof/>
        </w:rPr>
        <w:t>12</w:t>
      </w:r>
      <w:r w:rsidR="00F53605">
        <w:rPr>
          <w:noProof/>
        </w:rPr>
        <w:fldChar w:fldCharType="end"/>
      </w:r>
      <w:r w:rsidRPr="009E73C4">
        <w:t>. Ficha para el PIT 4 - Actividades Agropecuarias y Forestales</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054"/>
        <w:gridCol w:w="1984"/>
        <w:gridCol w:w="2158"/>
        <w:gridCol w:w="1811"/>
      </w:tblGrid>
      <w:tr w:rsidR="00737C5B" w:rsidRPr="009E73C4" w14:paraId="29FB0294" w14:textId="77777777" w:rsidTr="009E73C4">
        <w:trPr>
          <w:trHeight w:val="20"/>
        </w:trPr>
        <w:tc>
          <w:tcPr>
            <w:tcW w:w="9781" w:type="dxa"/>
            <w:gridSpan w:val="5"/>
            <w:shd w:val="clear" w:color="auto" w:fill="FBD4B4" w:themeFill="accent6" w:themeFillTint="66"/>
            <w:noWrap/>
            <w:vAlign w:val="center"/>
            <w:hideMark/>
          </w:tcPr>
          <w:p w14:paraId="00E345D7" w14:textId="3825B35D" w:rsidR="00737C5B" w:rsidRPr="009E73C4" w:rsidRDefault="00581E06" w:rsidP="00581E06">
            <w:pPr>
              <w:jc w:val="center"/>
              <w:rPr>
                <w:rFonts w:ascii="Calibri" w:eastAsia="Times New Roman" w:hAnsi="Calibri" w:cs="Calibri"/>
                <w:b/>
                <w:bCs/>
                <w:color w:val="000000"/>
                <w:sz w:val="18"/>
                <w:szCs w:val="18"/>
                <w:lang w:eastAsia="es-EC"/>
              </w:rPr>
            </w:pPr>
            <w:r w:rsidRPr="009E73C4">
              <w:rPr>
                <w:rFonts w:ascii="Times New Roman" w:eastAsia="Times New Roman" w:hAnsi="Times New Roman" w:cs="Times New Roman"/>
                <w:color w:val="000000"/>
                <w:sz w:val="18"/>
                <w:szCs w:val="18"/>
                <w:lang w:val="es-EC" w:eastAsia="es-EC"/>
              </w:rPr>
              <w:t>PIT 4- Actividades Agropecuarias y Forestales</w:t>
            </w:r>
          </w:p>
        </w:tc>
      </w:tr>
      <w:tr w:rsidR="00737C5B" w:rsidRPr="009E73C4" w14:paraId="68B0C6A6" w14:textId="77777777" w:rsidTr="009E73C4">
        <w:trPr>
          <w:trHeight w:val="20"/>
        </w:trPr>
        <w:tc>
          <w:tcPr>
            <w:tcW w:w="1774" w:type="dxa"/>
            <w:shd w:val="clear" w:color="auto" w:fill="auto"/>
            <w:noWrap/>
            <w:vAlign w:val="center"/>
            <w:hideMark/>
          </w:tcPr>
          <w:p w14:paraId="1D9EA775"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038" w:type="dxa"/>
            <w:gridSpan w:val="2"/>
            <w:shd w:val="clear" w:color="auto" w:fill="auto"/>
            <w:vAlign w:val="center"/>
            <w:hideMark/>
          </w:tcPr>
          <w:p w14:paraId="6A8B019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71C9DEE1"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Superficie (ha)</w:t>
            </w:r>
          </w:p>
        </w:tc>
        <w:tc>
          <w:tcPr>
            <w:tcW w:w="1811" w:type="dxa"/>
            <w:shd w:val="clear" w:color="auto" w:fill="auto"/>
            <w:noWrap/>
            <w:vAlign w:val="center"/>
            <w:hideMark/>
          </w:tcPr>
          <w:p w14:paraId="6878430A"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737C5B" w:rsidRPr="009E73C4" w14:paraId="6C038D54"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1BD59"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PIT4-AAF</w:t>
            </w:r>
          </w:p>
        </w:tc>
        <w:tc>
          <w:tcPr>
            <w:tcW w:w="40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89E085"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Actividades Agropecuarias y Forestales</w:t>
            </w:r>
          </w:p>
        </w:tc>
        <w:tc>
          <w:tcPr>
            <w:tcW w:w="2158" w:type="dxa"/>
            <w:tcBorders>
              <w:top w:val="single" w:sz="4" w:space="0" w:color="auto"/>
              <w:left w:val="nil"/>
              <w:bottom w:val="single" w:sz="4" w:space="0" w:color="auto"/>
              <w:right w:val="single" w:sz="4" w:space="0" w:color="auto"/>
            </w:tcBorders>
            <w:shd w:val="clear" w:color="auto" w:fill="auto"/>
            <w:vAlign w:val="center"/>
          </w:tcPr>
          <w:p w14:paraId="5B76F1FB"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51641,98</w:t>
            </w:r>
          </w:p>
        </w:tc>
        <w:tc>
          <w:tcPr>
            <w:tcW w:w="1811" w:type="dxa"/>
            <w:tcBorders>
              <w:top w:val="single" w:sz="4" w:space="0" w:color="auto"/>
              <w:left w:val="nil"/>
              <w:bottom w:val="single" w:sz="4" w:space="0" w:color="auto"/>
              <w:right w:val="single" w:sz="4" w:space="0" w:color="auto"/>
            </w:tcBorders>
            <w:shd w:val="clear" w:color="auto" w:fill="auto"/>
            <w:noWrap/>
            <w:vAlign w:val="center"/>
          </w:tcPr>
          <w:p w14:paraId="7D2E15B4"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42,76%</w:t>
            </w:r>
          </w:p>
        </w:tc>
      </w:tr>
      <w:tr w:rsidR="00737C5B" w:rsidRPr="009E73C4" w14:paraId="5E89AF63" w14:textId="77777777" w:rsidTr="009E73C4">
        <w:trPr>
          <w:trHeight w:val="20"/>
        </w:trPr>
        <w:tc>
          <w:tcPr>
            <w:tcW w:w="9781" w:type="dxa"/>
            <w:gridSpan w:val="5"/>
            <w:shd w:val="clear" w:color="auto" w:fill="auto"/>
            <w:noWrap/>
            <w:vAlign w:val="center"/>
          </w:tcPr>
          <w:p w14:paraId="180F0E19" w14:textId="77777777" w:rsidR="009E73C4" w:rsidRDefault="009E73C4" w:rsidP="00737C5B">
            <w:pPr>
              <w:jc w:val="center"/>
              <w:rPr>
                <w:rFonts w:ascii="Calibri" w:eastAsia="Times New Roman" w:hAnsi="Calibri" w:cs="Calibri"/>
                <w:color w:val="000000"/>
                <w:sz w:val="18"/>
                <w:szCs w:val="18"/>
                <w:lang w:eastAsia="es-EC"/>
              </w:rPr>
            </w:pPr>
          </w:p>
          <w:p w14:paraId="5F51C1EE" w14:textId="6E24E26B"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noProof/>
                <w:color w:val="000000"/>
                <w:sz w:val="18"/>
                <w:szCs w:val="18"/>
                <w:lang w:val="es-EC" w:eastAsia="es-EC"/>
              </w:rPr>
              <w:drawing>
                <wp:inline distT="0" distB="0" distL="0" distR="0" wp14:anchorId="63BC1704" wp14:editId="41CBE093">
                  <wp:extent cx="5092962" cy="3740342"/>
                  <wp:effectExtent l="0" t="0" r="0" b="0"/>
                  <wp:docPr id="860838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38514" name=""/>
                          <pic:cNvPicPr/>
                        </pic:nvPicPr>
                        <pic:blipFill>
                          <a:blip r:embed="rId23"/>
                          <a:stretch>
                            <a:fillRect/>
                          </a:stretch>
                        </pic:blipFill>
                        <pic:spPr>
                          <a:xfrm>
                            <a:off x="0" y="0"/>
                            <a:ext cx="5092962" cy="3740342"/>
                          </a:xfrm>
                          <a:prstGeom prst="rect">
                            <a:avLst/>
                          </a:prstGeom>
                        </pic:spPr>
                      </pic:pic>
                    </a:graphicData>
                  </a:graphic>
                </wp:inline>
              </w:drawing>
            </w:r>
          </w:p>
        </w:tc>
      </w:tr>
      <w:tr w:rsidR="00737C5B" w:rsidRPr="009E73C4" w14:paraId="0122CEC8" w14:textId="77777777" w:rsidTr="009E73C4">
        <w:trPr>
          <w:trHeight w:val="20"/>
        </w:trPr>
        <w:tc>
          <w:tcPr>
            <w:tcW w:w="9781" w:type="dxa"/>
            <w:gridSpan w:val="5"/>
            <w:shd w:val="clear" w:color="auto" w:fill="FBD4B4" w:themeFill="accent6" w:themeFillTint="66"/>
            <w:vAlign w:val="center"/>
            <w:hideMark/>
          </w:tcPr>
          <w:p w14:paraId="631A4054"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737C5B" w:rsidRPr="009E73C4" w14:paraId="14D522F0" w14:textId="77777777" w:rsidTr="009E73C4">
        <w:trPr>
          <w:trHeight w:val="276"/>
        </w:trPr>
        <w:tc>
          <w:tcPr>
            <w:tcW w:w="9781" w:type="dxa"/>
            <w:gridSpan w:val="5"/>
            <w:vMerge w:val="restart"/>
            <w:shd w:val="clear" w:color="auto" w:fill="auto"/>
            <w:vAlign w:val="center"/>
            <w:hideMark/>
          </w:tcPr>
          <w:p w14:paraId="2F63703A" w14:textId="0D68AF90"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hAnsi="Times New Roman" w:cs="Times New Roman"/>
                <w:b/>
                <w:bCs/>
                <w:sz w:val="18"/>
                <w:szCs w:val="18"/>
                <w:lang w:val="es-EC"/>
              </w:rPr>
              <w:t>Promoción productiva.-</w:t>
            </w:r>
            <w:r w:rsidRPr="009E73C4">
              <w:rPr>
                <w:rFonts w:ascii="Times New Roman" w:hAnsi="Times New Roman" w:cs="Times New Roman"/>
                <w:sz w:val="18"/>
                <w:szCs w:val="18"/>
                <w:lang w:val="es-EC"/>
              </w:rPr>
              <w:t xml:space="preserve"> Se aplica a aquellas zonas rurales de producción para potenciar o promover el desarrollo </w:t>
            </w:r>
            <w:r w:rsidR="00A35002">
              <w:rPr>
                <w:rFonts w:ascii="Times New Roman" w:hAnsi="Times New Roman" w:cs="Times New Roman"/>
                <w:sz w:val="18"/>
                <w:szCs w:val="18"/>
                <w:lang w:val="es-EC"/>
              </w:rPr>
              <w:t>rural</w:t>
            </w:r>
            <w:r w:rsidRPr="009E73C4">
              <w:rPr>
                <w:rFonts w:ascii="Times New Roman" w:hAnsi="Times New Roman" w:cs="Times New Roman"/>
                <w:sz w:val="18"/>
                <w:szCs w:val="18"/>
                <w:lang w:val="es-EC"/>
              </w:rPr>
              <w:t>, acuícola, ganadero, forestal o de turismo, privilegiando aquellas actividades que garanticen la soberanía alimentaria, según lo establecido en la legislación agraria.</w:t>
            </w:r>
          </w:p>
        </w:tc>
      </w:tr>
      <w:tr w:rsidR="00737C5B" w:rsidRPr="009E73C4" w14:paraId="4849B1F4" w14:textId="77777777" w:rsidTr="009E73C4">
        <w:trPr>
          <w:trHeight w:val="276"/>
        </w:trPr>
        <w:tc>
          <w:tcPr>
            <w:tcW w:w="9781" w:type="dxa"/>
            <w:gridSpan w:val="5"/>
            <w:vMerge/>
            <w:vAlign w:val="center"/>
            <w:hideMark/>
          </w:tcPr>
          <w:p w14:paraId="4FAA0334"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07F376E8" w14:textId="77777777" w:rsidTr="009E73C4">
        <w:trPr>
          <w:trHeight w:val="20"/>
        </w:trPr>
        <w:tc>
          <w:tcPr>
            <w:tcW w:w="9781" w:type="dxa"/>
            <w:gridSpan w:val="5"/>
            <w:shd w:val="clear" w:color="auto" w:fill="FBD4B4" w:themeFill="accent6" w:themeFillTint="66"/>
            <w:noWrap/>
            <w:vAlign w:val="center"/>
            <w:hideMark/>
          </w:tcPr>
          <w:p w14:paraId="4E3CA785"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737C5B" w:rsidRPr="009E73C4" w14:paraId="7DFF4EDF" w14:textId="77777777" w:rsidTr="009E73C4">
        <w:trPr>
          <w:trHeight w:val="20"/>
        </w:trPr>
        <w:tc>
          <w:tcPr>
            <w:tcW w:w="1774" w:type="dxa"/>
            <w:shd w:val="clear" w:color="auto" w:fill="FBD4B4" w:themeFill="accent6" w:themeFillTint="66"/>
            <w:noWrap/>
            <w:vAlign w:val="center"/>
            <w:hideMark/>
          </w:tcPr>
          <w:p w14:paraId="222550B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General</w:t>
            </w:r>
          </w:p>
        </w:tc>
        <w:tc>
          <w:tcPr>
            <w:tcW w:w="2054" w:type="dxa"/>
            <w:shd w:val="clear" w:color="auto" w:fill="FBD4B4" w:themeFill="accent6" w:themeFillTint="66"/>
            <w:vAlign w:val="center"/>
            <w:hideMark/>
          </w:tcPr>
          <w:p w14:paraId="0C972DD1"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1EC56586"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15D47ACF"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811" w:type="dxa"/>
            <w:shd w:val="clear" w:color="auto" w:fill="FBD4B4" w:themeFill="accent6" w:themeFillTint="66"/>
            <w:noWrap/>
            <w:vAlign w:val="center"/>
            <w:hideMark/>
          </w:tcPr>
          <w:p w14:paraId="1378025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737C5B" w:rsidRPr="009E73C4" w14:paraId="6796F8A6" w14:textId="77777777" w:rsidTr="009E73C4">
        <w:trPr>
          <w:trHeight w:val="20"/>
        </w:trPr>
        <w:tc>
          <w:tcPr>
            <w:tcW w:w="1774" w:type="dxa"/>
            <w:shd w:val="clear" w:color="auto" w:fill="auto"/>
            <w:noWrap/>
            <w:vAlign w:val="center"/>
          </w:tcPr>
          <w:p w14:paraId="4681BDD8" w14:textId="77777777" w:rsidR="00737C5B" w:rsidRPr="009E73C4" w:rsidRDefault="00737C5B" w:rsidP="00737C5B">
            <w:pPr>
              <w:rPr>
                <w:rFonts w:ascii="Calibri" w:eastAsia="Times New Roman" w:hAnsi="Calibri" w:cs="Calibri"/>
                <w:sz w:val="18"/>
                <w:szCs w:val="18"/>
                <w:lang w:eastAsia="es-EC"/>
              </w:rPr>
            </w:pPr>
          </w:p>
        </w:tc>
        <w:tc>
          <w:tcPr>
            <w:tcW w:w="2054" w:type="dxa"/>
            <w:shd w:val="clear" w:color="auto" w:fill="auto"/>
            <w:vAlign w:val="center"/>
          </w:tcPr>
          <w:p w14:paraId="7A5CD29E"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Agricultura, ganadería y piscicultura</w:t>
            </w:r>
            <w:r w:rsidRPr="009E73C4">
              <w:rPr>
                <w:rFonts w:ascii="Arial Narrow" w:eastAsia="Times New Roman" w:hAnsi="Arial Narrow" w:cs="Calibri"/>
                <w:color w:val="000000"/>
                <w:sz w:val="18"/>
                <w:szCs w:val="18"/>
                <w:lang w:val="es-EC" w:eastAsia="es-EC"/>
              </w:rPr>
              <w:br/>
              <w:t>Plantaciones forestales</w:t>
            </w:r>
            <w:r w:rsidRPr="009E73C4">
              <w:rPr>
                <w:rFonts w:ascii="Arial Narrow" w:eastAsia="Times New Roman" w:hAnsi="Arial Narrow" w:cs="Calibri"/>
                <w:color w:val="000000"/>
                <w:sz w:val="18"/>
                <w:szCs w:val="18"/>
                <w:lang w:val="es-EC" w:eastAsia="es-EC"/>
              </w:rPr>
              <w:br/>
              <w:t>Silvopasturas</w:t>
            </w:r>
            <w:r w:rsidRPr="009E73C4">
              <w:rPr>
                <w:rFonts w:ascii="Arial Narrow" w:eastAsia="Times New Roman" w:hAnsi="Arial Narrow" w:cs="Calibri"/>
                <w:color w:val="000000"/>
                <w:sz w:val="18"/>
                <w:szCs w:val="18"/>
                <w:lang w:val="es-EC" w:eastAsia="es-EC"/>
              </w:rPr>
              <w:br/>
              <w:t>Manejo integral de plagas y enfermedades,</w:t>
            </w:r>
            <w:r w:rsidRPr="009E73C4">
              <w:rPr>
                <w:rFonts w:ascii="Arial Narrow" w:eastAsia="Times New Roman" w:hAnsi="Arial Narrow" w:cs="Calibri"/>
                <w:color w:val="000000"/>
                <w:sz w:val="18"/>
                <w:szCs w:val="18"/>
                <w:lang w:val="es-EC" w:eastAsia="es-EC"/>
              </w:rPr>
              <w:br/>
              <w:t>con técnicas agroecológicas</w:t>
            </w:r>
            <w:r w:rsidRPr="009E73C4">
              <w:rPr>
                <w:rFonts w:ascii="Arial Narrow" w:eastAsia="Times New Roman" w:hAnsi="Arial Narrow" w:cs="Calibri"/>
                <w:color w:val="000000"/>
                <w:sz w:val="18"/>
                <w:szCs w:val="18"/>
                <w:lang w:val="es-EC" w:eastAsia="es-EC"/>
              </w:rPr>
              <w:br/>
              <w:t>Producción para seguridad y soberanía alimentaria</w:t>
            </w:r>
          </w:p>
        </w:tc>
        <w:tc>
          <w:tcPr>
            <w:tcW w:w="1984" w:type="dxa"/>
            <w:shd w:val="clear" w:color="auto" w:fill="auto"/>
            <w:noWrap/>
            <w:vAlign w:val="center"/>
          </w:tcPr>
          <w:p w14:paraId="5608FEB8"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Productos forestales no maderables,</w:t>
            </w:r>
            <w:r w:rsidRPr="009E73C4">
              <w:rPr>
                <w:rFonts w:ascii="Arial Narrow" w:eastAsia="Times New Roman" w:hAnsi="Arial Narrow" w:cs="Calibri"/>
                <w:color w:val="000000"/>
                <w:sz w:val="18"/>
                <w:szCs w:val="18"/>
                <w:lang w:val="es-EC" w:eastAsia="es-EC"/>
              </w:rPr>
              <w:br/>
              <w:t>Agroturismo responsable.</w:t>
            </w:r>
            <w:r w:rsidRPr="009E73C4">
              <w:rPr>
                <w:rFonts w:ascii="Arial Narrow" w:eastAsia="Times New Roman" w:hAnsi="Arial Narrow" w:cs="Calibri"/>
                <w:color w:val="000000"/>
                <w:sz w:val="18"/>
                <w:szCs w:val="18"/>
                <w:lang w:val="es-EC" w:eastAsia="es-EC"/>
              </w:rPr>
              <w:br/>
              <w:t>Manejo eficiente de desechos sólidos.</w:t>
            </w:r>
            <w:r w:rsidRPr="009E73C4">
              <w:rPr>
                <w:rFonts w:ascii="Arial Narrow" w:eastAsia="Times New Roman" w:hAnsi="Arial Narrow" w:cs="Calibri"/>
                <w:color w:val="000000"/>
                <w:sz w:val="18"/>
                <w:szCs w:val="18"/>
                <w:lang w:val="es-EC" w:eastAsia="es-EC"/>
              </w:rPr>
              <w:br/>
              <w:t>Silvopasturas</w:t>
            </w:r>
          </w:p>
        </w:tc>
        <w:tc>
          <w:tcPr>
            <w:tcW w:w="2158" w:type="dxa"/>
            <w:shd w:val="clear" w:color="auto" w:fill="auto"/>
            <w:noWrap/>
            <w:vAlign w:val="center"/>
          </w:tcPr>
          <w:p w14:paraId="3220B47B" w14:textId="4937B2CC" w:rsidR="00737C5B" w:rsidRPr="009E73C4" w:rsidRDefault="00C14635"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Deforestación</w:t>
            </w:r>
            <w:r w:rsidR="00737C5B" w:rsidRPr="009E73C4">
              <w:rPr>
                <w:rFonts w:ascii="Arial Narrow" w:eastAsia="Times New Roman" w:hAnsi="Arial Narrow" w:cs="Calibri"/>
                <w:color w:val="000000"/>
                <w:sz w:val="18"/>
                <w:szCs w:val="18"/>
                <w:lang w:val="es-EC" w:eastAsia="es-EC"/>
              </w:rPr>
              <w:br/>
              <w:t>Tala selectiva</w:t>
            </w:r>
          </w:p>
        </w:tc>
        <w:tc>
          <w:tcPr>
            <w:tcW w:w="1811" w:type="dxa"/>
            <w:shd w:val="clear" w:color="auto" w:fill="auto"/>
            <w:noWrap/>
            <w:vAlign w:val="center"/>
          </w:tcPr>
          <w:p w14:paraId="2BB8B225" w14:textId="72058117" w:rsidR="00737C5B" w:rsidRPr="009E73C4" w:rsidRDefault="00A35002" w:rsidP="00737C5B">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737C5B" w:rsidRPr="009E73C4">
              <w:rPr>
                <w:rFonts w:ascii="Arial Narrow" w:eastAsia="Times New Roman" w:hAnsi="Arial Narrow" w:cs="Calibri"/>
                <w:color w:val="000000"/>
                <w:sz w:val="18"/>
                <w:szCs w:val="18"/>
                <w:lang w:val="es-EC" w:eastAsia="es-EC"/>
              </w:rPr>
              <w:t xml:space="preserve"> y</w:t>
            </w:r>
            <w:r w:rsidR="00737C5B" w:rsidRPr="009E73C4">
              <w:rPr>
                <w:rFonts w:ascii="Arial Narrow" w:eastAsia="Times New Roman" w:hAnsi="Arial Narrow" w:cs="Calibri"/>
                <w:color w:val="000000"/>
                <w:sz w:val="18"/>
                <w:szCs w:val="18"/>
                <w:lang w:val="es-EC" w:eastAsia="es-EC"/>
              </w:rPr>
              <w:br/>
              <w:t>pecuario extensivo</w:t>
            </w:r>
            <w:r w:rsidR="00737C5B" w:rsidRPr="009E73C4">
              <w:rPr>
                <w:rFonts w:ascii="Arial Narrow" w:eastAsia="Times New Roman" w:hAnsi="Arial Narrow" w:cs="Calibri"/>
                <w:color w:val="000000"/>
                <w:sz w:val="18"/>
                <w:szCs w:val="18"/>
                <w:lang w:val="es-EC" w:eastAsia="es-EC"/>
              </w:rPr>
              <w:br/>
              <w:t>Quema de residuos</w:t>
            </w:r>
            <w:r w:rsidR="00737C5B" w:rsidRPr="009E73C4">
              <w:rPr>
                <w:rFonts w:ascii="Arial Narrow" w:eastAsia="Times New Roman" w:hAnsi="Arial Narrow" w:cs="Calibri"/>
                <w:color w:val="000000"/>
                <w:sz w:val="18"/>
                <w:szCs w:val="18"/>
                <w:lang w:val="es-EC" w:eastAsia="es-EC"/>
              </w:rPr>
              <w:br/>
              <w:t>Actividades contaminantes industriales y/o</w:t>
            </w:r>
            <w:r w:rsidR="00737C5B" w:rsidRPr="009E73C4">
              <w:rPr>
                <w:rFonts w:ascii="Arial Narrow" w:eastAsia="Times New Roman" w:hAnsi="Arial Narrow" w:cs="Calibri"/>
                <w:color w:val="000000"/>
                <w:sz w:val="18"/>
                <w:szCs w:val="18"/>
                <w:lang w:val="es-EC" w:eastAsia="es-EC"/>
              </w:rPr>
              <w:br/>
              <w:t>artesanales</w:t>
            </w:r>
          </w:p>
        </w:tc>
      </w:tr>
      <w:tr w:rsidR="00737C5B" w:rsidRPr="009E73C4" w14:paraId="49CBDCCE" w14:textId="77777777" w:rsidTr="009E73C4">
        <w:trPr>
          <w:trHeight w:val="20"/>
        </w:trPr>
        <w:tc>
          <w:tcPr>
            <w:tcW w:w="9781" w:type="dxa"/>
            <w:gridSpan w:val="5"/>
            <w:shd w:val="clear" w:color="auto" w:fill="FBD4B4" w:themeFill="accent6" w:themeFillTint="66"/>
            <w:noWrap/>
            <w:vAlign w:val="center"/>
            <w:hideMark/>
          </w:tcPr>
          <w:p w14:paraId="20D295D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737C5B" w:rsidRPr="009E73C4" w14:paraId="11328600" w14:textId="77777777" w:rsidTr="009E73C4">
        <w:trPr>
          <w:trHeight w:val="20"/>
        </w:trPr>
        <w:tc>
          <w:tcPr>
            <w:tcW w:w="1774" w:type="dxa"/>
            <w:shd w:val="clear" w:color="auto" w:fill="auto"/>
            <w:noWrap/>
            <w:vAlign w:val="center"/>
            <w:hideMark/>
          </w:tcPr>
          <w:p w14:paraId="2CE2BA68"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007" w:type="dxa"/>
            <w:gridSpan w:val="4"/>
            <w:shd w:val="clear" w:color="auto" w:fill="auto"/>
            <w:vAlign w:val="center"/>
          </w:tcPr>
          <w:p w14:paraId="1115ED05" w14:textId="2F69D782" w:rsidR="00737C5B" w:rsidRPr="00A15249" w:rsidRDefault="00581E06" w:rsidP="00737C5B">
            <w:pPr>
              <w:jc w:val="center"/>
              <w:rPr>
                <w:rFonts w:ascii="Calibri" w:eastAsia="Times New Roman" w:hAnsi="Calibri" w:cs="Calibri"/>
                <w:sz w:val="18"/>
                <w:szCs w:val="18"/>
                <w:lang w:eastAsia="es-EC"/>
              </w:rPr>
            </w:pPr>
            <w:r w:rsidRPr="00A15249">
              <w:rPr>
                <w:rFonts w:ascii="Calibri" w:eastAsia="Times New Roman" w:hAnsi="Calibri" w:cs="Calibri"/>
                <w:sz w:val="18"/>
                <w:szCs w:val="18"/>
                <w:lang w:eastAsia="es-EC"/>
              </w:rPr>
              <w:t>1</w:t>
            </w:r>
            <w:r w:rsidR="00737C5B" w:rsidRPr="00A15249">
              <w:rPr>
                <w:rFonts w:ascii="Calibri" w:eastAsia="Times New Roman" w:hAnsi="Calibri" w:cs="Calibri"/>
                <w:sz w:val="18"/>
                <w:szCs w:val="18"/>
                <w:lang w:eastAsia="es-EC"/>
              </w:rPr>
              <w:t xml:space="preserve"> ha</w:t>
            </w:r>
          </w:p>
        </w:tc>
      </w:tr>
      <w:tr w:rsidR="00737C5B" w:rsidRPr="009E73C4" w14:paraId="3A8B4009" w14:textId="77777777" w:rsidTr="009E73C4">
        <w:trPr>
          <w:trHeight w:val="20"/>
        </w:trPr>
        <w:tc>
          <w:tcPr>
            <w:tcW w:w="1774" w:type="dxa"/>
            <w:shd w:val="clear" w:color="auto" w:fill="auto"/>
            <w:noWrap/>
            <w:vAlign w:val="center"/>
            <w:hideMark/>
          </w:tcPr>
          <w:p w14:paraId="5A4B75C8"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007" w:type="dxa"/>
            <w:gridSpan w:val="4"/>
            <w:shd w:val="clear" w:color="auto" w:fill="auto"/>
          </w:tcPr>
          <w:p w14:paraId="1BF253F3" w14:textId="75A6DBE4" w:rsidR="00737C5B" w:rsidRPr="00A15249" w:rsidRDefault="00737C5B" w:rsidP="00737C5B">
            <w:pPr>
              <w:jc w:val="center"/>
              <w:rPr>
                <w:rFonts w:ascii="Calibri" w:eastAsia="Times New Roman" w:hAnsi="Calibri" w:cs="Calibri"/>
                <w:sz w:val="18"/>
                <w:szCs w:val="18"/>
                <w:lang w:eastAsia="es-EC"/>
              </w:rPr>
            </w:pPr>
            <w:r w:rsidRPr="00A15249">
              <w:rPr>
                <w:rFonts w:ascii="Times New Roman" w:eastAsia="Times New Roman" w:hAnsi="Times New Roman" w:cs="Times New Roman"/>
                <w:sz w:val="18"/>
                <w:szCs w:val="18"/>
                <w:lang w:val="es-EC" w:eastAsia="es-EC"/>
              </w:rPr>
              <w:t>Vivienda rural - 1-4 frente. Franja 100m ancho río</w:t>
            </w:r>
            <w:r w:rsidR="00465552" w:rsidRPr="00A15249">
              <w:rPr>
                <w:rFonts w:ascii="Times New Roman" w:eastAsia="Times New Roman" w:hAnsi="Times New Roman" w:cs="Times New Roman"/>
                <w:sz w:val="18"/>
                <w:szCs w:val="18"/>
                <w:lang w:val="es-EC" w:eastAsia="es-EC"/>
              </w:rPr>
              <w:t>, previo el informe de</w:t>
            </w:r>
            <w:r w:rsidR="0075787D" w:rsidRPr="00A15249">
              <w:rPr>
                <w:rFonts w:ascii="Times New Roman" w:eastAsia="Times New Roman" w:hAnsi="Times New Roman" w:cs="Times New Roman"/>
                <w:sz w:val="18"/>
                <w:szCs w:val="18"/>
                <w:lang w:val="es-EC" w:eastAsia="es-EC"/>
              </w:rPr>
              <w:t xml:space="preserve"> la Unidad de Gestión de</w:t>
            </w:r>
            <w:r w:rsidR="00465552" w:rsidRPr="00A15249">
              <w:rPr>
                <w:rFonts w:ascii="Times New Roman" w:eastAsia="Times New Roman" w:hAnsi="Times New Roman" w:cs="Times New Roman"/>
                <w:sz w:val="18"/>
                <w:szCs w:val="18"/>
                <w:lang w:val="es-EC" w:eastAsia="es-EC"/>
              </w:rPr>
              <w:t xml:space="preserve"> </w:t>
            </w:r>
            <w:r w:rsidR="0075787D" w:rsidRPr="00A15249">
              <w:rPr>
                <w:rFonts w:ascii="Times New Roman" w:eastAsia="Times New Roman" w:hAnsi="Times New Roman" w:cs="Times New Roman"/>
                <w:sz w:val="18"/>
                <w:szCs w:val="18"/>
                <w:lang w:val="es-EC" w:eastAsia="es-EC"/>
              </w:rPr>
              <w:t>R</w:t>
            </w:r>
            <w:r w:rsidR="00465552" w:rsidRPr="00A15249">
              <w:rPr>
                <w:rFonts w:ascii="Times New Roman" w:eastAsia="Times New Roman" w:hAnsi="Times New Roman" w:cs="Times New Roman"/>
                <w:sz w:val="18"/>
                <w:szCs w:val="18"/>
                <w:lang w:val="es-EC" w:eastAsia="es-EC"/>
              </w:rPr>
              <w:t>iesgos</w:t>
            </w:r>
            <w:r w:rsidR="00672D56" w:rsidRPr="00A15249">
              <w:rPr>
                <w:rFonts w:ascii="Times New Roman" w:eastAsia="Times New Roman" w:hAnsi="Times New Roman" w:cs="Times New Roman"/>
                <w:sz w:val="18"/>
                <w:szCs w:val="18"/>
                <w:lang w:val="es-EC" w:eastAsia="es-EC"/>
              </w:rPr>
              <w:t xml:space="preserve"> y </w:t>
            </w:r>
            <w:r w:rsidR="0075787D" w:rsidRPr="00A15249">
              <w:rPr>
                <w:rFonts w:ascii="Times New Roman" w:eastAsia="Times New Roman" w:hAnsi="Times New Roman" w:cs="Times New Roman"/>
                <w:sz w:val="18"/>
                <w:szCs w:val="18"/>
                <w:lang w:val="es-EC" w:eastAsia="es-EC"/>
              </w:rPr>
              <w:t>Dirección de Gestión Ambiental</w:t>
            </w:r>
            <w:r w:rsidR="00672D56" w:rsidRPr="00A15249">
              <w:rPr>
                <w:rFonts w:ascii="Times New Roman" w:eastAsia="Times New Roman" w:hAnsi="Times New Roman" w:cs="Times New Roman"/>
                <w:sz w:val="18"/>
                <w:szCs w:val="18"/>
                <w:lang w:val="es-EC" w:eastAsia="es-EC"/>
              </w:rPr>
              <w:t>.</w:t>
            </w:r>
            <w:r w:rsidR="001B4B41" w:rsidRPr="00A15249">
              <w:rPr>
                <w:rFonts w:ascii="Times New Roman" w:eastAsia="Times New Roman" w:hAnsi="Times New Roman" w:cs="Times New Roman"/>
                <w:sz w:val="18"/>
                <w:szCs w:val="18"/>
                <w:lang w:val="es-EC" w:eastAsia="es-EC"/>
              </w:rPr>
              <w:t xml:space="preserve"> En casos necesarios el informe Básico determina la inspección de la </w:t>
            </w:r>
            <w:r w:rsidR="00A15249" w:rsidRPr="00A15249">
              <w:rPr>
                <w:rFonts w:ascii="Times New Roman" w:eastAsia="Times New Roman" w:hAnsi="Times New Roman" w:cs="Times New Roman"/>
                <w:sz w:val="18"/>
                <w:szCs w:val="18"/>
                <w:lang w:val="es-EC" w:eastAsia="es-EC"/>
              </w:rPr>
              <w:t>Unidad de Gestión de Riesgos</w:t>
            </w:r>
            <w:r w:rsidR="00A15249" w:rsidRPr="00A15249">
              <w:rPr>
                <w:rFonts w:ascii="Times New Roman" w:eastAsia="Times New Roman" w:hAnsi="Times New Roman" w:cs="Times New Roman"/>
                <w:sz w:val="18"/>
                <w:szCs w:val="18"/>
                <w:lang w:val="es-EC" w:eastAsia="es-EC"/>
              </w:rPr>
              <w:t>.</w:t>
            </w:r>
            <w:r w:rsidRPr="00A15249">
              <w:rPr>
                <w:rFonts w:ascii="Times New Roman" w:eastAsia="Times New Roman" w:hAnsi="Times New Roman" w:cs="Times New Roman"/>
                <w:sz w:val="18"/>
                <w:szCs w:val="18"/>
                <w:lang w:val="es-EC" w:eastAsia="es-EC"/>
              </w:rPr>
              <w:br/>
            </w:r>
            <w:r w:rsidRPr="00A15249">
              <w:rPr>
                <w:rFonts w:ascii="Times New Roman" w:eastAsia="Times New Roman" w:hAnsi="Times New Roman" w:cs="Times New Roman"/>
                <w:sz w:val="18"/>
                <w:szCs w:val="18"/>
                <w:lang w:val="es-EC" w:eastAsia="es-EC"/>
              </w:rPr>
              <w:lastRenderedPageBreak/>
              <w:t>Incentivos para integración parcelaria</w:t>
            </w:r>
          </w:p>
        </w:tc>
      </w:tr>
      <w:tr w:rsidR="00737C5B" w:rsidRPr="009E73C4" w14:paraId="2FE79E99" w14:textId="77777777" w:rsidTr="009E73C4">
        <w:trPr>
          <w:trHeight w:val="20"/>
        </w:trPr>
        <w:tc>
          <w:tcPr>
            <w:tcW w:w="1774" w:type="dxa"/>
            <w:shd w:val="clear" w:color="auto" w:fill="auto"/>
            <w:noWrap/>
            <w:vAlign w:val="center"/>
            <w:hideMark/>
          </w:tcPr>
          <w:p w14:paraId="0B2459F0"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lastRenderedPageBreak/>
              <w:t>Edificabilidad</w:t>
            </w:r>
          </w:p>
        </w:tc>
        <w:tc>
          <w:tcPr>
            <w:tcW w:w="8007" w:type="dxa"/>
            <w:gridSpan w:val="4"/>
            <w:shd w:val="clear" w:color="auto" w:fill="auto"/>
          </w:tcPr>
          <w:p w14:paraId="0C9AF64D"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bl>
    <w:p w14:paraId="74308722" w14:textId="71BF026A" w:rsidR="00737C5B" w:rsidRPr="009E73C4" w:rsidRDefault="00737C5B" w:rsidP="00737C5B">
      <w:pPr>
        <w:pStyle w:val="Descripcin"/>
        <w:rPr>
          <w:rFonts w:ascii="Times New Roman" w:eastAsia="Times New Roman" w:hAnsi="Times New Roman" w:cs="Times New Roman"/>
          <w:color w:val="000000"/>
          <w:sz w:val="18"/>
          <w:lang w:val="es-EC" w:eastAsia="es-EC"/>
        </w:rPr>
      </w:pPr>
      <w:bookmarkStart w:id="133" w:name="_Toc81085728"/>
      <w:r w:rsidRPr="009E73C4">
        <w:rPr>
          <w:rFonts w:cstheme="majorHAnsi"/>
          <w:sz w:val="18"/>
        </w:rPr>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13</w:t>
      </w:r>
      <w:r w:rsidRPr="009E73C4">
        <w:rPr>
          <w:rFonts w:cstheme="majorHAnsi"/>
          <w:noProof/>
          <w:sz w:val="18"/>
        </w:rPr>
        <w:fldChar w:fldCharType="end"/>
      </w:r>
      <w:r w:rsidRPr="009E73C4">
        <w:rPr>
          <w:rFonts w:cstheme="majorHAnsi"/>
          <w:sz w:val="18"/>
        </w:rPr>
        <w:t xml:space="preserve">. Ficha para el </w:t>
      </w:r>
      <w:bookmarkEnd w:id="133"/>
      <w:r w:rsidRPr="009E73C4">
        <w:rPr>
          <w:rFonts w:cstheme="majorHAnsi"/>
          <w:sz w:val="18"/>
        </w:rPr>
        <w:t xml:space="preserve">PIT 5 - </w:t>
      </w:r>
      <w:r w:rsidRPr="009E73C4">
        <w:rPr>
          <w:rFonts w:ascii="Times New Roman" w:eastAsia="Times New Roman" w:hAnsi="Times New Roman" w:cs="Times New Roman"/>
          <w:color w:val="000000"/>
          <w:sz w:val="18"/>
          <w:lang w:val="es-EC" w:eastAsia="es-EC"/>
        </w:rPr>
        <w:t>Especial Tratamiento de Desechos</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1759"/>
        <w:gridCol w:w="1984"/>
        <w:gridCol w:w="2158"/>
        <w:gridCol w:w="2106"/>
      </w:tblGrid>
      <w:tr w:rsidR="00737C5B" w:rsidRPr="009E73C4" w14:paraId="29B946EA" w14:textId="77777777" w:rsidTr="009E73C4">
        <w:trPr>
          <w:trHeight w:val="20"/>
        </w:trPr>
        <w:tc>
          <w:tcPr>
            <w:tcW w:w="9781" w:type="dxa"/>
            <w:gridSpan w:val="5"/>
            <w:shd w:val="clear" w:color="auto" w:fill="FBD4B4" w:themeFill="accent6" w:themeFillTint="66"/>
            <w:noWrap/>
            <w:vAlign w:val="center"/>
            <w:hideMark/>
          </w:tcPr>
          <w:p w14:paraId="7E80AEA7" w14:textId="28E7AA05" w:rsidR="00737C5B" w:rsidRPr="009E73C4" w:rsidRDefault="00581E06" w:rsidP="00581E06">
            <w:pPr>
              <w:jc w:val="center"/>
              <w:rPr>
                <w:rFonts w:ascii="Calibri" w:eastAsia="Times New Roman" w:hAnsi="Calibri" w:cs="Calibri"/>
                <w:bCs/>
                <w:color w:val="000000"/>
                <w:sz w:val="18"/>
                <w:szCs w:val="18"/>
                <w:lang w:eastAsia="es-EC"/>
              </w:rPr>
            </w:pPr>
            <w:r w:rsidRPr="009E73C4">
              <w:rPr>
                <w:rFonts w:ascii="Calibri" w:eastAsia="Times New Roman" w:hAnsi="Calibri" w:cs="Calibri"/>
                <w:bCs/>
                <w:color w:val="000000"/>
                <w:sz w:val="18"/>
                <w:szCs w:val="18"/>
                <w:lang w:eastAsia="es-EC"/>
              </w:rPr>
              <w:t>PIT 5 - Especial Tratamiento de Desechos</w:t>
            </w:r>
          </w:p>
        </w:tc>
      </w:tr>
      <w:tr w:rsidR="00737C5B" w:rsidRPr="009E73C4" w14:paraId="7146F049" w14:textId="77777777" w:rsidTr="009E73C4">
        <w:trPr>
          <w:trHeight w:val="20"/>
        </w:trPr>
        <w:tc>
          <w:tcPr>
            <w:tcW w:w="1774" w:type="dxa"/>
            <w:shd w:val="clear" w:color="auto" w:fill="auto"/>
            <w:noWrap/>
            <w:vAlign w:val="center"/>
            <w:hideMark/>
          </w:tcPr>
          <w:p w14:paraId="43E2376E"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3743" w:type="dxa"/>
            <w:gridSpan w:val="2"/>
            <w:shd w:val="clear" w:color="auto" w:fill="auto"/>
            <w:vAlign w:val="center"/>
            <w:hideMark/>
          </w:tcPr>
          <w:p w14:paraId="5875482F"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265F0905"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(ha) </w:t>
            </w:r>
          </w:p>
        </w:tc>
        <w:tc>
          <w:tcPr>
            <w:tcW w:w="2106" w:type="dxa"/>
            <w:shd w:val="clear" w:color="auto" w:fill="auto"/>
            <w:noWrap/>
            <w:vAlign w:val="center"/>
            <w:hideMark/>
          </w:tcPr>
          <w:p w14:paraId="26E9C568"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737C5B" w:rsidRPr="009E73C4" w14:paraId="0489529B"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D01A0"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PIT5-ETD</w:t>
            </w:r>
          </w:p>
        </w:tc>
        <w:tc>
          <w:tcPr>
            <w:tcW w:w="37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4408C"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Especial Tratamiento de Desechos</w:t>
            </w:r>
          </w:p>
        </w:tc>
        <w:tc>
          <w:tcPr>
            <w:tcW w:w="2158" w:type="dxa"/>
            <w:tcBorders>
              <w:top w:val="single" w:sz="4" w:space="0" w:color="auto"/>
              <w:left w:val="nil"/>
              <w:bottom w:val="single" w:sz="4" w:space="0" w:color="auto"/>
              <w:right w:val="single" w:sz="4" w:space="0" w:color="auto"/>
            </w:tcBorders>
            <w:shd w:val="clear" w:color="auto" w:fill="auto"/>
            <w:vAlign w:val="center"/>
          </w:tcPr>
          <w:p w14:paraId="2D1D2A81"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30,90</w:t>
            </w:r>
          </w:p>
        </w:tc>
        <w:tc>
          <w:tcPr>
            <w:tcW w:w="2106" w:type="dxa"/>
            <w:tcBorders>
              <w:top w:val="single" w:sz="4" w:space="0" w:color="auto"/>
              <w:left w:val="nil"/>
              <w:bottom w:val="single" w:sz="4" w:space="0" w:color="auto"/>
              <w:right w:val="single" w:sz="4" w:space="0" w:color="auto"/>
            </w:tcBorders>
            <w:shd w:val="clear" w:color="auto" w:fill="auto"/>
            <w:noWrap/>
            <w:vAlign w:val="center"/>
          </w:tcPr>
          <w:p w14:paraId="52F46311"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0,03%</w:t>
            </w:r>
          </w:p>
        </w:tc>
      </w:tr>
      <w:tr w:rsidR="00737C5B" w:rsidRPr="009E73C4" w14:paraId="4D63A07E" w14:textId="77777777" w:rsidTr="009E73C4">
        <w:trPr>
          <w:trHeight w:val="20"/>
        </w:trPr>
        <w:tc>
          <w:tcPr>
            <w:tcW w:w="9781" w:type="dxa"/>
            <w:gridSpan w:val="5"/>
            <w:shd w:val="clear" w:color="auto" w:fill="auto"/>
            <w:noWrap/>
            <w:vAlign w:val="center"/>
          </w:tcPr>
          <w:p w14:paraId="7F2FF708" w14:textId="77777777" w:rsidR="009E73C4" w:rsidRDefault="009E73C4" w:rsidP="00737C5B">
            <w:pPr>
              <w:jc w:val="center"/>
              <w:rPr>
                <w:rFonts w:ascii="Calibri" w:eastAsia="Times New Roman" w:hAnsi="Calibri" w:cs="Calibri"/>
                <w:color w:val="000000"/>
                <w:sz w:val="18"/>
                <w:szCs w:val="18"/>
                <w:lang w:eastAsia="es-EC"/>
              </w:rPr>
            </w:pPr>
          </w:p>
          <w:p w14:paraId="2332A61A" w14:textId="100DDEFB"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noProof/>
                <w:color w:val="000000"/>
                <w:sz w:val="18"/>
                <w:szCs w:val="18"/>
                <w:lang w:val="es-EC" w:eastAsia="es-EC"/>
              </w:rPr>
              <w:drawing>
                <wp:inline distT="0" distB="0" distL="0" distR="0" wp14:anchorId="76806920" wp14:editId="374DF7F2">
                  <wp:extent cx="5188217" cy="3702240"/>
                  <wp:effectExtent l="0" t="0" r="0" b="0"/>
                  <wp:docPr id="920001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1581" name=""/>
                          <pic:cNvPicPr/>
                        </pic:nvPicPr>
                        <pic:blipFill>
                          <a:blip r:embed="rId24"/>
                          <a:stretch>
                            <a:fillRect/>
                          </a:stretch>
                        </pic:blipFill>
                        <pic:spPr>
                          <a:xfrm>
                            <a:off x="0" y="0"/>
                            <a:ext cx="5188217" cy="3702240"/>
                          </a:xfrm>
                          <a:prstGeom prst="rect">
                            <a:avLst/>
                          </a:prstGeom>
                        </pic:spPr>
                      </pic:pic>
                    </a:graphicData>
                  </a:graphic>
                </wp:inline>
              </w:drawing>
            </w:r>
          </w:p>
          <w:p w14:paraId="691B0A36"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5E07ADB6" w14:textId="77777777" w:rsidTr="009E73C4">
        <w:trPr>
          <w:trHeight w:val="20"/>
        </w:trPr>
        <w:tc>
          <w:tcPr>
            <w:tcW w:w="9781" w:type="dxa"/>
            <w:gridSpan w:val="5"/>
            <w:shd w:val="clear" w:color="auto" w:fill="FBD4B4" w:themeFill="accent6" w:themeFillTint="66"/>
            <w:vAlign w:val="center"/>
            <w:hideMark/>
          </w:tcPr>
          <w:p w14:paraId="0210EAA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737C5B" w:rsidRPr="009E73C4" w14:paraId="01663D6E" w14:textId="77777777" w:rsidTr="009E73C4">
        <w:trPr>
          <w:trHeight w:val="340"/>
        </w:trPr>
        <w:tc>
          <w:tcPr>
            <w:tcW w:w="9781" w:type="dxa"/>
            <w:gridSpan w:val="5"/>
            <w:vMerge w:val="restart"/>
            <w:shd w:val="clear" w:color="auto" w:fill="auto"/>
            <w:hideMark/>
          </w:tcPr>
          <w:p w14:paraId="67A0082B" w14:textId="468B8742" w:rsidR="00737C5B" w:rsidRPr="009E73C4" w:rsidRDefault="002C101A" w:rsidP="00737C5B">
            <w:pPr>
              <w:rPr>
                <w:rFonts w:ascii="Calibri" w:eastAsia="Times New Roman" w:hAnsi="Calibri" w:cs="Calibri"/>
                <w:color w:val="000000"/>
                <w:sz w:val="18"/>
                <w:szCs w:val="18"/>
                <w:lang w:eastAsia="es-EC"/>
              </w:rPr>
            </w:pPr>
            <w:r w:rsidRPr="009E73C4">
              <w:rPr>
                <w:rFonts w:ascii="Times New Roman" w:hAnsi="Times New Roman" w:cs="Times New Roman"/>
                <w:b/>
                <w:bCs/>
                <w:sz w:val="18"/>
                <w:szCs w:val="18"/>
                <w:lang w:val="es-EC"/>
              </w:rPr>
              <w:t>Mitigación. -</w:t>
            </w:r>
            <w:r w:rsidR="00737C5B" w:rsidRPr="009E73C4">
              <w:rPr>
                <w:rFonts w:ascii="Times New Roman" w:hAnsi="Times New Roman" w:cs="Times New Roman"/>
                <w:sz w:val="18"/>
                <w:szCs w:val="18"/>
                <w:lang w:val="es-EC"/>
              </w:rPr>
              <w:t xml:space="preserve"> Se aplica a aquellas zonas de suelo rural de aprovechamiento extractivo donde se deben establecer medidas preventivas para minimizar los impactos generados por la intervención que se desarrollará, según lo establecido en la legislación ambiental</w:t>
            </w:r>
          </w:p>
        </w:tc>
      </w:tr>
      <w:tr w:rsidR="00737C5B" w:rsidRPr="009E73C4" w14:paraId="60B015FB" w14:textId="77777777" w:rsidTr="009E73C4">
        <w:trPr>
          <w:trHeight w:val="276"/>
        </w:trPr>
        <w:tc>
          <w:tcPr>
            <w:tcW w:w="9781" w:type="dxa"/>
            <w:gridSpan w:val="5"/>
            <w:vMerge/>
            <w:vAlign w:val="center"/>
            <w:hideMark/>
          </w:tcPr>
          <w:p w14:paraId="4A4F5657"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10807C54" w14:textId="77777777" w:rsidTr="009E73C4">
        <w:trPr>
          <w:trHeight w:val="20"/>
        </w:trPr>
        <w:tc>
          <w:tcPr>
            <w:tcW w:w="9781" w:type="dxa"/>
            <w:gridSpan w:val="5"/>
            <w:shd w:val="clear" w:color="auto" w:fill="FBD4B4" w:themeFill="accent6" w:themeFillTint="66"/>
            <w:noWrap/>
            <w:vAlign w:val="center"/>
            <w:hideMark/>
          </w:tcPr>
          <w:p w14:paraId="5E482356"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737C5B" w:rsidRPr="009E73C4" w14:paraId="1482FF4A" w14:textId="77777777" w:rsidTr="009E73C4">
        <w:trPr>
          <w:trHeight w:val="20"/>
        </w:trPr>
        <w:tc>
          <w:tcPr>
            <w:tcW w:w="1774" w:type="dxa"/>
            <w:shd w:val="clear" w:color="auto" w:fill="FBD4B4" w:themeFill="accent6" w:themeFillTint="66"/>
            <w:noWrap/>
            <w:vAlign w:val="center"/>
            <w:hideMark/>
          </w:tcPr>
          <w:p w14:paraId="2C2E4D14" w14:textId="77777777" w:rsidR="00737C5B" w:rsidRPr="009E73C4" w:rsidRDefault="00737C5B" w:rsidP="00737C5B">
            <w:pPr>
              <w:rPr>
                <w:rFonts w:ascii="Calibri" w:eastAsia="Times New Roman" w:hAnsi="Calibri" w:cs="Calibri"/>
                <w:b/>
                <w:bCs/>
                <w:color w:val="000000"/>
                <w:sz w:val="18"/>
                <w:szCs w:val="18"/>
                <w:lang w:eastAsia="es-EC"/>
              </w:rPr>
            </w:pPr>
          </w:p>
        </w:tc>
        <w:tc>
          <w:tcPr>
            <w:tcW w:w="1759" w:type="dxa"/>
            <w:shd w:val="clear" w:color="auto" w:fill="FBD4B4" w:themeFill="accent6" w:themeFillTint="66"/>
            <w:vAlign w:val="center"/>
            <w:hideMark/>
          </w:tcPr>
          <w:p w14:paraId="074FB257"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17795E51"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2624116F"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2106" w:type="dxa"/>
            <w:shd w:val="clear" w:color="auto" w:fill="FBD4B4" w:themeFill="accent6" w:themeFillTint="66"/>
            <w:noWrap/>
            <w:vAlign w:val="center"/>
            <w:hideMark/>
          </w:tcPr>
          <w:p w14:paraId="50BD9827"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737C5B" w:rsidRPr="009E73C4" w14:paraId="60052C7C" w14:textId="77777777" w:rsidTr="009E73C4">
        <w:trPr>
          <w:trHeight w:val="20"/>
        </w:trPr>
        <w:tc>
          <w:tcPr>
            <w:tcW w:w="1774" w:type="dxa"/>
            <w:tcBorders>
              <w:top w:val="single" w:sz="4" w:space="0" w:color="auto"/>
              <w:left w:val="single" w:sz="4" w:space="0" w:color="auto"/>
              <w:bottom w:val="single" w:sz="4" w:space="0" w:color="auto"/>
              <w:right w:val="nil"/>
            </w:tcBorders>
            <w:shd w:val="clear" w:color="auto" w:fill="auto"/>
            <w:noWrap/>
            <w:vAlign w:val="center"/>
          </w:tcPr>
          <w:p w14:paraId="00887BAD" w14:textId="77777777" w:rsidR="00737C5B" w:rsidRPr="009E73C4" w:rsidRDefault="00737C5B" w:rsidP="00737C5B">
            <w:pPr>
              <w:rPr>
                <w:rFonts w:ascii="Calibri" w:eastAsia="Times New Roman" w:hAnsi="Calibri" w:cs="Calibri"/>
                <w:sz w:val="18"/>
                <w:szCs w:val="18"/>
                <w:lang w:eastAsia="es-EC"/>
              </w:rPr>
            </w:pP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0EFD3B65"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Cierre técnico</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3DC573A"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Regeneración vegetativa</w:t>
            </w:r>
          </w:p>
        </w:tc>
        <w:tc>
          <w:tcPr>
            <w:tcW w:w="2158" w:type="dxa"/>
            <w:tcBorders>
              <w:top w:val="single" w:sz="4" w:space="0" w:color="auto"/>
              <w:left w:val="nil"/>
              <w:bottom w:val="single" w:sz="4" w:space="0" w:color="auto"/>
              <w:right w:val="single" w:sz="4" w:space="0" w:color="auto"/>
            </w:tcBorders>
            <w:shd w:val="clear" w:color="auto" w:fill="auto"/>
            <w:noWrap/>
            <w:vAlign w:val="center"/>
          </w:tcPr>
          <w:p w14:paraId="570B20A0" w14:textId="3569205A" w:rsidR="00737C5B" w:rsidRPr="009E73C4" w:rsidRDefault="00A35002" w:rsidP="00737C5B">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737C5B" w:rsidRPr="009E73C4">
              <w:rPr>
                <w:rFonts w:ascii="Arial Narrow" w:eastAsia="Times New Roman" w:hAnsi="Arial Narrow" w:cs="Calibri"/>
                <w:color w:val="000000"/>
                <w:sz w:val="18"/>
                <w:szCs w:val="18"/>
                <w:lang w:val="es-EC" w:eastAsia="es-EC"/>
              </w:rPr>
              <w:t xml:space="preserve"> y pecuario</w:t>
            </w:r>
          </w:p>
        </w:tc>
        <w:tc>
          <w:tcPr>
            <w:tcW w:w="2106" w:type="dxa"/>
            <w:tcBorders>
              <w:top w:val="single" w:sz="4" w:space="0" w:color="auto"/>
              <w:left w:val="nil"/>
              <w:bottom w:val="single" w:sz="4" w:space="0" w:color="auto"/>
              <w:right w:val="single" w:sz="4" w:space="0" w:color="auto"/>
            </w:tcBorders>
            <w:shd w:val="clear" w:color="auto" w:fill="auto"/>
            <w:noWrap/>
            <w:vAlign w:val="center"/>
          </w:tcPr>
          <w:p w14:paraId="60EF866F"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Depósito de desechos</w:t>
            </w:r>
          </w:p>
        </w:tc>
      </w:tr>
      <w:tr w:rsidR="00737C5B" w:rsidRPr="009E73C4" w14:paraId="2BE07C76" w14:textId="77777777" w:rsidTr="009E73C4">
        <w:trPr>
          <w:trHeight w:val="20"/>
        </w:trPr>
        <w:tc>
          <w:tcPr>
            <w:tcW w:w="9781" w:type="dxa"/>
            <w:gridSpan w:val="5"/>
            <w:shd w:val="clear" w:color="auto" w:fill="FBD4B4" w:themeFill="accent6" w:themeFillTint="66"/>
            <w:noWrap/>
            <w:vAlign w:val="center"/>
            <w:hideMark/>
          </w:tcPr>
          <w:p w14:paraId="41887AE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737C5B" w:rsidRPr="009E73C4" w14:paraId="2408EFFD" w14:textId="77777777" w:rsidTr="009E73C4">
        <w:trPr>
          <w:trHeight w:val="20"/>
        </w:trPr>
        <w:tc>
          <w:tcPr>
            <w:tcW w:w="1774" w:type="dxa"/>
            <w:shd w:val="clear" w:color="auto" w:fill="auto"/>
            <w:noWrap/>
            <w:vAlign w:val="center"/>
            <w:hideMark/>
          </w:tcPr>
          <w:p w14:paraId="5E1394B4"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007" w:type="dxa"/>
            <w:gridSpan w:val="4"/>
            <w:shd w:val="clear" w:color="auto" w:fill="auto"/>
            <w:vAlign w:val="center"/>
          </w:tcPr>
          <w:p w14:paraId="303CB56D"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r w:rsidR="00737C5B" w:rsidRPr="009E73C4" w14:paraId="5EB78C92" w14:textId="77777777" w:rsidTr="009E73C4">
        <w:trPr>
          <w:trHeight w:val="20"/>
        </w:trPr>
        <w:tc>
          <w:tcPr>
            <w:tcW w:w="1774" w:type="dxa"/>
            <w:shd w:val="clear" w:color="auto" w:fill="auto"/>
            <w:noWrap/>
            <w:vAlign w:val="center"/>
            <w:hideMark/>
          </w:tcPr>
          <w:p w14:paraId="05EB8B24"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007" w:type="dxa"/>
            <w:gridSpan w:val="4"/>
            <w:shd w:val="clear" w:color="auto" w:fill="auto"/>
          </w:tcPr>
          <w:p w14:paraId="38458978"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r w:rsidR="00737C5B" w:rsidRPr="009E73C4" w14:paraId="3BC10242" w14:textId="77777777" w:rsidTr="009E73C4">
        <w:trPr>
          <w:trHeight w:val="20"/>
        </w:trPr>
        <w:tc>
          <w:tcPr>
            <w:tcW w:w="1774" w:type="dxa"/>
            <w:shd w:val="clear" w:color="auto" w:fill="auto"/>
            <w:noWrap/>
            <w:vAlign w:val="center"/>
            <w:hideMark/>
          </w:tcPr>
          <w:p w14:paraId="42989DEC"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007" w:type="dxa"/>
            <w:gridSpan w:val="4"/>
            <w:shd w:val="clear" w:color="auto" w:fill="auto"/>
          </w:tcPr>
          <w:p w14:paraId="73EF3B40"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bl>
    <w:p w14:paraId="1567B5D5" w14:textId="77777777" w:rsidR="00737C5B" w:rsidRPr="009E73C4" w:rsidRDefault="00737C5B" w:rsidP="00737C5B">
      <w:pPr>
        <w:pStyle w:val="Descripcin"/>
        <w:rPr>
          <w:rFonts w:cstheme="majorHAnsi"/>
          <w:sz w:val="18"/>
        </w:rPr>
      </w:pPr>
      <w:bookmarkStart w:id="134" w:name="_Toc81085729"/>
    </w:p>
    <w:p w14:paraId="0DA1FEFC" w14:textId="7F8C35BC" w:rsidR="00737C5B" w:rsidRPr="009E73C4" w:rsidRDefault="00737C5B" w:rsidP="00737C5B">
      <w:pPr>
        <w:pStyle w:val="Descripcin"/>
        <w:rPr>
          <w:rFonts w:cstheme="majorHAnsi"/>
          <w:sz w:val="18"/>
        </w:rPr>
      </w:pPr>
      <w:r w:rsidRPr="009E73C4">
        <w:rPr>
          <w:rFonts w:cstheme="majorHAnsi"/>
          <w:sz w:val="18"/>
        </w:rPr>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14</w:t>
      </w:r>
      <w:r w:rsidRPr="009E73C4">
        <w:rPr>
          <w:rFonts w:cstheme="majorHAnsi"/>
          <w:noProof/>
          <w:sz w:val="18"/>
        </w:rPr>
        <w:fldChar w:fldCharType="end"/>
      </w:r>
      <w:r w:rsidRPr="009E73C4">
        <w:rPr>
          <w:rFonts w:cstheme="majorHAnsi"/>
          <w:sz w:val="18"/>
        </w:rPr>
        <w:t xml:space="preserve">. Ficha para el </w:t>
      </w:r>
      <w:bookmarkEnd w:id="134"/>
      <w:r w:rsidRPr="009E73C4">
        <w:rPr>
          <w:rFonts w:cstheme="majorHAnsi"/>
          <w:sz w:val="18"/>
        </w:rPr>
        <w:t xml:space="preserve">PIT 6a - </w:t>
      </w:r>
      <w:r w:rsidRPr="009E73C4">
        <w:rPr>
          <w:rFonts w:ascii="Times New Roman" w:eastAsia="Times New Roman" w:hAnsi="Times New Roman" w:cs="Times New Roman"/>
          <w:color w:val="000000"/>
          <w:sz w:val="18"/>
          <w:lang w:val="es-EC" w:eastAsia="es-EC"/>
        </w:rPr>
        <w:t>Industrial y Gestión Residuos Alto impacto</w:t>
      </w:r>
    </w:p>
    <w:tbl>
      <w:tblPr>
        <w:tblW w:w="995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054"/>
        <w:gridCol w:w="1984"/>
        <w:gridCol w:w="2158"/>
        <w:gridCol w:w="1988"/>
      </w:tblGrid>
      <w:tr w:rsidR="00737C5B" w:rsidRPr="009E73C4" w14:paraId="6AA98761" w14:textId="77777777" w:rsidTr="009E73C4">
        <w:trPr>
          <w:trHeight w:val="20"/>
        </w:trPr>
        <w:tc>
          <w:tcPr>
            <w:tcW w:w="9958" w:type="dxa"/>
            <w:gridSpan w:val="5"/>
            <w:shd w:val="clear" w:color="auto" w:fill="FBD4B4" w:themeFill="accent6" w:themeFillTint="66"/>
            <w:noWrap/>
            <w:vAlign w:val="center"/>
            <w:hideMark/>
          </w:tcPr>
          <w:p w14:paraId="136D7EE3" w14:textId="3ABE1130" w:rsidR="00737C5B" w:rsidRPr="009E73C4" w:rsidRDefault="00581E06" w:rsidP="00581E06">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 6a - Industrial y Gestión Residuos Alto impacto</w:t>
            </w:r>
          </w:p>
        </w:tc>
      </w:tr>
      <w:tr w:rsidR="00737C5B" w:rsidRPr="009E73C4" w14:paraId="01E57755" w14:textId="77777777" w:rsidTr="009E73C4">
        <w:trPr>
          <w:trHeight w:val="20"/>
        </w:trPr>
        <w:tc>
          <w:tcPr>
            <w:tcW w:w="1774" w:type="dxa"/>
            <w:shd w:val="clear" w:color="auto" w:fill="auto"/>
            <w:noWrap/>
            <w:vAlign w:val="center"/>
            <w:hideMark/>
          </w:tcPr>
          <w:p w14:paraId="04BB87EE"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038" w:type="dxa"/>
            <w:gridSpan w:val="2"/>
            <w:shd w:val="clear" w:color="auto" w:fill="auto"/>
            <w:vAlign w:val="center"/>
            <w:hideMark/>
          </w:tcPr>
          <w:p w14:paraId="295A7A52"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0F1372D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w:t>
            </w:r>
          </w:p>
        </w:tc>
        <w:tc>
          <w:tcPr>
            <w:tcW w:w="1988" w:type="dxa"/>
            <w:shd w:val="clear" w:color="auto" w:fill="auto"/>
            <w:noWrap/>
            <w:vAlign w:val="center"/>
            <w:hideMark/>
          </w:tcPr>
          <w:p w14:paraId="782A17F1"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737C5B" w:rsidRPr="009E73C4" w14:paraId="168280F8" w14:textId="77777777" w:rsidTr="00106EFC">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FB83E"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lastRenderedPageBreak/>
              <w:t>PIT6a-IGR_A</w:t>
            </w:r>
          </w:p>
        </w:tc>
        <w:tc>
          <w:tcPr>
            <w:tcW w:w="40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EBFD7D"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Industrial y Gestión Residuos Alto impacto</w:t>
            </w:r>
          </w:p>
        </w:tc>
        <w:tc>
          <w:tcPr>
            <w:tcW w:w="2158" w:type="dxa"/>
            <w:tcBorders>
              <w:top w:val="single" w:sz="4" w:space="0" w:color="auto"/>
              <w:left w:val="nil"/>
              <w:bottom w:val="single" w:sz="4" w:space="0" w:color="auto"/>
              <w:right w:val="single" w:sz="4" w:space="0" w:color="auto"/>
            </w:tcBorders>
            <w:shd w:val="clear" w:color="auto" w:fill="auto"/>
            <w:vAlign w:val="center"/>
          </w:tcPr>
          <w:p w14:paraId="7A688284" w14:textId="7BA77A50" w:rsidR="00737C5B" w:rsidRPr="00106EFC" w:rsidRDefault="00FD4FF1" w:rsidP="00737C5B">
            <w:pPr>
              <w:jc w:val="center"/>
              <w:rPr>
                <w:rFonts w:ascii="Calibri" w:eastAsia="Times New Roman" w:hAnsi="Calibri" w:cs="Calibri"/>
                <w:sz w:val="18"/>
                <w:szCs w:val="18"/>
                <w:lang w:eastAsia="es-EC"/>
              </w:rPr>
            </w:pPr>
            <w:r w:rsidRPr="00106EFC">
              <w:rPr>
                <w:rFonts w:ascii="Times New Roman" w:eastAsia="Times New Roman" w:hAnsi="Times New Roman" w:cs="Times New Roman"/>
                <w:sz w:val="18"/>
                <w:szCs w:val="18"/>
                <w:lang w:val="es-EC" w:eastAsia="es-EC"/>
              </w:rPr>
              <w:t>286,13</w:t>
            </w:r>
          </w:p>
        </w:tc>
        <w:tc>
          <w:tcPr>
            <w:tcW w:w="1988" w:type="dxa"/>
            <w:tcBorders>
              <w:top w:val="single" w:sz="4" w:space="0" w:color="auto"/>
              <w:left w:val="nil"/>
              <w:bottom w:val="single" w:sz="4" w:space="0" w:color="auto"/>
              <w:right w:val="single" w:sz="4" w:space="0" w:color="auto"/>
            </w:tcBorders>
            <w:shd w:val="clear" w:color="auto" w:fill="auto"/>
            <w:noWrap/>
            <w:vAlign w:val="center"/>
          </w:tcPr>
          <w:p w14:paraId="1664078E"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0,24%</w:t>
            </w:r>
          </w:p>
        </w:tc>
      </w:tr>
      <w:tr w:rsidR="00737C5B" w:rsidRPr="009E73C4" w14:paraId="6A857EDE" w14:textId="77777777" w:rsidTr="009E73C4">
        <w:trPr>
          <w:trHeight w:val="20"/>
        </w:trPr>
        <w:tc>
          <w:tcPr>
            <w:tcW w:w="9958" w:type="dxa"/>
            <w:gridSpan w:val="5"/>
            <w:shd w:val="clear" w:color="auto" w:fill="auto"/>
            <w:noWrap/>
            <w:vAlign w:val="center"/>
          </w:tcPr>
          <w:p w14:paraId="279A6E48" w14:textId="562ACF28" w:rsidR="00737C5B" w:rsidRPr="009E73C4" w:rsidRDefault="00E956A2" w:rsidP="00737C5B">
            <w:pPr>
              <w:jc w:val="center"/>
              <w:rPr>
                <w:rFonts w:ascii="Calibri" w:eastAsia="Times New Roman" w:hAnsi="Calibri" w:cs="Calibri"/>
                <w:color w:val="000000"/>
                <w:sz w:val="18"/>
                <w:szCs w:val="18"/>
                <w:lang w:eastAsia="es-EC"/>
              </w:rPr>
            </w:pPr>
            <w:r>
              <w:rPr>
                <w:noProof/>
              </w:rPr>
              <w:drawing>
                <wp:inline distT="0" distB="0" distL="0" distR="0" wp14:anchorId="2A87A8DE" wp14:editId="1BF1A336">
                  <wp:extent cx="5191787" cy="3618000"/>
                  <wp:effectExtent l="0" t="0" r="8890" b="1905"/>
                  <wp:docPr id="16772003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787" cy="3618000"/>
                          </a:xfrm>
                          <a:prstGeom prst="rect">
                            <a:avLst/>
                          </a:prstGeom>
                          <a:noFill/>
                          <a:ln>
                            <a:noFill/>
                          </a:ln>
                        </pic:spPr>
                      </pic:pic>
                    </a:graphicData>
                  </a:graphic>
                </wp:inline>
              </w:drawing>
            </w:r>
          </w:p>
        </w:tc>
      </w:tr>
      <w:tr w:rsidR="00737C5B" w:rsidRPr="009E73C4" w14:paraId="0C1AFCAC" w14:textId="77777777" w:rsidTr="009E73C4">
        <w:trPr>
          <w:trHeight w:val="20"/>
        </w:trPr>
        <w:tc>
          <w:tcPr>
            <w:tcW w:w="9958" w:type="dxa"/>
            <w:gridSpan w:val="5"/>
            <w:shd w:val="clear" w:color="auto" w:fill="FBD4B4" w:themeFill="accent6" w:themeFillTint="66"/>
            <w:vAlign w:val="center"/>
            <w:hideMark/>
          </w:tcPr>
          <w:p w14:paraId="1E610C20"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737C5B" w:rsidRPr="009E73C4" w14:paraId="204C154F" w14:textId="77777777" w:rsidTr="009E73C4">
        <w:trPr>
          <w:trHeight w:val="276"/>
        </w:trPr>
        <w:tc>
          <w:tcPr>
            <w:tcW w:w="9958" w:type="dxa"/>
            <w:gridSpan w:val="5"/>
            <w:vMerge w:val="restart"/>
            <w:shd w:val="clear" w:color="auto" w:fill="auto"/>
            <w:vAlign w:val="center"/>
            <w:hideMark/>
          </w:tcPr>
          <w:p w14:paraId="025C0C2F"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 xml:space="preserve">Mitigación.- </w:t>
            </w:r>
            <w:r w:rsidRPr="009E73C4">
              <w:rPr>
                <w:rFonts w:ascii="Times New Roman" w:hAnsi="Times New Roman" w:cs="Times New Roman"/>
                <w:sz w:val="18"/>
                <w:szCs w:val="18"/>
                <w:lang w:val="es-EC"/>
              </w:rPr>
              <w:t>Se aplica a aquellas zonas de suelo rural de aprovechamiento extractivo donde se deben establecer medidas preventivas para minimizar los impactos generados por la intervención que se desarrollará, según lo establecido en la legislación ambiental</w:t>
            </w:r>
          </w:p>
        </w:tc>
      </w:tr>
      <w:tr w:rsidR="00737C5B" w:rsidRPr="009E73C4" w14:paraId="4A21A13D" w14:textId="77777777" w:rsidTr="009E73C4">
        <w:trPr>
          <w:trHeight w:val="276"/>
        </w:trPr>
        <w:tc>
          <w:tcPr>
            <w:tcW w:w="9958" w:type="dxa"/>
            <w:gridSpan w:val="5"/>
            <w:vMerge/>
            <w:vAlign w:val="center"/>
            <w:hideMark/>
          </w:tcPr>
          <w:p w14:paraId="21DA2DF4"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5BBACF6A" w14:textId="77777777" w:rsidTr="009E73C4">
        <w:trPr>
          <w:trHeight w:val="20"/>
        </w:trPr>
        <w:tc>
          <w:tcPr>
            <w:tcW w:w="9958" w:type="dxa"/>
            <w:gridSpan w:val="5"/>
            <w:shd w:val="clear" w:color="auto" w:fill="FBD4B4" w:themeFill="accent6" w:themeFillTint="66"/>
            <w:noWrap/>
            <w:vAlign w:val="center"/>
            <w:hideMark/>
          </w:tcPr>
          <w:p w14:paraId="07337276"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737C5B" w:rsidRPr="009E73C4" w14:paraId="6723432C" w14:textId="77777777" w:rsidTr="009E73C4">
        <w:trPr>
          <w:trHeight w:val="20"/>
        </w:trPr>
        <w:tc>
          <w:tcPr>
            <w:tcW w:w="1774" w:type="dxa"/>
            <w:shd w:val="clear" w:color="auto" w:fill="FBD4B4" w:themeFill="accent6" w:themeFillTint="66"/>
            <w:noWrap/>
            <w:vAlign w:val="center"/>
          </w:tcPr>
          <w:p w14:paraId="28B3F857" w14:textId="77777777" w:rsidR="00737C5B" w:rsidRPr="009E73C4" w:rsidRDefault="00737C5B" w:rsidP="00737C5B">
            <w:pPr>
              <w:jc w:val="center"/>
              <w:rPr>
                <w:rFonts w:ascii="Calibri" w:eastAsia="Times New Roman" w:hAnsi="Calibri" w:cs="Calibri"/>
                <w:b/>
                <w:bCs/>
                <w:color w:val="000000"/>
                <w:sz w:val="18"/>
                <w:szCs w:val="18"/>
                <w:lang w:eastAsia="es-EC"/>
              </w:rPr>
            </w:pPr>
          </w:p>
        </w:tc>
        <w:tc>
          <w:tcPr>
            <w:tcW w:w="2054" w:type="dxa"/>
            <w:shd w:val="clear" w:color="auto" w:fill="FBD4B4" w:themeFill="accent6" w:themeFillTint="66"/>
            <w:vAlign w:val="center"/>
            <w:hideMark/>
          </w:tcPr>
          <w:p w14:paraId="1B4AEB7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2438D1A2"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32CF08A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988" w:type="dxa"/>
            <w:shd w:val="clear" w:color="auto" w:fill="FBD4B4" w:themeFill="accent6" w:themeFillTint="66"/>
            <w:noWrap/>
            <w:vAlign w:val="center"/>
            <w:hideMark/>
          </w:tcPr>
          <w:p w14:paraId="4B8C79A3"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737C5B" w:rsidRPr="009E73C4" w14:paraId="67089449" w14:textId="77777777" w:rsidTr="009E73C4">
        <w:trPr>
          <w:trHeight w:val="20"/>
        </w:trPr>
        <w:tc>
          <w:tcPr>
            <w:tcW w:w="1774" w:type="dxa"/>
            <w:shd w:val="clear" w:color="auto" w:fill="auto"/>
            <w:noWrap/>
            <w:vAlign w:val="center"/>
          </w:tcPr>
          <w:p w14:paraId="4ED4CA79" w14:textId="77777777" w:rsidR="00737C5B" w:rsidRPr="009E73C4" w:rsidRDefault="00737C5B" w:rsidP="00737C5B">
            <w:pPr>
              <w:rPr>
                <w:rFonts w:ascii="Calibri" w:eastAsia="Times New Roman" w:hAnsi="Calibri" w:cs="Calibri"/>
                <w:sz w:val="18"/>
                <w:szCs w:val="18"/>
                <w:lang w:eastAsia="es-EC"/>
              </w:rPr>
            </w:pPr>
          </w:p>
        </w:tc>
        <w:tc>
          <w:tcPr>
            <w:tcW w:w="2054" w:type="dxa"/>
            <w:tcBorders>
              <w:top w:val="nil"/>
              <w:left w:val="nil"/>
              <w:bottom w:val="nil"/>
              <w:right w:val="nil"/>
            </w:tcBorders>
            <w:shd w:val="clear" w:color="auto" w:fill="auto"/>
            <w:vAlign w:val="center"/>
          </w:tcPr>
          <w:p w14:paraId="5468557A"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Residuos Químicos Peligrosos:</w:t>
            </w:r>
            <w:r w:rsidRPr="009E73C4">
              <w:rPr>
                <w:rFonts w:ascii="Arial Narrow" w:eastAsia="Times New Roman" w:hAnsi="Arial Narrow" w:cs="Calibri"/>
                <w:color w:val="000000"/>
                <w:sz w:val="18"/>
                <w:szCs w:val="18"/>
                <w:lang w:val="es-EC" w:eastAsia="es-EC"/>
              </w:rPr>
              <w:br/>
              <w:t>Solventes industriales (benceno, tolueno, xileno).</w:t>
            </w:r>
            <w:r w:rsidRPr="009E73C4">
              <w:rPr>
                <w:rFonts w:ascii="Arial Narrow" w:eastAsia="Times New Roman" w:hAnsi="Arial Narrow" w:cs="Calibri"/>
                <w:color w:val="000000"/>
                <w:sz w:val="18"/>
                <w:szCs w:val="18"/>
                <w:lang w:val="es-EC" w:eastAsia="es-EC"/>
              </w:rPr>
              <w:br/>
              <w:t>Ácidos y bases fuertes (ácido sulfúrico, hidróxido de sodio).</w:t>
            </w:r>
            <w:r w:rsidRPr="009E73C4">
              <w:rPr>
                <w:rFonts w:ascii="Arial Narrow" w:eastAsia="Times New Roman" w:hAnsi="Arial Narrow" w:cs="Calibri"/>
                <w:color w:val="000000"/>
                <w:sz w:val="18"/>
                <w:szCs w:val="18"/>
                <w:lang w:val="es-EC" w:eastAsia="es-EC"/>
              </w:rPr>
              <w:br/>
              <w:t>Productos químicos reactivos (peróxidos orgánicos, cianuros).</w:t>
            </w:r>
            <w:r w:rsidRPr="009E73C4">
              <w:rPr>
                <w:rFonts w:ascii="Arial Narrow" w:eastAsia="Times New Roman" w:hAnsi="Arial Narrow" w:cs="Calibri"/>
                <w:color w:val="000000"/>
                <w:sz w:val="18"/>
                <w:szCs w:val="18"/>
                <w:lang w:val="es-EC" w:eastAsia="es-EC"/>
              </w:rPr>
              <w:br/>
              <w:t>Residuos Médicos/Biológicos Peligrosos:</w:t>
            </w:r>
            <w:r w:rsidRPr="009E73C4">
              <w:rPr>
                <w:rFonts w:ascii="Arial Narrow" w:eastAsia="Times New Roman" w:hAnsi="Arial Narrow" w:cs="Calibri"/>
                <w:color w:val="000000"/>
                <w:sz w:val="18"/>
                <w:szCs w:val="18"/>
                <w:lang w:val="es-EC" w:eastAsia="es-EC"/>
              </w:rPr>
              <w:br/>
              <w:t>Desechos infecciosos (materiales contaminados con agentes patógenos).</w:t>
            </w:r>
            <w:r w:rsidRPr="009E73C4">
              <w:rPr>
                <w:rFonts w:ascii="Arial Narrow" w:eastAsia="Times New Roman" w:hAnsi="Arial Narrow" w:cs="Calibri"/>
                <w:color w:val="000000"/>
                <w:sz w:val="18"/>
                <w:szCs w:val="18"/>
                <w:lang w:val="es-EC" w:eastAsia="es-EC"/>
              </w:rPr>
              <w:br/>
              <w:t>Productos farmacéuticos vencidos o no utilizados.</w:t>
            </w:r>
            <w:r w:rsidRPr="009E73C4">
              <w:rPr>
                <w:rFonts w:ascii="Arial Narrow" w:eastAsia="Times New Roman" w:hAnsi="Arial Narrow" w:cs="Calibri"/>
                <w:color w:val="000000"/>
                <w:sz w:val="18"/>
                <w:szCs w:val="18"/>
                <w:lang w:val="es-EC" w:eastAsia="es-EC"/>
              </w:rPr>
              <w:br/>
              <w:t>Restos de tejidos y fluidos humanos.</w:t>
            </w:r>
            <w:r w:rsidRPr="009E73C4">
              <w:rPr>
                <w:rFonts w:ascii="Arial Narrow" w:eastAsia="Times New Roman" w:hAnsi="Arial Narrow" w:cs="Calibri"/>
                <w:color w:val="000000"/>
                <w:sz w:val="18"/>
                <w:szCs w:val="18"/>
                <w:lang w:val="es-EC" w:eastAsia="es-EC"/>
              </w:rPr>
              <w:br/>
              <w:t>Residuos Radiactivos:</w:t>
            </w:r>
            <w:r w:rsidRPr="009E73C4">
              <w:rPr>
                <w:rFonts w:ascii="Arial Narrow" w:eastAsia="Times New Roman" w:hAnsi="Arial Narrow" w:cs="Calibri"/>
                <w:color w:val="000000"/>
                <w:sz w:val="18"/>
                <w:szCs w:val="18"/>
                <w:lang w:val="es-EC" w:eastAsia="es-EC"/>
              </w:rPr>
              <w:br/>
            </w:r>
            <w:r w:rsidRPr="009E73C4">
              <w:rPr>
                <w:rFonts w:ascii="Arial Narrow" w:eastAsia="Times New Roman" w:hAnsi="Arial Narrow" w:cs="Calibri"/>
                <w:color w:val="000000"/>
                <w:sz w:val="18"/>
                <w:szCs w:val="18"/>
                <w:lang w:val="es-EC" w:eastAsia="es-EC"/>
              </w:rPr>
              <w:br/>
              <w:t>Materiales de desecho provenientes de la industria nuclear (residuos de plantas de energía nuclear).</w:t>
            </w:r>
            <w:r w:rsidRPr="009E73C4">
              <w:rPr>
                <w:rFonts w:ascii="Arial Narrow" w:eastAsia="Times New Roman" w:hAnsi="Arial Narrow" w:cs="Calibri"/>
                <w:color w:val="000000"/>
                <w:sz w:val="18"/>
                <w:szCs w:val="18"/>
                <w:lang w:val="es-EC" w:eastAsia="es-EC"/>
              </w:rPr>
              <w:br/>
              <w:t>Materiales radiactivos utilizados en medicina (isótopos radiactivos para tratamientos y diagnósticos).</w:t>
            </w:r>
            <w:r w:rsidRPr="009E73C4">
              <w:rPr>
                <w:rFonts w:ascii="Arial Narrow" w:eastAsia="Times New Roman" w:hAnsi="Arial Narrow" w:cs="Calibri"/>
                <w:color w:val="000000"/>
                <w:sz w:val="18"/>
                <w:szCs w:val="18"/>
                <w:lang w:val="es-EC" w:eastAsia="es-EC"/>
              </w:rPr>
              <w:br/>
              <w:t>Residuos de la Industria Petrolera:</w:t>
            </w:r>
            <w:r w:rsidRPr="009E73C4">
              <w:rPr>
                <w:rFonts w:ascii="Arial Narrow" w:eastAsia="Times New Roman" w:hAnsi="Arial Narrow" w:cs="Calibri"/>
                <w:color w:val="000000"/>
                <w:sz w:val="18"/>
                <w:szCs w:val="18"/>
                <w:lang w:val="es-EC" w:eastAsia="es-EC"/>
              </w:rPr>
              <w:br/>
            </w:r>
            <w:r w:rsidRPr="009E73C4">
              <w:rPr>
                <w:rFonts w:ascii="Arial Narrow" w:eastAsia="Times New Roman" w:hAnsi="Arial Narrow" w:cs="Calibri"/>
                <w:color w:val="000000"/>
                <w:sz w:val="18"/>
                <w:szCs w:val="18"/>
                <w:lang w:val="es-EC" w:eastAsia="es-EC"/>
              </w:rPr>
              <w:lastRenderedPageBreak/>
              <w:br/>
              <w:t>Lodos de perforación.</w:t>
            </w:r>
            <w:r w:rsidRPr="009E73C4">
              <w:rPr>
                <w:rFonts w:ascii="Arial Narrow" w:eastAsia="Times New Roman" w:hAnsi="Arial Narrow" w:cs="Calibri"/>
                <w:color w:val="000000"/>
                <w:sz w:val="18"/>
                <w:szCs w:val="18"/>
                <w:lang w:val="es-EC" w:eastAsia="es-EC"/>
              </w:rPr>
              <w:br/>
              <w:t>Aguas residuales de fracturación hidráulica (fracking).</w:t>
            </w:r>
            <w:r w:rsidRPr="009E73C4">
              <w:rPr>
                <w:rFonts w:ascii="Arial Narrow" w:eastAsia="Times New Roman" w:hAnsi="Arial Narrow" w:cs="Calibri"/>
                <w:color w:val="000000"/>
                <w:sz w:val="18"/>
                <w:szCs w:val="18"/>
                <w:lang w:val="es-EC" w:eastAsia="es-EC"/>
              </w:rPr>
              <w:br/>
              <w:t>Productos químicos utilizados en la extracción de petróleo y gas.</w:t>
            </w:r>
            <w:r w:rsidRPr="009E73C4">
              <w:rPr>
                <w:rFonts w:ascii="Arial Narrow" w:eastAsia="Times New Roman" w:hAnsi="Arial Narrow" w:cs="Calibri"/>
                <w:color w:val="000000"/>
                <w:sz w:val="18"/>
                <w:szCs w:val="18"/>
                <w:lang w:val="es-EC" w:eastAsia="es-EC"/>
              </w:rPr>
              <w:br/>
              <w:t>Residuos de Productos Químicos Orgánicos Persistentes (POP):</w:t>
            </w:r>
            <w:r w:rsidRPr="009E73C4">
              <w:rPr>
                <w:rFonts w:ascii="Arial Narrow" w:eastAsia="Times New Roman" w:hAnsi="Arial Narrow" w:cs="Calibri"/>
                <w:color w:val="000000"/>
                <w:sz w:val="18"/>
                <w:szCs w:val="18"/>
                <w:lang w:val="es-EC" w:eastAsia="es-EC"/>
              </w:rPr>
              <w:br/>
            </w:r>
            <w:r w:rsidRPr="009E73C4">
              <w:rPr>
                <w:rFonts w:ascii="Arial Narrow" w:eastAsia="Times New Roman" w:hAnsi="Arial Narrow" w:cs="Calibri"/>
                <w:color w:val="000000"/>
                <w:sz w:val="18"/>
                <w:szCs w:val="18"/>
                <w:lang w:val="es-EC" w:eastAsia="es-EC"/>
              </w:rPr>
              <w:br/>
              <w:t>PCB (bifenilos policlorados) utilizados en transformadores eléctricos.</w:t>
            </w:r>
            <w:r w:rsidRPr="009E73C4">
              <w:rPr>
                <w:rFonts w:ascii="Arial Narrow" w:eastAsia="Times New Roman" w:hAnsi="Arial Narrow" w:cs="Calibri"/>
                <w:color w:val="000000"/>
                <w:sz w:val="18"/>
                <w:szCs w:val="18"/>
                <w:lang w:val="es-EC" w:eastAsia="es-EC"/>
              </w:rPr>
              <w:br/>
              <w:t>Pesticidas organoclorados (DDT, dieldrín, endrín).</w:t>
            </w:r>
            <w:r w:rsidRPr="009E73C4">
              <w:rPr>
                <w:rFonts w:ascii="Arial Narrow" w:eastAsia="Times New Roman" w:hAnsi="Arial Narrow" w:cs="Calibri"/>
                <w:color w:val="000000"/>
                <w:sz w:val="18"/>
                <w:szCs w:val="18"/>
                <w:lang w:val="es-EC" w:eastAsia="es-EC"/>
              </w:rPr>
              <w:br/>
              <w:t>Residuos de Metales Pesados:</w:t>
            </w:r>
            <w:r w:rsidRPr="009E73C4">
              <w:rPr>
                <w:rFonts w:ascii="Arial Narrow" w:eastAsia="Times New Roman" w:hAnsi="Arial Narrow" w:cs="Calibri"/>
                <w:color w:val="000000"/>
                <w:sz w:val="18"/>
                <w:szCs w:val="18"/>
                <w:lang w:val="es-EC" w:eastAsia="es-EC"/>
              </w:rPr>
              <w:br/>
            </w:r>
            <w:r w:rsidRPr="009E73C4">
              <w:rPr>
                <w:rFonts w:ascii="Arial Narrow" w:eastAsia="Times New Roman" w:hAnsi="Arial Narrow" w:cs="Calibri"/>
                <w:color w:val="000000"/>
                <w:sz w:val="18"/>
                <w:szCs w:val="18"/>
                <w:lang w:val="es-EC" w:eastAsia="es-EC"/>
              </w:rPr>
              <w:br/>
              <w:t>Mercurio (termómetros, interruptores).</w:t>
            </w:r>
            <w:r w:rsidRPr="009E73C4">
              <w:rPr>
                <w:rFonts w:ascii="Arial Narrow" w:eastAsia="Times New Roman" w:hAnsi="Arial Narrow" w:cs="Calibri"/>
                <w:color w:val="000000"/>
                <w:sz w:val="18"/>
                <w:szCs w:val="18"/>
                <w:lang w:val="es-EC" w:eastAsia="es-EC"/>
              </w:rPr>
              <w:br/>
              <w:t>Plomo (baterías de plomo-ácido, pintura a base de plomo).</w:t>
            </w:r>
            <w:r w:rsidRPr="009E73C4">
              <w:rPr>
                <w:rFonts w:ascii="Arial Narrow" w:eastAsia="Times New Roman" w:hAnsi="Arial Narrow" w:cs="Calibri"/>
                <w:color w:val="000000"/>
                <w:sz w:val="18"/>
                <w:szCs w:val="18"/>
                <w:lang w:val="es-EC" w:eastAsia="es-EC"/>
              </w:rPr>
              <w:br/>
              <w:t>Cadmio (baterías de níquel-cadmio, pigmentos).</w:t>
            </w:r>
            <w:r w:rsidRPr="009E73C4">
              <w:rPr>
                <w:rFonts w:ascii="Arial Narrow" w:eastAsia="Times New Roman" w:hAnsi="Arial Narrow" w:cs="Calibri"/>
                <w:color w:val="000000"/>
                <w:sz w:val="18"/>
                <w:szCs w:val="18"/>
                <w:lang w:val="es-EC" w:eastAsia="es-EC"/>
              </w:rPr>
              <w:br/>
              <w:t>Residuos de Explosivos:</w:t>
            </w:r>
            <w:r w:rsidRPr="009E73C4">
              <w:rPr>
                <w:rFonts w:ascii="Arial Narrow" w:eastAsia="Times New Roman" w:hAnsi="Arial Narrow" w:cs="Calibri"/>
                <w:color w:val="000000"/>
                <w:sz w:val="18"/>
                <w:szCs w:val="18"/>
                <w:lang w:val="es-EC" w:eastAsia="es-EC"/>
              </w:rPr>
              <w:br/>
            </w:r>
            <w:r w:rsidRPr="009E73C4">
              <w:rPr>
                <w:rFonts w:ascii="Arial Narrow" w:eastAsia="Times New Roman" w:hAnsi="Arial Narrow" w:cs="Calibri"/>
                <w:color w:val="000000"/>
                <w:sz w:val="18"/>
                <w:szCs w:val="18"/>
                <w:lang w:val="es-EC" w:eastAsia="es-EC"/>
              </w:rPr>
              <w:br/>
              <w:t>Materiales explosivos industriales (nitrato de amonio, dinamita).</w:t>
            </w:r>
            <w:r w:rsidRPr="009E73C4">
              <w:rPr>
                <w:rFonts w:ascii="Arial Narrow" w:eastAsia="Times New Roman" w:hAnsi="Arial Narrow" w:cs="Calibri"/>
                <w:color w:val="000000"/>
                <w:sz w:val="18"/>
                <w:szCs w:val="18"/>
                <w:lang w:val="es-EC" w:eastAsia="es-EC"/>
              </w:rPr>
              <w:br/>
              <w:t>Desechos de fabricación de municiones y armas.</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41A41B23"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lastRenderedPageBreak/>
              <w:t>Residuos de Amianto (Asbesto):</w:t>
            </w:r>
            <w:r w:rsidRPr="009E73C4">
              <w:rPr>
                <w:rFonts w:ascii="Arial Narrow" w:eastAsia="Times New Roman" w:hAnsi="Arial Narrow" w:cs="Calibri"/>
                <w:color w:val="000000"/>
                <w:sz w:val="18"/>
                <w:szCs w:val="18"/>
                <w:lang w:val="es-EC" w:eastAsia="es-EC"/>
              </w:rPr>
              <w:br/>
            </w:r>
            <w:r w:rsidRPr="009E73C4">
              <w:rPr>
                <w:rFonts w:ascii="Arial Narrow" w:eastAsia="Times New Roman" w:hAnsi="Arial Narrow" w:cs="Calibri"/>
                <w:color w:val="000000"/>
                <w:sz w:val="18"/>
                <w:szCs w:val="18"/>
                <w:lang w:val="es-EC" w:eastAsia="es-EC"/>
              </w:rPr>
              <w:br/>
              <w:t>Materiales de construcción que contienen asbesto (aislamiento, tejas de techo).</w:t>
            </w:r>
          </w:p>
        </w:tc>
        <w:tc>
          <w:tcPr>
            <w:tcW w:w="2158" w:type="dxa"/>
            <w:tcBorders>
              <w:top w:val="nil"/>
              <w:left w:val="nil"/>
              <w:bottom w:val="single" w:sz="4" w:space="0" w:color="auto"/>
              <w:right w:val="single" w:sz="4" w:space="0" w:color="auto"/>
            </w:tcBorders>
            <w:shd w:val="clear" w:color="auto" w:fill="auto"/>
            <w:noWrap/>
            <w:vAlign w:val="center"/>
          </w:tcPr>
          <w:p w14:paraId="4FB1E42E"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Reciclaje</w:t>
            </w:r>
          </w:p>
        </w:tc>
        <w:tc>
          <w:tcPr>
            <w:tcW w:w="1988" w:type="dxa"/>
            <w:tcBorders>
              <w:top w:val="nil"/>
              <w:left w:val="nil"/>
              <w:bottom w:val="single" w:sz="4" w:space="0" w:color="auto"/>
              <w:right w:val="single" w:sz="4" w:space="0" w:color="auto"/>
            </w:tcBorders>
            <w:shd w:val="clear" w:color="auto" w:fill="auto"/>
            <w:noWrap/>
            <w:vAlign w:val="center"/>
          </w:tcPr>
          <w:p w14:paraId="768BAA13" w14:textId="46816FE2" w:rsidR="00737C5B" w:rsidRPr="009E73C4" w:rsidRDefault="00A35002" w:rsidP="00737C5B">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737C5B" w:rsidRPr="009E73C4">
              <w:rPr>
                <w:rFonts w:ascii="Arial Narrow" w:eastAsia="Times New Roman" w:hAnsi="Arial Narrow" w:cs="Calibri"/>
                <w:color w:val="000000"/>
                <w:sz w:val="18"/>
                <w:szCs w:val="18"/>
                <w:lang w:val="es-EC" w:eastAsia="es-EC"/>
              </w:rPr>
              <w:t xml:space="preserve"> y pecuario</w:t>
            </w:r>
            <w:r w:rsidR="00737C5B" w:rsidRPr="009E73C4">
              <w:rPr>
                <w:rFonts w:ascii="Arial Narrow" w:eastAsia="Times New Roman" w:hAnsi="Arial Narrow" w:cs="Calibri"/>
                <w:color w:val="000000"/>
                <w:sz w:val="18"/>
                <w:szCs w:val="18"/>
                <w:lang w:val="es-EC" w:eastAsia="es-EC"/>
              </w:rPr>
              <w:br/>
              <w:t>Vivienda</w:t>
            </w:r>
          </w:p>
        </w:tc>
      </w:tr>
      <w:tr w:rsidR="00737C5B" w:rsidRPr="009E73C4" w14:paraId="2336A006" w14:textId="77777777" w:rsidTr="009E73C4">
        <w:trPr>
          <w:trHeight w:val="20"/>
        </w:trPr>
        <w:tc>
          <w:tcPr>
            <w:tcW w:w="9958" w:type="dxa"/>
            <w:gridSpan w:val="5"/>
            <w:shd w:val="clear" w:color="auto" w:fill="FBD4B4" w:themeFill="accent6" w:themeFillTint="66"/>
            <w:noWrap/>
            <w:vAlign w:val="center"/>
            <w:hideMark/>
          </w:tcPr>
          <w:p w14:paraId="4F2D9840"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737C5B" w:rsidRPr="009E73C4" w14:paraId="1D3B9885" w14:textId="77777777" w:rsidTr="009E73C4">
        <w:trPr>
          <w:trHeight w:val="20"/>
        </w:trPr>
        <w:tc>
          <w:tcPr>
            <w:tcW w:w="1774" w:type="dxa"/>
            <w:shd w:val="clear" w:color="auto" w:fill="auto"/>
            <w:noWrap/>
            <w:vAlign w:val="center"/>
            <w:hideMark/>
          </w:tcPr>
          <w:p w14:paraId="01A5D8AE"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184" w:type="dxa"/>
            <w:gridSpan w:val="4"/>
            <w:shd w:val="clear" w:color="auto" w:fill="auto"/>
            <w:vAlign w:val="center"/>
          </w:tcPr>
          <w:p w14:paraId="52763E29" w14:textId="62326231" w:rsidR="00737C5B" w:rsidRPr="009E73C4" w:rsidRDefault="00BC0D6E"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 xml:space="preserve">Lote mínimo </w:t>
            </w:r>
            <w:r w:rsidRPr="0099658C">
              <w:rPr>
                <w:rFonts w:ascii="Calibri" w:eastAsia="Times New Roman" w:hAnsi="Calibri" w:cs="Calibri"/>
                <w:sz w:val="18"/>
                <w:szCs w:val="18"/>
                <w:lang w:eastAsia="es-EC"/>
              </w:rPr>
              <w:t>1</w:t>
            </w:r>
            <w:r w:rsidR="0053019D" w:rsidRPr="0099658C">
              <w:rPr>
                <w:rFonts w:ascii="Calibri" w:eastAsia="Times New Roman" w:hAnsi="Calibri" w:cs="Calibri"/>
                <w:sz w:val="18"/>
                <w:szCs w:val="18"/>
                <w:lang w:eastAsia="es-EC"/>
              </w:rPr>
              <w:t>5</w:t>
            </w:r>
            <w:r w:rsidRPr="0099658C">
              <w:rPr>
                <w:rFonts w:ascii="Calibri" w:eastAsia="Times New Roman" w:hAnsi="Calibri" w:cs="Calibri"/>
                <w:sz w:val="18"/>
                <w:szCs w:val="18"/>
                <w:lang w:eastAsia="es-EC"/>
              </w:rPr>
              <w:t xml:space="preserve"> </w:t>
            </w:r>
            <w:r w:rsidRPr="009E73C4">
              <w:rPr>
                <w:rFonts w:ascii="Calibri" w:eastAsia="Times New Roman" w:hAnsi="Calibri" w:cs="Calibri"/>
                <w:color w:val="000000"/>
                <w:sz w:val="18"/>
                <w:szCs w:val="18"/>
                <w:lang w:eastAsia="es-EC"/>
              </w:rPr>
              <w:t>ha</w:t>
            </w:r>
          </w:p>
        </w:tc>
      </w:tr>
      <w:tr w:rsidR="00737C5B" w:rsidRPr="009E73C4" w14:paraId="6DC5B212" w14:textId="77777777" w:rsidTr="009E73C4">
        <w:trPr>
          <w:trHeight w:val="20"/>
        </w:trPr>
        <w:tc>
          <w:tcPr>
            <w:tcW w:w="1774" w:type="dxa"/>
            <w:shd w:val="clear" w:color="auto" w:fill="auto"/>
            <w:noWrap/>
            <w:vAlign w:val="center"/>
            <w:hideMark/>
          </w:tcPr>
          <w:p w14:paraId="1256DB4B"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184" w:type="dxa"/>
            <w:gridSpan w:val="4"/>
            <w:shd w:val="clear" w:color="auto" w:fill="auto"/>
          </w:tcPr>
          <w:p w14:paraId="29278FD5" w14:textId="06DA5194"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737C5B" w:rsidRPr="009E73C4" w14:paraId="5AABE411" w14:textId="77777777" w:rsidTr="009E73C4">
        <w:trPr>
          <w:trHeight w:val="20"/>
        </w:trPr>
        <w:tc>
          <w:tcPr>
            <w:tcW w:w="1774" w:type="dxa"/>
            <w:shd w:val="clear" w:color="auto" w:fill="auto"/>
            <w:noWrap/>
            <w:vAlign w:val="center"/>
            <w:hideMark/>
          </w:tcPr>
          <w:p w14:paraId="544D589F"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184" w:type="dxa"/>
            <w:gridSpan w:val="4"/>
            <w:shd w:val="clear" w:color="auto" w:fill="auto"/>
          </w:tcPr>
          <w:p w14:paraId="364D9DCF" w14:textId="22363402"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bl>
    <w:p w14:paraId="008850A2" w14:textId="2AB9672A" w:rsidR="00737C5B" w:rsidRDefault="00737C5B" w:rsidP="00737C5B">
      <w:pPr>
        <w:rPr>
          <w:sz w:val="18"/>
          <w:szCs w:val="18"/>
          <w:lang w:val="es-EC" w:eastAsia="es-EC"/>
        </w:rPr>
      </w:pPr>
    </w:p>
    <w:p w14:paraId="1E65CD5C" w14:textId="77777777" w:rsidR="005D0540" w:rsidRPr="009E73C4" w:rsidRDefault="005D0540" w:rsidP="00737C5B">
      <w:pPr>
        <w:rPr>
          <w:sz w:val="18"/>
          <w:szCs w:val="18"/>
          <w:lang w:val="es-EC" w:eastAsia="es-EC"/>
        </w:rPr>
      </w:pPr>
    </w:p>
    <w:p w14:paraId="16A1FB9F" w14:textId="1B108136" w:rsidR="00737C5B" w:rsidRDefault="00737C5B" w:rsidP="00737C5B">
      <w:pPr>
        <w:pStyle w:val="Descripcin"/>
        <w:rPr>
          <w:rFonts w:ascii="Times New Roman" w:eastAsia="Times New Roman" w:hAnsi="Times New Roman" w:cs="Times New Roman"/>
          <w:color w:val="000000"/>
          <w:sz w:val="18"/>
          <w:lang w:val="es-EC" w:eastAsia="es-EC"/>
        </w:rPr>
      </w:pPr>
      <w:bookmarkStart w:id="135" w:name="_Toc81085730"/>
      <w:r w:rsidRPr="009E73C4">
        <w:rPr>
          <w:rFonts w:cstheme="majorHAnsi"/>
          <w:sz w:val="18"/>
        </w:rPr>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15</w:t>
      </w:r>
      <w:r w:rsidRPr="009E73C4">
        <w:rPr>
          <w:rFonts w:cstheme="majorHAnsi"/>
          <w:noProof/>
          <w:sz w:val="18"/>
        </w:rPr>
        <w:fldChar w:fldCharType="end"/>
      </w:r>
      <w:r w:rsidRPr="009E73C4">
        <w:rPr>
          <w:rFonts w:cstheme="majorHAnsi"/>
          <w:sz w:val="18"/>
        </w:rPr>
        <w:t xml:space="preserve">. Ficha para el </w:t>
      </w:r>
      <w:bookmarkEnd w:id="135"/>
      <w:r w:rsidRPr="009E73C4">
        <w:rPr>
          <w:rFonts w:cstheme="majorHAnsi"/>
          <w:sz w:val="18"/>
        </w:rPr>
        <w:t xml:space="preserve">PIT 6b - </w:t>
      </w:r>
      <w:r w:rsidRPr="009E73C4">
        <w:rPr>
          <w:rFonts w:ascii="Times New Roman" w:eastAsia="Times New Roman" w:hAnsi="Times New Roman" w:cs="Times New Roman"/>
          <w:color w:val="000000"/>
          <w:sz w:val="18"/>
          <w:lang w:val="es-EC" w:eastAsia="es-EC"/>
        </w:rPr>
        <w:t xml:space="preserve">Industrial y Gestión residuos </w:t>
      </w:r>
      <w:r w:rsidR="00C75F52">
        <w:rPr>
          <w:rFonts w:ascii="Times New Roman" w:eastAsia="Times New Roman" w:hAnsi="Times New Roman" w:cs="Times New Roman"/>
          <w:color w:val="000000"/>
          <w:sz w:val="18"/>
          <w:lang w:val="es-EC" w:eastAsia="es-EC"/>
        </w:rPr>
        <w:t>Mediano</w:t>
      </w:r>
      <w:r w:rsidRPr="009E73C4">
        <w:rPr>
          <w:rFonts w:ascii="Times New Roman" w:eastAsia="Times New Roman" w:hAnsi="Times New Roman" w:cs="Times New Roman"/>
          <w:color w:val="000000"/>
          <w:sz w:val="18"/>
          <w:lang w:val="es-EC" w:eastAsia="es-EC"/>
        </w:rPr>
        <w:t xml:space="preserve"> Impacto</w:t>
      </w:r>
    </w:p>
    <w:tbl>
      <w:tblPr>
        <w:tblW w:w="995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054"/>
        <w:gridCol w:w="1984"/>
        <w:gridCol w:w="2158"/>
        <w:gridCol w:w="1988"/>
      </w:tblGrid>
      <w:tr w:rsidR="0001778C" w:rsidRPr="009E73C4" w14:paraId="2F309087" w14:textId="77777777" w:rsidTr="00AE3C5A">
        <w:trPr>
          <w:trHeight w:val="20"/>
        </w:trPr>
        <w:tc>
          <w:tcPr>
            <w:tcW w:w="9958" w:type="dxa"/>
            <w:gridSpan w:val="5"/>
            <w:shd w:val="clear" w:color="auto" w:fill="FBD4B4" w:themeFill="accent6" w:themeFillTint="66"/>
            <w:noWrap/>
            <w:vAlign w:val="center"/>
            <w:hideMark/>
          </w:tcPr>
          <w:p w14:paraId="6A21D68B"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cstheme="majorHAnsi"/>
                <w:sz w:val="18"/>
                <w:szCs w:val="18"/>
              </w:rPr>
              <w:t xml:space="preserve">PIT 6m - </w:t>
            </w:r>
            <w:r w:rsidRPr="009E73C4">
              <w:rPr>
                <w:rFonts w:ascii="Times New Roman" w:eastAsia="Times New Roman" w:hAnsi="Times New Roman" w:cs="Times New Roman"/>
                <w:color w:val="000000"/>
                <w:sz w:val="18"/>
                <w:szCs w:val="18"/>
                <w:lang w:val="es-EC" w:eastAsia="es-EC"/>
              </w:rPr>
              <w:t>Industrial y Gestión residuos Medio Impacto</w:t>
            </w:r>
          </w:p>
        </w:tc>
      </w:tr>
      <w:tr w:rsidR="0001778C" w:rsidRPr="009E73C4" w14:paraId="2E23A46F" w14:textId="77777777" w:rsidTr="00AE3C5A">
        <w:trPr>
          <w:trHeight w:val="20"/>
        </w:trPr>
        <w:tc>
          <w:tcPr>
            <w:tcW w:w="1774" w:type="dxa"/>
            <w:shd w:val="clear" w:color="auto" w:fill="auto"/>
            <w:noWrap/>
            <w:vAlign w:val="center"/>
            <w:hideMark/>
          </w:tcPr>
          <w:p w14:paraId="75255272"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038" w:type="dxa"/>
            <w:gridSpan w:val="2"/>
            <w:shd w:val="clear" w:color="auto" w:fill="auto"/>
            <w:vAlign w:val="center"/>
            <w:hideMark/>
          </w:tcPr>
          <w:p w14:paraId="33D8E397"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229FDB38"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Superficie (ha)</w:t>
            </w:r>
          </w:p>
        </w:tc>
        <w:tc>
          <w:tcPr>
            <w:tcW w:w="1988" w:type="dxa"/>
            <w:shd w:val="clear" w:color="auto" w:fill="auto"/>
            <w:noWrap/>
            <w:vAlign w:val="center"/>
            <w:hideMark/>
          </w:tcPr>
          <w:p w14:paraId="69A9B222"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01778C" w:rsidRPr="009E73C4" w14:paraId="71464A13" w14:textId="77777777" w:rsidTr="00AE3C5A">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80740"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Arial Narrow" w:eastAsia="Times New Roman" w:hAnsi="Arial Narrow" w:cs="Calibri"/>
                <w:color w:val="000000"/>
                <w:sz w:val="18"/>
                <w:szCs w:val="18"/>
                <w:lang w:val="es-EC" w:eastAsia="es-EC"/>
              </w:rPr>
              <w:t>PIT6m-IGR_M</w:t>
            </w:r>
          </w:p>
        </w:tc>
        <w:tc>
          <w:tcPr>
            <w:tcW w:w="40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ADC52"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Industrial y Gestión Residuos Medio Impacto</w:t>
            </w:r>
          </w:p>
        </w:tc>
        <w:tc>
          <w:tcPr>
            <w:tcW w:w="2158" w:type="dxa"/>
            <w:shd w:val="clear" w:color="auto" w:fill="auto"/>
            <w:vAlign w:val="center"/>
          </w:tcPr>
          <w:p w14:paraId="021306DE" w14:textId="77777777" w:rsidR="0001778C" w:rsidRPr="00BE4FFA" w:rsidRDefault="0001778C" w:rsidP="00AE3C5A">
            <w:pPr>
              <w:jc w:val="center"/>
              <w:rPr>
                <w:rFonts w:ascii="Calibri" w:eastAsia="Times New Roman" w:hAnsi="Calibri" w:cs="Calibri"/>
                <w:sz w:val="18"/>
                <w:szCs w:val="18"/>
                <w:lang w:eastAsia="es-EC"/>
              </w:rPr>
            </w:pPr>
            <w:r w:rsidRPr="00BE4FFA">
              <w:rPr>
                <w:rFonts w:ascii="Times New Roman" w:eastAsia="Times New Roman" w:hAnsi="Times New Roman" w:cs="Times New Roman"/>
                <w:sz w:val="18"/>
                <w:szCs w:val="18"/>
                <w:lang w:val="es-EC" w:eastAsia="es-EC"/>
              </w:rPr>
              <w:t>236.18</w:t>
            </w:r>
          </w:p>
        </w:tc>
        <w:tc>
          <w:tcPr>
            <w:tcW w:w="1988" w:type="dxa"/>
            <w:shd w:val="clear" w:color="auto" w:fill="auto"/>
            <w:noWrap/>
            <w:vAlign w:val="center"/>
          </w:tcPr>
          <w:p w14:paraId="2EFB144B" w14:textId="77777777" w:rsidR="0001778C" w:rsidRPr="009E73C4" w:rsidRDefault="0001778C" w:rsidP="00AE3C5A">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0,20%</w:t>
            </w:r>
          </w:p>
        </w:tc>
      </w:tr>
      <w:tr w:rsidR="0001778C" w:rsidRPr="009E73C4" w14:paraId="2C240360" w14:textId="77777777" w:rsidTr="00AE3C5A">
        <w:trPr>
          <w:trHeight w:val="20"/>
        </w:trPr>
        <w:tc>
          <w:tcPr>
            <w:tcW w:w="9958" w:type="dxa"/>
            <w:gridSpan w:val="5"/>
            <w:shd w:val="clear" w:color="auto" w:fill="auto"/>
            <w:noWrap/>
            <w:vAlign w:val="center"/>
          </w:tcPr>
          <w:p w14:paraId="3094C106" w14:textId="77777777" w:rsidR="0001778C" w:rsidRPr="009E73C4" w:rsidRDefault="0001778C" w:rsidP="00AE3C5A">
            <w:pPr>
              <w:jc w:val="center"/>
              <w:rPr>
                <w:rFonts w:ascii="Calibri" w:eastAsia="Times New Roman" w:hAnsi="Calibri" w:cs="Calibri"/>
                <w:color w:val="000000"/>
                <w:sz w:val="18"/>
                <w:szCs w:val="18"/>
                <w:lang w:eastAsia="es-EC"/>
              </w:rPr>
            </w:pPr>
          </w:p>
          <w:p w14:paraId="55BDE26A" w14:textId="77777777" w:rsidR="0001778C" w:rsidRPr="009E73C4" w:rsidRDefault="0001778C" w:rsidP="00AE3C5A">
            <w:pPr>
              <w:jc w:val="center"/>
              <w:rPr>
                <w:rFonts w:ascii="Calibri" w:eastAsia="Times New Roman" w:hAnsi="Calibri" w:cs="Calibri"/>
                <w:color w:val="000000"/>
                <w:sz w:val="18"/>
                <w:szCs w:val="18"/>
                <w:lang w:eastAsia="es-EC"/>
              </w:rPr>
            </w:pPr>
            <w:r>
              <w:rPr>
                <w:noProof/>
              </w:rPr>
              <w:lastRenderedPageBreak/>
              <w:drawing>
                <wp:inline distT="0" distB="0" distL="0" distR="0" wp14:anchorId="7285C9EE" wp14:editId="11A0996A">
                  <wp:extent cx="5156090" cy="3672000"/>
                  <wp:effectExtent l="0" t="0" r="6985" b="5080"/>
                  <wp:docPr id="1531077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090" cy="3672000"/>
                          </a:xfrm>
                          <a:prstGeom prst="rect">
                            <a:avLst/>
                          </a:prstGeom>
                          <a:noFill/>
                          <a:ln>
                            <a:noFill/>
                          </a:ln>
                        </pic:spPr>
                      </pic:pic>
                    </a:graphicData>
                  </a:graphic>
                </wp:inline>
              </w:drawing>
            </w:r>
          </w:p>
          <w:p w14:paraId="70A3D12D" w14:textId="77777777" w:rsidR="0001778C" w:rsidRPr="009E73C4" w:rsidRDefault="0001778C" w:rsidP="00AE3C5A">
            <w:pPr>
              <w:rPr>
                <w:rFonts w:ascii="Calibri" w:eastAsia="Times New Roman" w:hAnsi="Calibri" w:cs="Calibri"/>
                <w:b/>
                <w:bCs/>
                <w:color w:val="000000"/>
                <w:sz w:val="18"/>
                <w:szCs w:val="18"/>
                <w:lang w:eastAsia="es-EC"/>
              </w:rPr>
            </w:pPr>
          </w:p>
          <w:p w14:paraId="579C8EED" w14:textId="77777777" w:rsidR="0001778C" w:rsidRPr="009E73C4" w:rsidRDefault="0001778C" w:rsidP="00AE3C5A">
            <w:pPr>
              <w:rPr>
                <w:rFonts w:ascii="Calibri" w:eastAsia="Times New Roman" w:hAnsi="Calibri" w:cs="Calibri"/>
                <w:color w:val="000000"/>
                <w:sz w:val="18"/>
                <w:szCs w:val="18"/>
                <w:lang w:eastAsia="es-EC"/>
              </w:rPr>
            </w:pPr>
          </w:p>
        </w:tc>
      </w:tr>
      <w:tr w:rsidR="0001778C" w:rsidRPr="009E73C4" w14:paraId="75E079C9" w14:textId="77777777" w:rsidTr="00AE3C5A">
        <w:trPr>
          <w:trHeight w:val="20"/>
        </w:trPr>
        <w:tc>
          <w:tcPr>
            <w:tcW w:w="9958" w:type="dxa"/>
            <w:gridSpan w:val="5"/>
            <w:shd w:val="clear" w:color="auto" w:fill="FBD4B4" w:themeFill="accent6" w:themeFillTint="66"/>
            <w:vAlign w:val="center"/>
            <w:hideMark/>
          </w:tcPr>
          <w:p w14:paraId="7CA23537"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lastRenderedPageBreak/>
              <w:t>Tratamientos</w:t>
            </w:r>
          </w:p>
        </w:tc>
      </w:tr>
      <w:tr w:rsidR="0001778C" w:rsidRPr="009E73C4" w14:paraId="6C443397" w14:textId="77777777" w:rsidTr="00AE3C5A">
        <w:trPr>
          <w:trHeight w:val="276"/>
        </w:trPr>
        <w:tc>
          <w:tcPr>
            <w:tcW w:w="9958" w:type="dxa"/>
            <w:gridSpan w:val="5"/>
            <w:vMerge w:val="restart"/>
            <w:shd w:val="clear" w:color="auto" w:fill="auto"/>
            <w:vAlign w:val="center"/>
            <w:hideMark/>
          </w:tcPr>
          <w:p w14:paraId="3FAD0922"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 xml:space="preserve">Mitigación.- </w:t>
            </w:r>
            <w:r w:rsidRPr="009E73C4">
              <w:rPr>
                <w:rFonts w:ascii="Times New Roman" w:hAnsi="Times New Roman" w:cs="Times New Roman"/>
                <w:sz w:val="18"/>
                <w:szCs w:val="18"/>
                <w:lang w:val="es-EC"/>
              </w:rPr>
              <w:t>Se aplica a aquellas zonas de suelo rural de aprovechamiento extractivo donde se deben establecer medidas preventivas para minimizar los impactos generados por la intervención que se desarrollará, según lo establecido en la legislación ambiental</w:t>
            </w:r>
          </w:p>
        </w:tc>
      </w:tr>
      <w:tr w:rsidR="0001778C" w:rsidRPr="009E73C4" w14:paraId="297E34BF" w14:textId="77777777" w:rsidTr="00AE3C5A">
        <w:trPr>
          <w:trHeight w:val="276"/>
        </w:trPr>
        <w:tc>
          <w:tcPr>
            <w:tcW w:w="9958" w:type="dxa"/>
            <w:gridSpan w:val="5"/>
            <w:vMerge/>
            <w:vAlign w:val="center"/>
            <w:hideMark/>
          </w:tcPr>
          <w:p w14:paraId="0F7C2AAF" w14:textId="77777777" w:rsidR="0001778C" w:rsidRPr="009E73C4" w:rsidRDefault="0001778C" w:rsidP="00AE3C5A">
            <w:pPr>
              <w:rPr>
                <w:rFonts w:ascii="Calibri" w:eastAsia="Times New Roman" w:hAnsi="Calibri" w:cs="Calibri"/>
                <w:color w:val="000000"/>
                <w:sz w:val="18"/>
                <w:szCs w:val="18"/>
                <w:lang w:eastAsia="es-EC"/>
              </w:rPr>
            </w:pPr>
          </w:p>
        </w:tc>
      </w:tr>
      <w:tr w:rsidR="0001778C" w:rsidRPr="009E73C4" w14:paraId="2B3E86C6" w14:textId="77777777" w:rsidTr="00AE3C5A">
        <w:trPr>
          <w:trHeight w:val="20"/>
        </w:trPr>
        <w:tc>
          <w:tcPr>
            <w:tcW w:w="9958" w:type="dxa"/>
            <w:gridSpan w:val="5"/>
            <w:shd w:val="clear" w:color="auto" w:fill="FBD4B4" w:themeFill="accent6" w:themeFillTint="66"/>
            <w:noWrap/>
            <w:vAlign w:val="center"/>
            <w:hideMark/>
          </w:tcPr>
          <w:p w14:paraId="69BA4D90"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01778C" w:rsidRPr="009E73C4" w14:paraId="28328C3D" w14:textId="77777777" w:rsidTr="00AE3C5A">
        <w:trPr>
          <w:trHeight w:val="20"/>
        </w:trPr>
        <w:tc>
          <w:tcPr>
            <w:tcW w:w="1774" w:type="dxa"/>
            <w:shd w:val="clear" w:color="auto" w:fill="FBD4B4" w:themeFill="accent6" w:themeFillTint="66"/>
            <w:noWrap/>
            <w:vAlign w:val="center"/>
            <w:hideMark/>
          </w:tcPr>
          <w:p w14:paraId="18C51E44" w14:textId="77777777" w:rsidR="0001778C" w:rsidRPr="009E73C4" w:rsidRDefault="0001778C" w:rsidP="00AE3C5A">
            <w:pPr>
              <w:rPr>
                <w:rFonts w:ascii="Calibri" w:eastAsia="Times New Roman" w:hAnsi="Calibri" w:cs="Calibri"/>
                <w:b/>
                <w:bCs/>
                <w:color w:val="000000"/>
                <w:sz w:val="18"/>
                <w:szCs w:val="18"/>
                <w:lang w:eastAsia="es-EC"/>
              </w:rPr>
            </w:pPr>
          </w:p>
        </w:tc>
        <w:tc>
          <w:tcPr>
            <w:tcW w:w="2054" w:type="dxa"/>
            <w:shd w:val="clear" w:color="auto" w:fill="FBD4B4" w:themeFill="accent6" w:themeFillTint="66"/>
            <w:vAlign w:val="center"/>
            <w:hideMark/>
          </w:tcPr>
          <w:p w14:paraId="5D26E35A"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37ECECEE"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174A3C42"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988" w:type="dxa"/>
            <w:shd w:val="clear" w:color="auto" w:fill="FBD4B4" w:themeFill="accent6" w:themeFillTint="66"/>
            <w:noWrap/>
            <w:vAlign w:val="center"/>
            <w:hideMark/>
          </w:tcPr>
          <w:p w14:paraId="15F662A2"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01778C" w:rsidRPr="009E73C4" w14:paraId="442D93A3" w14:textId="77777777" w:rsidTr="00AE3C5A">
        <w:trPr>
          <w:trHeight w:val="20"/>
        </w:trPr>
        <w:tc>
          <w:tcPr>
            <w:tcW w:w="1774" w:type="dxa"/>
            <w:shd w:val="clear" w:color="auto" w:fill="auto"/>
            <w:noWrap/>
            <w:vAlign w:val="center"/>
          </w:tcPr>
          <w:p w14:paraId="363ABA28" w14:textId="77777777" w:rsidR="0001778C" w:rsidRPr="009E73C4" w:rsidRDefault="0001778C" w:rsidP="00AE3C5A">
            <w:pPr>
              <w:rPr>
                <w:rFonts w:ascii="Calibri" w:eastAsia="Times New Roman" w:hAnsi="Calibri" w:cs="Calibri"/>
                <w:sz w:val="18"/>
                <w:szCs w:val="18"/>
                <w:lang w:eastAsia="es-EC"/>
              </w:rPr>
            </w:pPr>
          </w:p>
        </w:tc>
        <w:tc>
          <w:tcPr>
            <w:tcW w:w="2054" w:type="dxa"/>
            <w:tcBorders>
              <w:top w:val="single" w:sz="4" w:space="0" w:color="auto"/>
              <w:left w:val="nil"/>
              <w:bottom w:val="single" w:sz="4" w:space="0" w:color="auto"/>
              <w:right w:val="single" w:sz="4" w:space="0" w:color="auto"/>
            </w:tcBorders>
            <w:shd w:val="clear" w:color="auto" w:fill="auto"/>
            <w:vAlign w:val="center"/>
          </w:tcPr>
          <w:p w14:paraId="06045AA4" w14:textId="2792DDF4" w:rsidR="0001778C" w:rsidRPr="009E73C4" w:rsidRDefault="0001778C" w:rsidP="00AE3C5A">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tratamiento biológico, físico-químico y algunas formas de reciclaje especializado.</w:t>
            </w:r>
            <w:r w:rsidRPr="009E73C4">
              <w:rPr>
                <w:rFonts w:ascii="Arial Narrow" w:eastAsia="Times New Roman" w:hAnsi="Arial Narrow" w:cs="Calibri"/>
                <w:color w:val="000000"/>
                <w:sz w:val="18"/>
                <w:szCs w:val="18"/>
                <w:lang w:val="es-EC" w:eastAsia="es-EC"/>
              </w:rPr>
              <w:br/>
              <w:t xml:space="preserve">Residuos de producción </w:t>
            </w:r>
            <w:r w:rsidR="00A35002">
              <w:rPr>
                <w:rFonts w:ascii="Arial Narrow" w:eastAsia="Times New Roman" w:hAnsi="Arial Narrow" w:cs="Calibri"/>
                <w:color w:val="000000"/>
                <w:sz w:val="18"/>
                <w:szCs w:val="18"/>
                <w:lang w:val="es-EC" w:eastAsia="es-EC"/>
              </w:rPr>
              <w:t>rural</w:t>
            </w:r>
            <w:r w:rsidRPr="009E73C4">
              <w:rPr>
                <w:rFonts w:ascii="Arial Narrow" w:eastAsia="Times New Roman" w:hAnsi="Arial Narrow" w:cs="Calibri"/>
                <w:color w:val="000000"/>
                <w:sz w:val="18"/>
                <w:szCs w:val="18"/>
                <w:lang w:val="es-EC" w:eastAsia="es-EC"/>
              </w:rPr>
              <w:t xml:space="preserve"> con niveles moderados de pesticidas.</w:t>
            </w:r>
            <w:r w:rsidRPr="009E73C4">
              <w:rPr>
                <w:rFonts w:ascii="Arial Narrow" w:eastAsia="Times New Roman" w:hAnsi="Arial Narrow" w:cs="Calibri"/>
                <w:color w:val="000000"/>
                <w:sz w:val="18"/>
                <w:szCs w:val="18"/>
                <w:lang w:val="es-EC" w:eastAsia="es-EC"/>
              </w:rPr>
              <w:br/>
              <w:t>Residuos electrónicos que contienen pequeñas cantidades de metales pesados.</w:t>
            </w:r>
          </w:p>
        </w:tc>
        <w:tc>
          <w:tcPr>
            <w:tcW w:w="1984" w:type="dxa"/>
            <w:tcBorders>
              <w:top w:val="nil"/>
              <w:left w:val="nil"/>
              <w:bottom w:val="single" w:sz="4" w:space="0" w:color="auto"/>
              <w:right w:val="single" w:sz="4" w:space="0" w:color="auto"/>
            </w:tcBorders>
            <w:shd w:val="clear" w:color="auto" w:fill="auto"/>
            <w:noWrap/>
            <w:vAlign w:val="center"/>
          </w:tcPr>
          <w:p w14:paraId="7015EB57" w14:textId="77777777" w:rsidR="0001778C" w:rsidRPr="009E73C4" w:rsidRDefault="0001778C" w:rsidP="00AE3C5A">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Residuos industriales que contienen pequeñas cantidades de sustancias químicas peligrosas.</w:t>
            </w:r>
            <w:r w:rsidRPr="009E73C4">
              <w:rPr>
                <w:rFonts w:ascii="Arial Narrow" w:eastAsia="Times New Roman" w:hAnsi="Arial Narrow" w:cs="Calibri"/>
                <w:color w:val="000000"/>
                <w:sz w:val="18"/>
                <w:szCs w:val="18"/>
                <w:lang w:val="es-EC" w:eastAsia="es-EC"/>
              </w:rPr>
              <w:br/>
              <w:t>Residuos de laboratorios que no son extremadamente tóxicos.</w:t>
            </w:r>
          </w:p>
        </w:tc>
        <w:tc>
          <w:tcPr>
            <w:tcW w:w="2158" w:type="dxa"/>
            <w:tcBorders>
              <w:top w:val="nil"/>
              <w:left w:val="nil"/>
              <w:bottom w:val="single" w:sz="4" w:space="0" w:color="auto"/>
              <w:right w:val="single" w:sz="4" w:space="0" w:color="auto"/>
            </w:tcBorders>
            <w:shd w:val="clear" w:color="auto" w:fill="auto"/>
            <w:noWrap/>
            <w:vAlign w:val="center"/>
          </w:tcPr>
          <w:p w14:paraId="13F2576D" w14:textId="77777777" w:rsidR="0001778C" w:rsidRPr="009E73C4" w:rsidRDefault="0001778C" w:rsidP="00AE3C5A">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Reciclaje</w:t>
            </w:r>
          </w:p>
        </w:tc>
        <w:tc>
          <w:tcPr>
            <w:tcW w:w="1988" w:type="dxa"/>
            <w:tcBorders>
              <w:top w:val="nil"/>
              <w:left w:val="nil"/>
              <w:bottom w:val="single" w:sz="4" w:space="0" w:color="auto"/>
              <w:right w:val="single" w:sz="4" w:space="0" w:color="auto"/>
            </w:tcBorders>
            <w:shd w:val="clear" w:color="auto" w:fill="auto"/>
            <w:noWrap/>
            <w:vAlign w:val="center"/>
          </w:tcPr>
          <w:p w14:paraId="5310BCF3" w14:textId="34304864" w:rsidR="0001778C" w:rsidRPr="009E73C4" w:rsidRDefault="00A35002" w:rsidP="00AE3C5A">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01778C" w:rsidRPr="009E73C4">
              <w:rPr>
                <w:rFonts w:ascii="Arial Narrow" w:eastAsia="Times New Roman" w:hAnsi="Arial Narrow" w:cs="Calibri"/>
                <w:color w:val="000000"/>
                <w:sz w:val="18"/>
                <w:szCs w:val="18"/>
                <w:lang w:val="es-EC" w:eastAsia="es-EC"/>
              </w:rPr>
              <w:t xml:space="preserve"> y pecuario</w:t>
            </w:r>
            <w:r w:rsidR="0001778C" w:rsidRPr="009E73C4">
              <w:rPr>
                <w:rFonts w:ascii="Arial Narrow" w:eastAsia="Times New Roman" w:hAnsi="Arial Narrow" w:cs="Calibri"/>
                <w:color w:val="000000"/>
                <w:sz w:val="18"/>
                <w:szCs w:val="18"/>
                <w:lang w:val="es-EC" w:eastAsia="es-EC"/>
              </w:rPr>
              <w:br/>
              <w:t>Vivienda</w:t>
            </w:r>
          </w:p>
        </w:tc>
      </w:tr>
      <w:tr w:rsidR="0001778C" w:rsidRPr="009E73C4" w14:paraId="5C504B4A" w14:textId="77777777" w:rsidTr="00AE3C5A">
        <w:trPr>
          <w:trHeight w:val="20"/>
        </w:trPr>
        <w:tc>
          <w:tcPr>
            <w:tcW w:w="9958" w:type="dxa"/>
            <w:gridSpan w:val="5"/>
            <w:shd w:val="clear" w:color="auto" w:fill="FBD4B4" w:themeFill="accent6" w:themeFillTint="66"/>
            <w:noWrap/>
            <w:vAlign w:val="center"/>
            <w:hideMark/>
          </w:tcPr>
          <w:p w14:paraId="2385BA7E"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01778C" w:rsidRPr="009E73C4" w14:paraId="4E8AB161" w14:textId="77777777" w:rsidTr="00AE3C5A">
        <w:trPr>
          <w:trHeight w:val="20"/>
        </w:trPr>
        <w:tc>
          <w:tcPr>
            <w:tcW w:w="1774" w:type="dxa"/>
            <w:shd w:val="clear" w:color="auto" w:fill="auto"/>
            <w:noWrap/>
            <w:vAlign w:val="center"/>
            <w:hideMark/>
          </w:tcPr>
          <w:p w14:paraId="0F6535B8"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184" w:type="dxa"/>
            <w:gridSpan w:val="4"/>
            <w:shd w:val="clear" w:color="auto" w:fill="auto"/>
            <w:vAlign w:val="center"/>
          </w:tcPr>
          <w:p w14:paraId="38CA9389" w14:textId="77777777" w:rsidR="0001778C" w:rsidRPr="006726C1" w:rsidRDefault="0001778C" w:rsidP="00AE3C5A">
            <w:pPr>
              <w:rPr>
                <w:rFonts w:ascii="Arial" w:hAnsi="Arial"/>
                <w:sz w:val="18"/>
                <w:szCs w:val="18"/>
              </w:rPr>
            </w:pPr>
            <w:r w:rsidRPr="006726C1">
              <w:rPr>
                <w:rFonts w:ascii="Arial" w:hAnsi="Arial"/>
                <w:sz w:val="18"/>
                <w:szCs w:val="18"/>
              </w:rPr>
              <w:t>Lote mínimo 3,00 ha</w:t>
            </w:r>
          </w:p>
        </w:tc>
      </w:tr>
      <w:tr w:rsidR="0001778C" w:rsidRPr="009E73C4" w14:paraId="75C7E7C9" w14:textId="77777777" w:rsidTr="00AE3C5A">
        <w:trPr>
          <w:trHeight w:val="20"/>
        </w:trPr>
        <w:tc>
          <w:tcPr>
            <w:tcW w:w="1774" w:type="dxa"/>
            <w:shd w:val="clear" w:color="auto" w:fill="auto"/>
            <w:noWrap/>
            <w:vAlign w:val="center"/>
            <w:hideMark/>
          </w:tcPr>
          <w:p w14:paraId="39C3C26F"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184" w:type="dxa"/>
            <w:gridSpan w:val="4"/>
            <w:shd w:val="clear" w:color="auto" w:fill="auto"/>
          </w:tcPr>
          <w:p w14:paraId="26070141"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01778C" w:rsidRPr="009E73C4" w14:paraId="184D8F79" w14:textId="77777777" w:rsidTr="00AE3C5A">
        <w:trPr>
          <w:trHeight w:val="20"/>
        </w:trPr>
        <w:tc>
          <w:tcPr>
            <w:tcW w:w="1774" w:type="dxa"/>
            <w:shd w:val="clear" w:color="auto" w:fill="auto"/>
            <w:noWrap/>
            <w:vAlign w:val="center"/>
            <w:hideMark/>
          </w:tcPr>
          <w:p w14:paraId="11140DAC"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184" w:type="dxa"/>
            <w:gridSpan w:val="4"/>
            <w:shd w:val="clear" w:color="auto" w:fill="auto"/>
          </w:tcPr>
          <w:p w14:paraId="495D3881"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bl>
    <w:p w14:paraId="67DC1961" w14:textId="77777777" w:rsidR="0001778C" w:rsidRDefault="0001778C" w:rsidP="0001778C">
      <w:pPr>
        <w:rPr>
          <w:lang w:val="es-EC" w:eastAsia="es-EC"/>
        </w:rPr>
      </w:pPr>
    </w:p>
    <w:p w14:paraId="146E64E8" w14:textId="77777777" w:rsidR="0001778C" w:rsidRPr="0001778C" w:rsidRDefault="0001778C" w:rsidP="0001778C">
      <w:pPr>
        <w:rPr>
          <w:lang w:val="es-EC" w:eastAsia="es-EC"/>
        </w:rPr>
      </w:pPr>
    </w:p>
    <w:p w14:paraId="7CFF4ED3" w14:textId="77777777" w:rsidR="00737C5B" w:rsidRDefault="00737C5B" w:rsidP="00737C5B">
      <w:pPr>
        <w:pStyle w:val="Descripcin"/>
        <w:rPr>
          <w:rFonts w:cstheme="majorHAnsi"/>
          <w:sz w:val="18"/>
        </w:rPr>
      </w:pPr>
    </w:p>
    <w:p w14:paraId="3A8A2253" w14:textId="77777777" w:rsidR="0001778C" w:rsidRPr="0001778C" w:rsidRDefault="0001778C" w:rsidP="0001778C"/>
    <w:p w14:paraId="45EE37D4" w14:textId="2231EB76" w:rsidR="00737C5B" w:rsidRDefault="00737C5B" w:rsidP="00737C5B">
      <w:pPr>
        <w:pStyle w:val="Descripcin"/>
        <w:rPr>
          <w:rFonts w:ascii="Arial Narrow" w:eastAsia="Times New Roman" w:hAnsi="Arial Narrow" w:cs="Calibri"/>
          <w:color w:val="000000"/>
          <w:sz w:val="18"/>
          <w:lang w:val="es-EC" w:eastAsia="es-EC"/>
        </w:rPr>
      </w:pPr>
      <w:r w:rsidRPr="009E73C4">
        <w:rPr>
          <w:rFonts w:cstheme="majorHAnsi"/>
          <w:sz w:val="18"/>
        </w:rPr>
        <w:lastRenderedPageBreak/>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16</w:t>
      </w:r>
      <w:r w:rsidRPr="009E73C4">
        <w:rPr>
          <w:rFonts w:cstheme="majorHAnsi"/>
          <w:noProof/>
          <w:sz w:val="18"/>
        </w:rPr>
        <w:fldChar w:fldCharType="end"/>
      </w:r>
      <w:r w:rsidRPr="009E73C4">
        <w:rPr>
          <w:rFonts w:cstheme="majorHAnsi"/>
          <w:sz w:val="18"/>
        </w:rPr>
        <w:t xml:space="preserve">. Ficha para el PIT 6m - </w:t>
      </w:r>
      <w:r w:rsidRPr="009E73C4">
        <w:rPr>
          <w:rFonts w:ascii="Arial Narrow" w:eastAsia="Times New Roman" w:hAnsi="Arial Narrow" w:cs="Calibri"/>
          <w:color w:val="000000"/>
          <w:sz w:val="18"/>
          <w:lang w:val="es-EC" w:eastAsia="es-EC"/>
        </w:rPr>
        <w:t xml:space="preserve">Industrial y Gestión Residuos </w:t>
      </w:r>
      <w:r w:rsidR="0001778C">
        <w:rPr>
          <w:rFonts w:ascii="Arial Narrow" w:eastAsia="Times New Roman" w:hAnsi="Arial Narrow" w:cs="Calibri"/>
          <w:color w:val="000000"/>
          <w:sz w:val="18"/>
          <w:lang w:val="es-EC" w:eastAsia="es-EC"/>
        </w:rPr>
        <w:t>Bajo</w:t>
      </w:r>
      <w:r w:rsidRPr="009E73C4">
        <w:rPr>
          <w:rFonts w:ascii="Arial Narrow" w:eastAsia="Times New Roman" w:hAnsi="Arial Narrow" w:cs="Calibri"/>
          <w:color w:val="000000"/>
          <w:sz w:val="18"/>
          <w:lang w:val="es-EC" w:eastAsia="es-EC"/>
        </w:rPr>
        <w:t xml:space="preserve"> impacto</w:t>
      </w:r>
    </w:p>
    <w:tbl>
      <w:tblPr>
        <w:tblW w:w="995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054"/>
        <w:gridCol w:w="1984"/>
        <w:gridCol w:w="2158"/>
        <w:gridCol w:w="1988"/>
      </w:tblGrid>
      <w:tr w:rsidR="0001778C" w:rsidRPr="009E73C4" w14:paraId="4344370F" w14:textId="77777777" w:rsidTr="00AE3C5A">
        <w:trPr>
          <w:trHeight w:val="20"/>
        </w:trPr>
        <w:tc>
          <w:tcPr>
            <w:tcW w:w="9958" w:type="dxa"/>
            <w:gridSpan w:val="5"/>
            <w:shd w:val="clear" w:color="auto" w:fill="FBD4B4" w:themeFill="accent6" w:themeFillTint="66"/>
            <w:noWrap/>
            <w:vAlign w:val="center"/>
            <w:hideMark/>
          </w:tcPr>
          <w:p w14:paraId="12D6533E"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cstheme="majorHAnsi"/>
                <w:sz w:val="18"/>
                <w:szCs w:val="18"/>
              </w:rPr>
              <w:t xml:space="preserve">PIT 6b - </w:t>
            </w:r>
            <w:r w:rsidRPr="009E73C4">
              <w:rPr>
                <w:rFonts w:ascii="Times New Roman" w:eastAsia="Times New Roman" w:hAnsi="Times New Roman" w:cs="Times New Roman"/>
                <w:color w:val="000000"/>
                <w:sz w:val="18"/>
                <w:szCs w:val="18"/>
                <w:lang w:val="es-EC" w:eastAsia="es-EC"/>
              </w:rPr>
              <w:t>Industrial y Gestión residuos Bajo Impacto</w:t>
            </w:r>
          </w:p>
        </w:tc>
      </w:tr>
      <w:tr w:rsidR="0001778C" w:rsidRPr="009E73C4" w14:paraId="7CE33274" w14:textId="77777777" w:rsidTr="00AE3C5A">
        <w:trPr>
          <w:trHeight w:val="20"/>
        </w:trPr>
        <w:tc>
          <w:tcPr>
            <w:tcW w:w="1774" w:type="dxa"/>
            <w:shd w:val="clear" w:color="auto" w:fill="auto"/>
            <w:noWrap/>
            <w:vAlign w:val="center"/>
            <w:hideMark/>
          </w:tcPr>
          <w:p w14:paraId="2B010382"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4038" w:type="dxa"/>
            <w:gridSpan w:val="2"/>
            <w:shd w:val="clear" w:color="auto" w:fill="auto"/>
            <w:vAlign w:val="center"/>
            <w:hideMark/>
          </w:tcPr>
          <w:p w14:paraId="60F04986"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7D417577"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Superficie (ha)</w:t>
            </w:r>
          </w:p>
        </w:tc>
        <w:tc>
          <w:tcPr>
            <w:tcW w:w="1988" w:type="dxa"/>
            <w:shd w:val="clear" w:color="auto" w:fill="auto"/>
            <w:noWrap/>
            <w:vAlign w:val="center"/>
            <w:hideMark/>
          </w:tcPr>
          <w:p w14:paraId="534443A0"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01778C" w:rsidRPr="009E73C4" w14:paraId="08A4E2BA" w14:textId="77777777" w:rsidTr="00AE3C5A">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38A79"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PIT6b-IGR_B</w:t>
            </w:r>
          </w:p>
        </w:tc>
        <w:tc>
          <w:tcPr>
            <w:tcW w:w="40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40107"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Industrial y Gestión residuos Bajo Impacto</w:t>
            </w:r>
          </w:p>
        </w:tc>
        <w:tc>
          <w:tcPr>
            <w:tcW w:w="2158" w:type="dxa"/>
            <w:tcBorders>
              <w:top w:val="single" w:sz="4" w:space="0" w:color="auto"/>
              <w:left w:val="nil"/>
              <w:bottom w:val="single" w:sz="4" w:space="0" w:color="auto"/>
              <w:right w:val="single" w:sz="4" w:space="0" w:color="auto"/>
            </w:tcBorders>
            <w:shd w:val="clear" w:color="auto" w:fill="auto"/>
            <w:vAlign w:val="center"/>
          </w:tcPr>
          <w:p w14:paraId="07981E72" w14:textId="77777777" w:rsidR="0001778C" w:rsidRPr="0099658C" w:rsidRDefault="0001778C" w:rsidP="00AE3C5A">
            <w:pPr>
              <w:jc w:val="center"/>
              <w:rPr>
                <w:rFonts w:ascii="Calibri" w:eastAsia="Times New Roman" w:hAnsi="Calibri" w:cs="Calibri"/>
                <w:sz w:val="18"/>
                <w:szCs w:val="18"/>
                <w:lang w:eastAsia="es-EC"/>
              </w:rPr>
            </w:pPr>
            <w:r w:rsidRPr="0099658C">
              <w:rPr>
                <w:rFonts w:ascii="Times New Roman" w:eastAsia="Times New Roman" w:hAnsi="Times New Roman" w:cs="Times New Roman"/>
                <w:sz w:val="18"/>
                <w:szCs w:val="18"/>
                <w:lang w:val="es-EC" w:eastAsia="es-EC"/>
              </w:rPr>
              <w:t>84.66</w:t>
            </w:r>
          </w:p>
        </w:tc>
        <w:tc>
          <w:tcPr>
            <w:tcW w:w="1988" w:type="dxa"/>
            <w:tcBorders>
              <w:top w:val="single" w:sz="4" w:space="0" w:color="auto"/>
              <w:left w:val="nil"/>
              <w:bottom w:val="single" w:sz="4" w:space="0" w:color="auto"/>
              <w:right w:val="single" w:sz="4" w:space="0" w:color="auto"/>
            </w:tcBorders>
            <w:shd w:val="clear" w:color="auto" w:fill="auto"/>
            <w:noWrap/>
            <w:vAlign w:val="center"/>
          </w:tcPr>
          <w:p w14:paraId="71D4B807" w14:textId="77777777" w:rsidR="0001778C" w:rsidRPr="009E73C4" w:rsidRDefault="0001778C" w:rsidP="00AE3C5A">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0,07%</w:t>
            </w:r>
          </w:p>
        </w:tc>
      </w:tr>
      <w:tr w:rsidR="0001778C" w:rsidRPr="009E73C4" w14:paraId="4C08EF5B" w14:textId="77777777" w:rsidTr="00AE3C5A">
        <w:trPr>
          <w:trHeight w:val="20"/>
        </w:trPr>
        <w:tc>
          <w:tcPr>
            <w:tcW w:w="9958" w:type="dxa"/>
            <w:gridSpan w:val="5"/>
            <w:shd w:val="clear" w:color="auto" w:fill="auto"/>
            <w:noWrap/>
            <w:vAlign w:val="center"/>
          </w:tcPr>
          <w:p w14:paraId="389AA88D" w14:textId="77777777" w:rsidR="0001778C" w:rsidRPr="009E73C4" w:rsidRDefault="0001778C" w:rsidP="00AE3C5A">
            <w:pPr>
              <w:jc w:val="center"/>
              <w:rPr>
                <w:rFonts w:ascii="Calibri" w:eastAsia="Times New Roman" w:hAnsi="Calibri" w:cs="Calibri"/>
                <w:color w:val="000000"/>
                <w:sz w:val="18"/>
                <w:szCs w:val="18"/>
                <w:lang w:eastAsia="es-EC"/>
              </w:rPr>
            </w:pPr>
          </w:p>
          <w:p w14:paraId="2040FECB" w14:textId="77777777" w:rsidR="0001778C" w:rsidRPr="009E73C4" w:rsidRDefault="0001778C" w:rsidP="00AE3C5A">
            <w:pPr>
              <w:jc w:val="center"/>
              <w:rPr>
                <w:rFonts w:ascii="Calibri" w:eastAsia="Times New Roman" w:hAnsi="Calibri" w:cs="Calibri"/>
                <w:color w:val="000000"/>
                <w:sz w:val="18"/>
                <w:szCs w:val="18"/>
                <w:lang w:eastAsia="es-EC"/>
              </w:rPr>
            </w:pPr>
            <w:r>
              <w:rPr>
                <w:noProof/>
              </w:rPr>
              <w:drawing>
                <wp:inline distT="0" distB="0" distL="0" distR="0" wp14:anchorId="02A1B54D" wp14:editId="10B4F6CF">
                  <wp:extent cx="4706193" cy="3330000"/>
                  <wp:effectExtent l="0" t="0" r="0" b="3810"/>
                  <wp:docPr id="21155916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6193" cy="3330000"/>
                          </a:xfrm>
                          <a:prstGeom prst="rect">
                            <a:avLst/>
                          </a:prstGeom>
                          <a:noFill/>
                          <a:ln>
                            <a:noFill/>
                          </a:ln>
                        </pic:spPr>
                      </pic:pic>
                    </a:graphicData>
                  </a:graphic>
                </wp:inline>
              </w:drawing>
            </w:r>
          </w:p>
          <w:p w14:paraId="787B75DA" w14:textId="77777777" w:rsidR="0001778C" w:rsidRPr="009E73C4" w:rsidRDefault="0001778C" w:rsidP="00AE3C5A">
            <w:pPr>
              <w:rPr>
                <w:rFonts w:ascii="Calibri" w:eastAsia="Times New Roman" w:hAnsi="Calibri" w:cs="Calibri"/>
                <w:b/>
                <w:bCs/>
                <w:color w:val="000000"/>
                <w:sz w:val="18"/>
                <w:szCs w:val="18"/>
                <w:lang w:eastAsia="es-EC"/>
              </w:rPr>
            </w:pPr>
          </w:p>
          <w:p w14:paraId="336530AB" w14:textId="77777777" w:rsidR="0001778C" w:rsidRPr="009E73C4" w:rsidRDefault="0001778C" w:rsidP="00AE3C5A">
            <w:pPr>
              <w:rPr>
                <w:rFonts w:ascii="Calibri" w:eastAsia="Times New Roman" w:hAnsi="Calibri" w:cs="Calibri"/>
                <w:color w:val="000000"/>
                <w:sz w:val="18"/>
                <w:szCs w:val="18"/>
                <w:lang w:eastAsia="es-EC"/>
              </w:rPr>
            </w:pPr>
          </w:p>
        </w:tc>
      </w:tr>
      <w:tr w:rsidR="0001778C" w:rsidRPr="009E73C4" w14:paraId="7DE6A526" w14:textId="77777777" w:rsidTr="00AE3C5A">
        <w:trPr>
          <w:trHeight w:val="20"/>
        </w:trPr>
        <w:tc>
          <w:tcPr>
            <w:tcW w:w="9958" w:type="dxa"/>
            <w:gridSpan w:val="5"/>
            <w:shd w:val="clear" w:color="auto" w:fill="FBD4B4" w:themeFill="accent6" w:themeFillTint="66"/>
            <w:vAlign w:val="center"/>
            <w:hideMark/>
          </w:tcPr>
          <w:p w14:paraId="0DD34ABB"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01778C" w:rsidRPr="009E73C4" w14:paraId="70B9DD19" w14:textId="77777777" w:rsidTr="00AE3C5A">
        <w:trPr>
          <w:trHeight w:val="276"/>
        </w:trPr>
        <w:tc>
          <w:tcPr>
            <w:tcW w:w="9958" w:type="dxa"/>
            <w:gridSpan w:val="5"/>
            <w:vMerge w:val="restart"/>
            <w:shd w:val="clear" w:color="auto" w:fill="auto"/>
            <w:vAlign w:val="center"/>
            <w:hideMark/>
          </w:tcPr>
          <w:p w14:paraId="145A8C02"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 xml:space="preserve">Mitigación.- </w:t>
            </w:r>
            <w:r w:rsidRPr="009E73C4">
              <w:rPr>
                <w:rFonts w:ascii="Times New Roman" w:hAnsi="Times New Roman" w:cs="Times New Roman"/>
                <w:sz w:val="18"/>
                <w:szCs w:val="18"/>
                <w:lang w:val="es-EC"/>
              </w:rPr>
              <w:t>Se aplica a aquellas zonas de suelo rural de aprovechamiento extractivo donde se deben establecer medidas preventivas para minimizar los impactos generados por la intervención que se desarrollará, según lo establecido en la legislación ambiental</w:t>
            </w:r>
          </w:p>
        </w:tc>
      </w:tr>
      <w:tr w:rsidR="0001778C" w:rsidRPr="009E73C4" w14:paraId="096DCC8B" w14:textId="77777777" w:rsidTr="00AE3C5A">
        <w:trPr>
          <w:trHeight w:val="276"/>
        </w:trPr>
        <w:tc>
          <w:tcPr>
            <w:tcW w:w="9958" w:type="dxa"/>
            <w:gridSpan w:val="5"/>
            <w:vMerge/>
            <w:vAlign w:val="center"/>
            <w:hideMark/>
          </w:tcPr>
          <w:p w14:paraId="25640703" w14:textId="77777777" w:rsidR="0001778C" w:rsidRPr="009E73C4" w:rsidRDefault="0001778C" w:rsidP="00AE3C5A">
            <w:pPr>
              <w:rPr>
                <w:rFonts w:ascii="Calibri" w:eastAsia="Times New Roman" w:hAnsi="Calibri" w:cs="Calibri"/>
                <w:color w:val="000000"/>
                <w:sz w:val="18"/>
                <w:szCs w:val="18"/>
                <w:lang w:eastAsia="es-EC"/>
              </w:rPr>
            </w:pPr>
          </w:p>
        </w:tc>
      </w:tr>
      <w:tr w:rsidR="0001778C" w:rsidRPr="009E73C4" w14:paraId="1C40ED5D" w14:textId="77777777" w:rsidTr="00AE3C5A">
        <w:trPr>
          <w:trHeight w:val="20"/>
        </w:trPr>
        <w:tc>
          <w:tcPr>
            <w:tcW w:w="9958" w:type="dxa"/>
            <w:gridSpan w:val="5"/>
            <w:shd w:val="clear" w:color="auto" w:fill="FBD4B4" w:themeFill="accent6" w:themeFillTint="66"/>
            <w:noWrap/>
            <w:vAlign w:val="center"/>
            <w:hideMark/>
          </w:tcPr>
          <w:p w14:paraId="544CAACA"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01778C" w:rsidRPr="009E73C4" w14:paraId="3556EC45" w14:textId="77777777" w:rsidTr="00AE3C5A">
        <w:trPr>
          <w:trHeight w:val="20"/>
        </w:trPr>
        <w:tc>
          <w:tcPr>
            <w:tcW w:w="1774" w:type="dxa"/>
            <w:shd w:val="clear" w:color="auto" w:fill="FBD4B4" w:themeFill="accent6" w:themeFillTint="66"/>
            <w:noWrap/>
            <w:vAlign w:val="center"/>
            <w:hideMark/>
          </w:tcPr>
          <w:p w14:paraId="01DEC46F" w14:textId="77777777" w:rsidR="0001778C" w:rsidRPr="009E73C4" w:rsidRDefault="0001778C" w:rsidP="00AE3C5A">
            <w:pPr>
              <w:rPr>
                <w:rFonts w:ascii="Calibri" w:eastAsia="Times New Roman" w:hAnsi="Calibri" w:cs="Calibri"/>
                <w:b/>
                <w:bCs/>
                <w:color w:val="000000"/>
                <w:sz w:val="18"/>
                <w:szCs w:val="18"/>
                <w:lang w:eastAsia="es-EC"/>
              </w:rPr>
            </w:pPr>
          </w:p>
        </w:tc>
        <w:tc>
          <w:tcPr>
            <w:tcW w:w="2054" w:type="dxa"/>
            <w:shd w:val="clear" w:color="auto" w:fill="FBD4B4" w:themeFill="accent6" w:themeFillTint="66"/>
            <w:vAlign w:val="center"/>
            <w:hideMark/>
          </w:tcPr>
          <w:p w14:paraId="5A2279EA"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77ABEA90"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19527E04"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988" w:type="dxa"/>
            <w:shd w:val="clear" w:color="auto" w:fill="FBD4B4" w:themeFill="accent6" w:themeFillTint="66"/>
            <w:noWrap/>
            <w:vAlign w:val="center"/>
            <w:hideMark/>
          </w:tcPr>
          <w:p w14:paraId="0CB921EB"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01778C" w:rsidRPr="009E73C4" w14:paraId="3EA7BDD9" w14:textId="77777777" w:rsidTr="00AE3C5A">
        <w:trPr>
          <w:trHeight w:val="20"/>
        </w:trPr>
        <w:tc>
          <w:tcPr>
            <w:tcW w:w="1774" w:type="dxa"/>
            <w:shd w:val="clear" w:color="auto" w:fill="auto"/>
            <w:noWrap/>
            <w:vAlign w:val="center"/>
          </w:tcPr>
          <w:p w14:paraId="62B2D9DF" w14:textId="77777777" w:rsidR="0001778C" w:rsidRPr="009E73C4" w:rsidRDefault="0001778C" w:rsidP="00AE3C5A">
            <w:pPr>
              <w:rPr>
                <w:rFonts w:ascii="Calibri" w:eastAsia="Times New Roman" w:hAnsi="Calibri" w:cs="Calibri"/>
                <w:sz w:val="18"/>
                <w:szCs w:val="18"/>
                <w:lang w:eastAsia="es-EC"/>
              </w:rPr>
            </w:pPr>
          </w:p>
        </w:tc>
        <w:tc>
          <w:tcPr>
            <w:tcW w:w="2054" w:type="dxa"/>
            <w:tcBorders>
              <w:top w:val="single" w:sz="4" w:space="0" w:color="auto"/>
              <w:left w:val="nil"/>
              <w:bottom w:val="single" w:sz="4" w:space="0" w:color="auto"/>
              <w:right w:val="single" w:sz="4" w:space="0" w:color="auto"/>
            </w:tcBorders>
            <w:shd w:val="clear" w:color="auto" w:fill="auto"/>
            <w:vAlign w:val="center"/>
          </w:tcPr>
          <w:p w14:paraId="025D32CE" w14:textId="77777777" w:rsidR="0001778C" w:rsidRPr="009E73C4" w:rsidRDefault="0001778C" w:rsidP="00AE3C5A">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Residuos orgánicos y de jardinería (para compostaje).</w:t>
            </w:r>
            <w:r w:rsidRPr="009E73C4">
              <w:rPr>
                <w:rFonts w:ascii="Arial Narrow" w:eastAsia="Times New Roman" w:hAnsi="Arial Narrow" w:cs="Calibri"/>
                <w:color w:val="000000"/>
                <w:sz w:val="18"/>
                <w:szCs w:val="18"/>
                <w:lang w:val="es-EC" w:eastAsia="es-EC"/>
              </w:rPr>
              <w:br/>
              <w:t>Residuos de construcción y demolición no peligrosos.</w:t>
            </w:r>
            <w:r w:rsidRPr="009E73C4">
              <w:rPr>
                <w:rFonts w:ascii="Arial Narrow" w:eastAsia="Times New Roman" w:hAnsi="Arial Narrow" w:cs="Calibri"/>
                <w:color w:val="000000"/>
                <w:sz w:val="18"/>
                <w:szCs w:val="18"/>
                <w:lang w:val="es-EC" w:eastAsia="es-EC"/>
              </w:rPr>
              <w:br/>
              <w:t>Residuos reciclables como papel, cartón, plástico y vidrio.</w:t>
            </w:r>
            <w:r w:rsidRPr="009E73C4">
              <w:rPr>
                <w:rFonts w:ascii="Arial Narrow" w:eastAsia="Times New Roman" w:hAnsi="Arial Narrow" w:cs="Calibri"/>
                <w:color w:val="000000"/>
                <w:sz w:val="18"/>
                <w:szCs w:val="18"/>
                <w:lang w:val="es-EC" w:eastAsia="es-EC"/>
              </w:rPr>
              <w:br/>
              <w:t>Residuos electrónicos que no contienen sustancias peligrosas.</w:t>
            </w:r>
          </w:p>
        </w:tc>
        <w:tc>
          <w:tcPr>
            <w:tcW w:w="1984" w:type="dxa"/>
            <w:tcBorders>
              <w:top w:val="nil"/>
              <w:left w:val="nil"/>
              <w:bottom w:val="single" w:sz="4" w:space="0" w:color="auto"/>
              <w:right w:val="single" w:sz="4" w:space="0" w:color="auto"/>
            </w:tcBorders>
            <w:shd w:val="clear" w:color="auto" w:fill="auto"/>
            <w:noWrap/>
            <w:vAlign w:val="center"/>
          </w:tcPr>
          <w:p w14:paraId="4C72C6CD" w14:textId="77777777" w:rsidR="0001778C" w:rsidRPr="009E73C4" w:rsidRDefault="0001778C" w:rsidP="00AE3C5A">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economía circular al facilitar el reciclaje y la reutilización de materiales (compostaje)</w:t>
            </w:r>
          </w:p>
        </w:tc>
        <w:tc>
          <w:tcPr>
            <w:tcW w:w="2158" w:type="dxa"/>
            <w:tcBorders>
              <w:top w:val="nil"/>
              <w:left w:val="nil"/>
              <w:bottom w:val="single" w:sz="4" w:space="0" w:color="auto"/>
              <w:right w:val="single" w:sz="4" w:space="0" w:color="auto"/>
            </w:tcBorders>
            <w:shd w:val="clear" w:color="auto" w:fill="auto"/>
            <w:noWrap/>
            <w:vAlign w:val="center"/>
          </w:tcPr>
          <w:p w14:paraId="6A4188A1" w14:textId="6C245361" w:rsidR="0001778C" w:rsidRPr="009E73C4" w:rsidRDefault="00A35002" w:rsidP="00AE3C5A">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01778C" w:rsidRPr="009E73C4">
              <w:rPr>
                <w:rFonts w:ascii="Arial Narrow" w:eastAsia="Times New Roman" w:hAnsi="Arial Narrow" w:cs="Calibri"/>
                <w:color w:val="000000"/>
                <w:sz w:val="18"/>
                <w:szCs w:val="18"/>
                <w:lang w:val="es-EC" w:eastAsia="es-EC"/>
              </w:rPr>
              <w:t xml:space="preserve"> y pecuario</w:t>
            </w:r>
          </w:p>
        </w:tc>
        <w:tc>
          <w:tcPr>
            <w:tcW w:w="1988" w:type="dxa"/>
            <w:tcBorders>
              <w:top w:val="nil"/>
              <w:left w:val="nil"/>
              <w:bottom w:val="single" w:sz="4" w:space="0" w:color="auto"/>
              <w:right w:val="single" w:sz="4" w:space="0" w:color="auto"/>
            </w:tcBorders>
            <w:shd w:val="clear" w:color="auto" w:fill="auto"/>
            <w:noWrap/>
            <w:vAlign w:val="center"/>
          </w:tcPr>
          <w:p w14:paraId="6F237761" w14:textId="77777777" w:rsidR="0001778C" w:rsidRPr="009E73C4" w:rsidRDefault="0001778C" w:rsidP="00AE3C5A">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Vivienda</w:t>
            </w:r>
          </w:p>
        </w:tc>
      </w:tr>
      <w:tr w:rsidR="0001778C" w:rsidRPr="009E73C4" w14:paraId="40B2B017" w14:textId="77777777" w:rsidTr="00AE3C5A">
        <w:trPr>
          <w:trHeight w:val="20"/>
        </w:trPr>
        <w:tc>
          <w:tcPr>
            <w:tcW w:w="9958" w:type="dxa"/>
            <w:gridSpan w:val="5"/>
            <w:shd w:val="clear" w:color="auto" w:fill="FBD4B4" w:themeFill="accent6" w:themeFillTint="66"/>
            <w:noWrap/>
            <w:vAlign w:val="center"/>
            <w:hideMark/>
          </w:tcPr>
          <w:p w14:paraId="442B002E" w14:textId="77777777" w:rsidR="0001778C" w:rsidRPr="009E73C4" w:rsidRDefault="0001778C" w:rsidP="00AE3C5A">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01778C" w:rsidRPr="009E73C4" w14:paraId="6C37A538" w14:textId="77777777" w:rsidTr="00AE3C5A">
        <w:trPr>
          <w:trHeight w:val="20"/>
        </w:trPr>
        <w:tc>
          <w:tcPr>
            <w:tcW w:w="1774" w:type="dxa"/>
            <w:shd w:val="clear" w:color="auto" w:fill="auto"/>
            <w:noWrap/>
            <w:vAlign w:val="center"/>
            <w:hideMark/>
          </w:tcPr>
          <w:p w14:paraId="221A31DB"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184" w:type="dxa"/>
            <w:gridSpan w:val="4"/>
            <w:shd w:val="clear" w:color="auto" w:fill="auto"/>
            <w:vAlign w:val="center"/>
          </w:tcPr>
          <w:p w14:paraId="61F76DAE" w14:textId="77777777" w:rsidR="0001778C" w:rsidRPr="005353BA" w:rsidRDefault="0001778C" w:rsidP="00AE3C5A">
            <w:pPr>
              <w:rPr>
                <w:rFonts w:ascii="Arial" w:hAnsi="Arial"/>
                <w:sz w:val="18"/>
                <w:szCs w:val="18"/>
              </w:rPr>
            </w:pPr>
            <w:r w:rsidRPr="005353BA">
              <w:rPr>
                <w:rFonts w:ascii="Arial" w:hAnsi="Arial"/>
                <w:sz w:val="18"/>
                <w:szCs w:val="18"/>
              </w:rPr>
              <w:t>Lote mínimo 1,00 ha</w:t>
            </w:r>
          </w:p>
        </w:tc>
      </w:tr>
      <w:tr w:rsidR="0001778C" w:rsidRPr="009E73C4" w14:paraId="48BC15F2" w14:textId="77777777" w:rsidTr="00AE3C5A">
        <w:trPr>
          <w:trHeight w:val="20"/>
        </w:trPr>
        <w:tc>
          <w:tcPr>
            <w:tcW w:w="1774" w:type="dxa"/>
            <w:shd w:val="clear" w:color="auto" w:fill="auto"/>
            <w:noWrap/>
            <w:vAlign w:val="center"/>
            <w:hideMark/>
          </w:tcPr>
          <w:p w14:paraId="2DCA3C99"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184" w:type="dxa"/>
            <w:gridSpan w:val="4"/>
            <w:shd w:val="clear" w:color="auto" w:fill="auto"/>
          </w:tcPr>
          <w:p w14:paraId="428378BF"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01778C" w:rsidRPr="009E73C4" w14:paraId="69E49E81" w14:textId="77777777" w:rsidTr="00AE3C5A">
        <w:trPr>
          <w:trHeight w:val="20"/>
        </w:trPr>
        <w:tc>
          <w:tcPr>
            <w:tcW w:w="1774" w:type="dxa"/>
            <w:shd w:val="clear" w:color="auto" w:fill="auto"/>
            <w:noWrap/>
            <w:vAlign w:val="center"/>
            <w:hideMark/>
          </w:tcPr>
          <w:p w14:paraId="72A2C798"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184" w:type="dxa"/>
            <w:gridSpan w:val="4"/>
            <w:shd w:val="clear" w:color="auto" w:fill="auto"/>
          </w:tcPr>
          <w:p w14:paraId="69CFF486" w14:textId="77777777" w:rsidR="0001778C" w:rsidRPr="009E73C4" w:rsidRDefault="0001778C" w:rsidP="00AE3C5A">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bl>
    <w:p w14:paraId="699BA358" w14:textId="77777777" w:rsidR="0001778C" w:rsidRPr="0001778C" w:rsidRDefault="0001778C" w:rsidP="0001778C">
      <w:pPr>
        <w:rPr>
          <w:lang w:val="es-EC" w:eastAsia="es-EC"/>
        </w:rPr>
      </w:pPr>
    </w:p>
    <w:p w14:paraId="5198BD98" w14:textId="77777777" w:rsidR="00737C5B" w:rsidRPr="009E73C4" w:rsidRDefault="00737C5B" w:rsidP="00737C5B">
      <w:pPr>
        <w:pStyle w:val="Descripcin"/>
        <w:rPr>
          <w:rFonts w:cstheme="majorHAnsi"/>
          <w:sz w:val="18"/>
        </w:rPr>
      </w:pPr>
      <w:bookmarkStart w:id="136" w:name="_Toc81085731"/>
    </w:p>
    <w:p w14:paraId="19CDC931" w14:textId="2DDDDAD9" w:rsidR="00737C5B" w:rsidRPr="009E73C4" w:rsidRDefault="00737C5B" w:rsidP="00737C5B">
      <w:pPr>
        <w:pStyle w:val="Descripcin"/>
        <w:rPr>
          <w:rFonts w:cstheme="majorHAnsi"/>
          <w:sz w:val="18"/>
        </w:rPr>
      </w:pPr>
      <w:r w:rsidRPr="009E73C4">
        <w:rPr>
          <w:rFonts w:cstheme="majorHAnsi"/>
          <w:sz w:val="18"/>
        </w:rPr>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17</w:t>
      </w:r>
      <w:r w:rsidRPr="009E73C4">
        <w:rPr>
          <w:rFonts w:cstheme="majorHAnsi"/>
          <w:noProof/>
          <w:sz w:val="18"/>
        </w:rPr>
        <w:fldChar w:fldCharType="end"/>
      </w:r>
      <w:r w:rsidRPr="009E73C4">
        <w:rPr>
          <w:rFonts w:cstheme="majorHAnsi"/>
          <w:sz w:val="18"/>
        </w:rPr>
        <w:t xml:space="preserve">. Ficha para </w:t>
      </w:r>
      <w:bookmarkEnd w:id="136"/>
      <w:r w:rsidRPr="009E73C4">
        <w:rPr>
          <w:rFonts w:cstheme="majorHAnsi"/>
          <w:sz w:val="18"/>
        </w:rPr>
        <w:t xml:space="preserve">los PIT 7, 8 y 9 - </w:t>
      </w:r>
      <w:r w:rsidRPr="009E73C4">
        <w:rPr>
          <w:rFonts w:ascii="Times New Roman" w:eastAsia="Times New Roman" w:hAnsi="Times New Roman" w:cs="Times New Roman"/>
          <w:color w:val="000000"/>
          <w:sz w:val="18"/>
          <w:lang w:val="es-EC" w:eastAsia="es-EC"/>
        </w:rPr>
        <w:t>Recurso Estratégico Nacional Petróleo, Mineros No Metálicos y Nacional Electricidad</w:t>
      </w:r>
    </w:p>
    <w:tbl>
      <w:tblPr>
        <w:tblW w:w="99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6"/>
        <w:gridCol w:w="1751"/>
        <w:gridCol w:w="3645"/>
        <w:gridCol w:w="1580"/>
        <w:gridCol w:w="1609"/>
        <w:gridCol w:w="6"/>
      </w:tblGrid>
      <w:tr w:rsidR="00737C5B" w:rsidRPr="009E73C4" w14:paraId="35F66F50" w14:textId="77777777" w:rsidTr="009E73C4">
        <w:trPr>
          <w:trHeight w:val="20"/>
        </w:trPr>
        <w:tc>
          <w:tcPr>
            <w:tcW w:w="9957" w:type="dxa"/>
            <w:gridSpan w:val="6"/>
            <w:shd w:val="clear" w:color="auto" w:fill="FBD4B4" w:themeFill="accent6" w:themeFillTint="66"/>
            <w:noWrap/>
            <w:vAlign w:val="center"/>
            <w:hideMark/>
          </w:tcPr>
          <w:p w14:paraId="5FF0DA60" w14:textId="4A0A6393" w:rsidR="00737C5B" w:rsidRPr="009E73C4" w:rsidRDefault="00581E06"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 7, 8 y 9 - Recurso Estratégico Nacional Petróleo, Mineros No Metálicos y Nacional Electricidad</w:t>
            </w:r>
          </w:p>
        </w:tc>
      </w:tr>
      <w:tr w:rsidR="00737C5B" w:rsidRPr="009E73C4" w14:paraId="4662EFAD" w14:textId="77777777" w:rsidTr="009E73C4">
        <w:trPr>
          <w:gridAfter w:val="1"/>
          <w:wAfter w:w="6" w:type="dxa"/>
          <w:trHeight w:val="20"/>
        </w:trPr>
        <w:tc>
          <w:tcPr>
            <w:tcW w:w="1348" w:type="dxa"/>
            <w:shd w:val="clear" w:color="auto" w:fill="auto"/>
            <w:noWrap/>
            <w:vAlign w:val="center"/>
            <w:hideMark/>
          </w:tcPr>
          <w:p w14:paraId="4A19331E"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5414" w:type="dxa"/>
            <w:gridSpan w:val="2"/>
            <w:shd w:val="clear" w:color="auto" w:fill="auto"/>
            <w:vAlign w:val="center"/>
            <w:hideMark/>
          </w:tcPr>
          <w:p w14:paraId="43CAE4AF"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1580" w:type="dxa"/>
            <w:shd w:val="clear" w:color="auto" w:fill="auto"/>
            <w:noWrap/>
            <w:vAlign w:val="center"/>
            <w:hideMark/>
          </w:tcPr>
          <w:p w14:paraId="59B3DEC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w:t>
            </w:r>
          </w:p>
        </w:tc>
        <w:tc>
          <w:tcPr>
            <w:tcW w:w="1609" w:type="dxa"/>
            <w:shd w:val="clear" w:color="auto" w:fill="auto"/>
            <w:noWrap/>
            <w:vAlign w:val="center"/>
            <w:hideMark/>
          </w:tcPr>
          <w:p w14:paraId="64770E0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737C5B" w:rsidRPr="009E73C4" w14:paraId="311130F2" w14:textId="77777777" w:rsidTr="009E73C4">
        <w:trPr>
          <w:gridAfter w:val="1"/>
          <w:wAfter w:w="6" w:type="dxa"/>
          <w:trHeight w:val="20"/>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1895A"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PIT7-RENP</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F22CD"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Recurso Estratégico Nacional Petróleo</w:t>
            </w:r>
          </w:p>
        </w:tc>
        <w:tc>
          <w:tcPr>
            <w:tcW w:w="1580" w:type="dxa"/>
            <w:tcBorders>
              <w:top w:val="single" w:sz="4" w:space="0" w:color="auto"/>
              <w:left w:val="nil"/>
              <w:bottom w:val="single" w:sz="4" w:space="0" w:color="auto"/>
              <w:right w:val="single" w:sz="4" w:space="0" w:color="auto"/>
            </w:tcBorders>
            <w:shd w:val="clear" w:color="auto" w:fill="auto"/>
            <w:vAlign w:val="center"/>
          </w:tcPr>
          <w:p w14:paraId="34F6FBE6" w14:textId="60307BEF" w:rsidR="00737C5B" w:rsidRPr="006726C1" w:rsidRDefault="000A20F0" w:rsidP="00737C5B">
            <w:pPr>
              <w:jc w:val="center"/>
              <w:rPr>
                <w:rFonts w:ascii="Calibri" w:eastAsia="Times New Roman" w:hAnsi="Calibri" w:cs="Calibri"/>
                <w:sz w:val="18"/>
                <w:szCs w:val="18"/>
                <w:lang w:eastAsia="es-EC"/>
              </w:rPr>
            </w:pPr>
            <w:r w:rsidRPr="006726C1">
              <w:rPr>
                <w:rFonts w:ascii="Times New Roman" w:eastAsia="Times New Roman" w:hAnsi="Times New Roman" w:cs="Times New Roman"/>
                <w:sz w:val="18"/>
                <w:szCs w:val="18"/>
                <w:lang w:val="es-EC" w:eastAsia="es-EC"/>
              </w:rPr>
              <w:t>1175.68</w:t>
            </w:r>
          </w:p>
        </w:tc>
        <w:tc>
          <w:tcPr>
            <w:tcW w:w="1609" w:type="dxa"/>
            <w:tcBorders>
              <w:top w:val="single" w:sz="4" w:space="0" w:color="auto"/>
              <w:left w:val="nil"/>
              <w:bottom w:val="single" w:sz="4" w:space="0" w:color="auto"/>
              <w:right w:val="single" w:sz="4" w:space="0" w:color="auto"/>
            </w:tcBorders>
            <w:shd w:val="clear" w:color="auto" w:fill="auto"/>
            <w:noWrap/>
            <w:vAlign w:val="center"/>
          </w:tcPr>
          <w:p w14:paraId="022A6FD7"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1,00%</w:t>
            </w:r>
          </w:p>
        </w:tc>
      </w:tr>
      <w:tr w:rsidR="00737C5B" w:rsidRPr="009E73C4" w14:paraId="2AEBC202" w14:textId="77777777" w:rsidTr="009E73C4">
        <w:trPr>
          <w:gridAfter w:val="1"/>
          <w:wAfter w:w="6" w:type="dxa"/>
          <w:trHeight w:val="20"/>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F8356"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PIT8-RMNM</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E7FC4"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Recursos Mineros No Metálicos</w:t>
            </w:r>
          </w:p>
        </w:tc>
        <w:tc>
          <w:tcPr>
            <w:tcW w:w="1580" w:type="dxa"/>
            <w:tcBorders>
              <w:top w:val="single" w:sz="4" w:space="0" w:color="auto"/>
              <w:left w:val="nil"/>
              <w:bottom w:val="single" w:sz="4" w:space="0" w:color="auto"/>
              <w:right w:val="single" w:sz="4" w:space="0" w:color="auto"/>
            </w:tcBorders>
            <w:shd w:val="clear" w:color="auto" w:fill="auto"/>
            <w:vAlign w:val="center"/>
          </w:tcPr>
          <w:p w14:paraId="0068500F" w14:textId="5CF5A42D" w:rsidR="00737C5B" w:rsidRPr="006726C1" w:rsidRDefault="000A20F0" w:rsidP="00737C5B">
            <w:pPr>
              <w:jc w:val="center"/>
              <w:rPr>
                <w:rFonts w:ascii="Calibri" w:eastAsia="Times New Roman" w:hAnsi="Calibri" w:cs="Calibri"/>
                <w:sz w:val="18"/>
                <w:szCs w:val="18"/>
                <w:lang w:eastAsia="es-EC"/>
              </w:rPr>
            </w:pPr>
            <w:r w:rsidRPr="006726C1">
              <w:rPr>
                <w:rFonts w:ascii="Times New Roman" w:eastAsia="Times New Roman" w:hAnsi="Times New Roman" w:cs="Times New Roman"/>
                <w:sz w:val="18"/>
                <w:szCs w:val="18"/>
                <w:lang w:val="es-EC" w:eastAsia="es-EC"/>
              </w:rPr>
              <w:t>8.40</w:t>
            </w:r>
          </w:p>
        </w:tc>
        <w:tc>
          <w:tcPr>
            <w:tcW w:w="1609" w:type="dxa"/>
            <w:tcBorders>
              <w:top w:val="single" w:sz="4" w:space="0" w:color="auto"/>
              <w:left w:val="nil"/>
              <w:bottom w:val="single" w:sz="4" w:space="0" w:color="auto"/>
              <w:right w:val="single" w:sz="4" w:space="0" w:color="auto"/>
            </w:tcBorders>
            <w:shd w:val="clear" w:color="auto" w:fill="auto"/>
            <w:noWrap/>
            <w:vAlign w:val="center"/>
          </w:tcPr>
          <w:p w14:paraId="3CD3F85C"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0,01%</w:t>
            </w:r>
          </w:p>
        </w:tc>
      </w:tr>
      <w:tr w:rsidR="00737C5B" w:rsidRPr="009E73C4" w14:paraId="6E3C9275" w14:textId="77777777" w:rsidTr="009E73C4">
        <w:trPr>
          <w:gridAfter w:val="1"/>
          <w:wAfter w:w="6" w:type="dxa"/>
          <w:trHeight w:val="20"/>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E8DC3"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PIT9-RENE</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12CCF"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Recurso Estratégico Nacional Electricidad</w:t>
            </w:r>
          </w:p>
        </w:tc>
        <w:tc>
          <w:tcPr>
            <w:tcW w:w="1580" w:type="dxa"/>
            <w:tcBorders>
              <w:top w:val="single" w:sz="4" w:space="0" w:color="auto"/>
              <w:left w:val="nil"/>
              <w:bottom w:val="single" w:sz="4" w:space="0" w:color="auto"/>
              <w:right w:val="single" w:sz="4" w:space="0" w:color="auto"/>
            </w:tcBorders>
            <w:shd w:val="clear" w:color="auto" w:fill="auto"/>
            <w:vAlign w:val="center"/>
          </w:tcPr>
          <w:p w14:paraId="30F0D92B" w14:textId="55749A6C" w:rsidR="00737C5B" w:rsidRPr="006726C1" w:rsidRDefault="000A20F0" w:rsidP="00737C5B">
            <w:pPr>
              <w:jc w:val="center"/>
              <w:rPr>
                <w:rFonts w:ascii="Calibri" w:eastAsia="Times New Roman" w:hAnsi="Calibri" w:cs="Calibri"/>
                <w:sz w:val="18"/>
                <w:szCs w:val="18"/>
                <w:lang w:eastAsia="es-EC"/>
              </w:rPr>
            </w:pPr>
            <w:r w:rsidRPr="006726C1">
              <w:rPr>
                <w:rFonts w:ascii="Times New Roman" w:eastAsia="Times New Roman" w:hAnsi="Times New Roman" w:cs="Times New Roman"/>
                <w:sz w:val="18"/>
                <w:szCs w:val="18"/>
                <w:lang w:val="es-EC" w:eastAsia="es-EC"/>
              </w:rPr>
              <w:t>154.09</w:t>
            </w:r>
          </w:p>
        </w:tc>
        <w:tc>
          <w:tcPr>
            <w:tcW w:w="1609" w:type="dxa"/>
            <w:tcBorders>
              <w:top w:val="single" w:sz="4" w:space="0" w:color="auto"/>
              <w:left w:val="nil"/>
              <w:bottom w:val="single" w:sz="4" w:space="0" w:color="auto"/>
              <w:right w:val="single" w:sz="4" w:space="0" w:color="auto"/>
            </w:tcBorders>
            <w:shd w:val="clear" w:color="auto" w:fill="auto"/>
            <w:noWrap/>
            <w:vAlign w:val="center"/>
          </w:tcPr>
          <w:p w14:paraId="22C8038A"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0,13%</w:t>
            </w:r>
          </w:p>
        </w:tc>
      </w:tr>
      <w:tr w:rsidR="00737C5B" w:rsidRPr="009E73C4" w14:paraId="7F0EA859" w14:textId="77777777" w:rsidTr="009E73C4">
        <w:trPr>
          <w:trHeight w:val="20"/>
        </w:trPr>
        <w:tc>
          <w:tcPr>
            <w:tcW w:w="9957" w:type="dxa"/>
            <w:gridSpan w:val="6"/>
            <w:shd w:val="clear" w:color="auto" w:fill="auto"/>
            <w:noWrap/>
            <w:vAlign w:val="center"/>
          </w:tcPr>
          <w:p w14:paraId="24CB7DBA" w14:textId="77777777" w:rsidR="00737C5B" w:rsidRPr="009E73C4" w:rsidRDefault="00737C5B" w:rsidP="00737C5B">
            <w:pPr>
              <w:jc w:val="center"/>
              <w:rPr>
                <w:sz w:val="18"/>
                <w:szCs w:val="18"/>
              </w:rPr>
            </w:pPr>
          </w:p>
          <w:p w14:paraId="2DA31FB7" w14:textId="77777777" w:rsidR="00737C5B" w:rsidRPr="009E73C4" w:rsidRDefault="00737C5B" w:rsidP="00737C5B">
            <w:pPr>
              <w:rPr>
                <w:sz w:val="18"/>
                <w:szCs w:val="18"/>
              </w:rPr>
            </w:pPr>
          </w:p>
          <w:p w14:paraId="66046C78" w14:textId="77777777" w:rsidR="00737C5B" w:rsidRPr="009E73C4" w:rsidRDefault="00737C5B" w:rsidP="00737C5B">
            <w:pPr>
              <w:jc w:val="center"/>
              <w:rPr>
                <w:sz w:val="18"/>
                <w:szCs w:val="18"/>
              </w:rPr>
            </w:pPr>
            <w:r w:rsidRPr="009E73C4">
              <w:rPr>
                <w:noProof/>
                <w:sz w:val="18"/>
                <w:szCs w:val="18"/>
                <w:lang w:val="es-EC" w:eastAsia="es-EC"/>
              </w:rPr>
              <w:drawing>
                <wp:inline distT="0" distB="0" distL="0" distR="0" wp14:anchorId="5CB820D3" wp14:editId="1ED03963">
                  <wp:extent cx="5092962" cy="3695890"/>
                  <wp:effectExtent l="0" t="0" r="0" b="0"/>
                  <wp:docPr id="994144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44995" name=""/>
                          <pic:cNvPicPr/>
                        </pic:nvPicPr>
                        <pic:blipFill>
                          <a:blip r:embed="rId28"/>
                          <a:stretch>
                            <a:fillRect/>
                          </a:stretch>
                        </pic:blipFill>
                        <pic:spPr>
                          <a:xfrm>
                            <a:off x="0" y="0"/>
                            <a:ext cx="5092962" cy="3695890"/>
                          </a:xfrm>
                          <a:prstGeom prst="rect">
                            <a:avLst/>
                          </a:prstGeom>
                        </pic:spPr>
                      </pic:pic>
                    </a:graphicData>
                  </a:graphic>
                </wp:inline>
              </w:drawing>
            </w:r>
          </w:p>
          <w:p w14:paraId="52C23240"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48A483A8" w14:textId="77777777" w:rsidTr="009E73C4">
        <w:trPr>
          <w:trHeight w:val="20"/>
        </w:trPr>
        <w:tc>
          <w:tcPr>
            <w:tcW w:w="9957" w:type="dxa"/>
            <w:gridSpan w:val="6"/>
            <w:shd w:val="clear" w:color="auto" w:fill="FBD4B4" w:themeFill="accent6" w:themeFillTint="66"/>
            <w:vAlign w:val="center"/>
            <w:hideMark/>
          </w:tcPr>
          <w:p w14:paraId="705D5C22"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737C5B" w:rsidRPr="009E73C4" w14:paraId="55855F8C" w14:textId="77777777" w:rsidTr="009E73C4">
        <w:trPr>
          <w:trHeight w:val="20"/>
        </w:trPr>
        <w:tc>
          <w:tcPr>
            <w:tcW w:w="9957" w:type="dxa"/>
            <w:gridSpan w:val="6"/>
            <w:vAlign w:val="center"/>
            <w:hideMark/>
          </w:tcPr>
          <w:p w14:paraId="6A5B8EE2"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7C7BE066" w14:textId="77777777" w:rsidTr="009E73C4">
        <w:trPr>
          <w:trHeight w:val="20"/>
        </w:trPr>
        <w:tc>
          <w:tcPr>
            <w:tcW w:w="9957" w:type="dxa"/>
            <w:gridSpan w:val="6"/>
            <w:shd w:val="clear" w:color="auto" w:fill="FBD4B4" w:themeFill="accent6" w:themeFillTint="66"/>
            <w:noWrap/>
            <w:vAlign w:val="center"/>
            <w:hideMark/>
          </w:tcPr>
          <w:p w14:paraId="78AF69D4"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737C5B" w:rsidRPr="009E73C4" w14:paraId="38E1BEA2" w14:textId="77777777" w:rsidTr="009E73C4">
        <w:trPr>
          <w:gridAfter w:val="1"/>
          <w:wAfter w:w="6" w:type="dxa"/>
          <w:trHeight w:val="20"/>
        </w:trPr>
        <w:tc>
          <w:tcPr>
            <w:tcW w:w="1348" w:type="dxa"/>
            <w:shd w:val="clear" w:color="auto" w:fill="FBD4B4" w:themeFill="accent6" w:themeFillTint="66"/>
            <w:noWrap/>
            <w:vAlign w:val="center"/>
            <w:hideMark/>
          </w:tcPr>
          <w:p w14:paraId="375CA8F5" w14:textId="77777777" w:rsidR="00737C5B" w:rsidRPr="009E73C4" w:rsidRDefault="00737C5B" w:rsidP="00737C5B">
            <w:pPr>
              <w:jc w:val="center"/>
              <w:rPr>
                <w:rFonts w:ascii="Calibri" w:eastAsia="Times New Roman" w:hAnsi="Calibri" w:cs="Calibri"/>
                <w:b/>
                <w:bCs/>
                <w:color w:val="000000"/>
                <w:sz w:val="18"/>
                <w:szCs w:val="18"/>
                <w:lang w:eastAsia="es-EC"/>
              </w:rPr>
            </w:pPr>
          </w:p>
        </w:tc>
        <w:tc>
          <w:tcPr>
            <w:tcW w:w="1769" w:type="dxa"/>
            <w:shd w:val="clear" w:color="auto" w:fill="FBD4B4" w:themeFill="accent6" w:themeFillTint="66"/>
            <w:vAlign w:val="center"/>
            <w:hideMark/>
          </w:tcPr>
          <w:p w14:paraId="78CA9B3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3645" w:type="dxa"/>
            <w:shd w:val="clear" w:color="auto" w:fill="FBD4B4" w:themeFill="accent6" w:themeFillTint="66"/>
            <w:noWrap/>
            <w:vAlign w:val="center"/>
            <w:hideMark/>
          </w:tcPr>
          <w:p w14:paraId="0FB26401"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1580" w:type="dxa"/>
            <w:shd w:val="clear" w:color="auto" w:fill="FBD4B4" w:themeFill="accent6" w:themeFillTint="66"/>
            <w:noWrap/>
            <w:vAlign w:val="center"/>
            <w:hideMark/>
          </w:tcPr>
          <w:p w14:paraId="49B3431E"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1609" w:type="dxa"/>
            <w:shd w:val="clear" w:color="auto" w:fill="FBD4B4" w:themeFill="accent6" w:themeFillTint="66"/>
            <w:noWrap/>
            <w:vAlign w:val="center"/>
            <w:hideMark/>
          </w:tcPr>
          <w:p w14:paraId="7D22BE0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737C5B" w:rsidRPr="009E73C4" w14:paraId="3E9C3221" w14:textId="77777777" w:rsidTr="009E73C4">
        <w:trPr>
          <w:gridAfter w:val="1"/>
          <w:wAfter w:w="6" w:type="dxa"/>
          <w:trHeight w:val="20"/>
        </w:trPr>
        <w:tc>
          <w:tcPr>
            <w:tcW w:w="1348" w:type="dxa"/>
            <w:tcBorders>
              <w:top w:val="single" w:sz="4" w:space="0" w:color="auto"/>
              <w:left w:val="single" w:sz="4" w:space="0" w:color="auto"/>
              <w:bottom w:val="single" w:sz="4" w:space="0" w:color="auto"/>
              <w:right w:val="nil"/>
            </w:tcBorders>
            <w:shd w:val="clear" w:color="auto" w:fill="auto"/>
            <w:noWrap/>
            <w:vAlign w:val="center"/>
          </w:tcPr>
          <w:p w14:paraId="475B1276" w14:textId="77777777" w:rsidR="00737C5B" w:rsidRPr="009E73C4" w:rsidRDefault="00737C5B" w:rsidP="00737C5B">
            <w:pPr>
              <w:rPr>
                <w:rFonts w:ascii="Calibri" w:eastAsia="Times New Roman" w:hAnsi="Calibri" w:cs="Calibri"/>
                <w:sz w:val="18"/>
                <w:szCs w:val="18"/>
                <w:lang w:eastAsia="es-EC"/>
              </w:rPr>
            </w:pPr>
          </w:p>
        </w:tc>
        <w:tc>
          <w:tcPr>
            <w:tcW w:w="1769" w:type="dxa"/>
            <w:tcBorders>
              <w:top w:val="nil"/>
              <w:left w:val="nil"/>
              <w:bottom w:val="single" w:sz="4" w:space="0" w:color="auto"/>
              <w:right w:val="single" w:sz="4" w:space="0" w:color="auto"/>
            </w:tcBorders>
            <w:shd w:val="clear" w:color="auto" w:fill="auto"/>
            <w:vAlign w:val="center"/>
          </w:tcPr>
          <w:p w14:paraId="0BE008E5"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Franjas de protección</w:t>
            </w:r>
          </w:p>
        </w:tc>
        <w:tc>
          <w:tcPr>
            <w:tcW w:w="3645" w:type="dxa"/>
            <w:tcBorders>
              <w:top w:val="nil"/>
              <w:left w:val="nil"/>
              <w:bottom w:val="single" w:sz="4" w:space="0" w:color="auto"/>
              <w:right w:val="single" w:sz="4" w:space="0" w:color="auto"/>
            </w:tcBorders>
            <w:shd w:val="clear" w:color="auto" w:fill="auto"/>
            <w:noWrap/>
            <w:vAlign w:val="center"/>
          </w:tcPr>
          <w:p w14:paraId="2CC1EC5E"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Forestal, restauración</w:t>
            </w:r>
          </w:p>
        </w:tc>
        <w:tc>
          <w:tcPr>
            <w:tcW w:w="1580" w:type="dxa"/>
            <w:tcBorders>
              <w:top w:val="nil"/>
              <w:left w:val="nil"/>
              <w:bottom w:val="single" w:sz="4" w:space="0" w:color="auto"/>
              <w:right w:val="single" w:sz="4" w:space="0" w:color="auto"/>
            </w:tcBorders>
            <w:shd w:val="clear" w:color="auto" w:fill="auto"/>
            <w:noWrap/>
            <w:vAlign w:val="center"/>
          </w:tcPr>
          <w:p w14:paraId="2695AE50"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Vivienda</w:t>
            </w:r>
          </w:p>
        </w:tc>
        <w:tc>
          <w:tcPr>
            <w:tcW w:w="1609" w:type="dxa"/>
            <w:tcBorders>
              <w:top w:val="nil"/>
              <w:left w:val="nil"/>
              <w:bottom w:val="single" w:sz="4" w:space="0" w:color="auto"/>
              <w:right w:val="single" w:sz="4" w:space="0" w:color="auto"/>
            </w:tcBorders>
            <w:shd w:val="clear" w:color="auto" w:fill="auto"/>
            <w:noWrap/>
            <w:vAlign w:val="center"/>
          </w:tcPr>
          <w:p w14:paraId="574CF692" w14:textId="2D9D5AB3" w:rsidR="00737C5B" w:rsidRPr="009E73C4" w:rsidRDefault="00A35002" w:rsidP="00737C5B">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737C5B" w:rsidRPr="009E73C4">
              <w:rPr>
                <w:rFonts w:ascii="Arial Narrow" w:eastAsia="Times New Roman" w:hAnsi="Arial Narrow" w:cs="Calibri"/>
                <w:color w:val="000000"/>
                <w:sz w:val="18"/>
                <w:szCs w:val="18"/>
                <w:lang w:val="es-EC" w:eastAsia="es-EC"/>
              </w:rPr>
              <w:t xml:space="preserve"> y</w:t>
            </w:r>
            <w:r w:rsidR="00737C5B" w:rsidRPr="009E73C4">
              <w:rPr>
                <w:rFonts w:ascii="Arial Narrow" w:eastAsia="Times New Roman" w:hAnsi="Arial Narrow" w:cs="Calibri"/>
                <w:color w:val="000000"/>
                <w:sz w:val="18"/>
                <w:szCs w:val="18"/>
                <w:lang w:val="es-EC" w:eastAsia="es-EC"/>
              </w:rPr>
              <w:br/>
              <w:t>pecuario extensivo</w:t>
            </w:r>
          </w:p>
        </w:tc>
      </w:tr>
      <w:tr w:rsidR="00737C5B" w:rsidRPr="009E73C4" w14:paraId="5C5297B0" w14:textId="77777777" w:rsidTr="009E73C4">
        <w:trPr>
          <w:trHeight w:val="20"/>
        </w:trPr>
        <w:tc>
          <w:tcPr>
            <w:tcW w:w="9957" w:type="dxa"/>
            <w:gridSpan w:val="6"/>
            <w:shd w:val="clear" w:color="auto" w:fill="FBD4B4" w:themeFill="accent6" w:themeFillTint="66"/>
            <w:noWrap/>
            <w:vAlign w:val="center"/>
            <w:hideMark/>
          </w:tcPr>
          <w:p w14:paraId="093BF5D5"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737C5B" w:rsidRPr="009E73C4" w14:paraId="4EB04CC6" w14:textId="77777777" w:rsidTr="009E73C4">
        <w:trPr>
          <w:trHeight w:val="20"/>
        </w:trPr>
        <w:tc>
          <w:tcPr>
            <w:tcW w:w="1348" w:type="dxa"/>
            <w:shd w:val="clear" w:color="auto" w:fill="auto"/>
            <w:noWrap/>
            <w:vAlign w:val="center"/>
            <w:hideMark/>
          </w:tcPr>
          <w:p w14:paraId="67921453"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609" w:type="dxa"/>
            <w:gridSpan w:val="5"/>
            <w:shd w:val="clear" w:color="auto" w:fill="auto"/>
            <w:vAlign w:val="center"/>
          </w:tcPr>
          <w:p w14:paraId="6A22A8BD" w14:textId="16FAE2AC"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737C5B" w:rsidRPr="009E73C4" w14:paraId="7AB7C3CB" w14:textId="77777777" w:rsidTr="009E73C4">
        <w:trPr>
          <w:trHeight w:val="20"/>
        </w:trPr>
        <w:tc>
          <w:tcPr>
            <w:tcW w:w="1348" w:type="dxa"/>
            <w:shd w:val="clear" w:color="auto" w:fill="auto"/>
            <w:noWrap/>
            <w:vAlign w:val="center"/>
            <w:hideMark/>
          </w:tcPr>
          <w:p w14:paraId="5C7E3A45"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609" w:type="dxa"/>
            <w:gridSpan w:val="5"/>
            <w:shd w:val="clear" w:color="auto" w:fill="auto"/>
            <w:vAlign w:val="center"/>
          </w:tcPr>
          <w:p w14:paraId="718E49F2" w14:textId="1110C95E"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737C5B" w:rsidRPr="009E73C4" w14:paraId="12763ABD" w14:textId="77777777" w:rsidTr="009E73C4">
        <w:trPr>
          <w:trHeight w:val="20"/>
        </w:trPr>
        <w:tc>
          <w:tcPr>
            <w:tcW w:w="1348" w:type="dxa"/>
            <w:shd w:val="clear" w:color="auto" w:fill="auto"/>
            <w:noWrap/>
            <w:vAlign w:val="center"/>
            <w:hideMark/>
          </w:tcPr>
          <w:p w14:paraId="76DF3EC0"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609" w:type="dxa"/>
            <w:gridSpan w:val="5"/>
            <w:shd w:val="clear" w:color="auto" w:fill="auto"/>
            <w:vAlign w:val="center"/>
          </w:tcPr>
          <w:p w14:paraId="6D773D44" w14:textId="31EF0347"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bl>
    <w:p w14:paraId="727ADB3B" w14:textId="02293E2B" w:rsidR="005E16E8" w:rsidRPr="009E73C4" w:rsidRDefault="005E16E8" w:rsidP="005E16E8">
      <w:pPr>
        <w:rPr>
          <w:sz w:val="18"/>
          <w:szCs w:val="18"/>
        </w:rPr>
      </w:pPr>
    </w:p>
    <w:p w14:paraId="4B198469" w14:textId="1AD46392" w:rsidR="00737C5B" w:rsidRPr="009E73C4" w:rsidRDefault="00737C5B" w:rsidP="00737C5B">
      <w:pPr>
        <w:pStyle w:val="Descripcin"/>
        <w:rPr>
          <w:rFonts w:ascii="Arial Narrow" w:eastAsia="Times New Roman" w:hAnsi="Arial Narrow" w:cs="Calibri"/>
          <w:color w:val="000000"/>
          <w:sz w:val="18"/>
          <w:lang w:val="es-EC" w:eastAsia="es-EC"/>
        </w:rPr>
      </w:pPr>
      <w:r w:rsidRPr="009E73C4">
        <w:rPr>
          <w:rFonts w:cstheme="majorHAnsi"/>
          <w:sz w:val="18"/>
        </w:rPr>
        <w:t>Tabla</w:t>
      </w:r>
      <w:r w:rsidR="0003016B" w:rsidRPr="009E73C4">
        <w:rPr>
          <w:rFonts w:cstheme="majorHAnsi"/>
          <w:sz w:val="18"/>
        </w:rPr>
        <w:t xml:space="preserve"> </w:t>
      </w:r>
      <w:r w:rsidR="0003016B" w:rsidRPr="009E73C4">
        <w:rPr>
          <w:rFonts w:cstheme="majorHAnsi"/>
          <w:sz w:val="18"/>
        </w:rPr>
        <w:fldChar w:fldCharType="begin"/>
      </w:r>
      <w:r w:rsidR="0003016B" w:rsidRPr="009E73C4">
        <w:rPr>
          <w:rFonts w:cstheme="majorHAnsi"/>
          <w:sz w:val="18"/>
        </w:rPr>
        <w:instrText xml:space="preserve"> SEQ Tabla \* ARABIC </w:instrText>
      </w:r>
      <w:r w:rsidR="0003016B" w:rsidRPr="009E73C4">
        <w:rPr>
          <w:rFonts w:cstheme="majorHAnsi"/>
          <w:sz w:val="18"/>
        </w:rPr>
        <w:fldChar w:fldCharType="separate"/>
      </w:r>
      <w:r w:rsidR="00F53605">
        <w:rPr>
          <w:rFonts w:cstheme="majorHAnsi"/>
          <w:noProof/>
          <w:sz w:val="18"/>
        </w:rPr>
        <w:t>18</w:t>
      </w:r>
      <w:r w:rsidR="0003016B" w:rsidRPr="009E73C4">
        <w:rPr>
          <w:rFonts w:cstheme="majorHAnsi"/>
          <w:noProof/>
          <w:sz w:val="18"/>
        </w:rPr>
        <w:fldChar w:fldCharType="end"/>
      </w:r>
      <w:r w:rsidRPr="009E73C4">
        <w:rPr>
          <w:rFonts w:cstheme="majorHAnsi"/>
          <w:sz w:val="18"/>
        </w:rPr>
        <w:t xml:space="preserve">. Ficha para el PIT 10- </w:t>
      </w:r>
      <w:r w:rsidRPr="009E73C4">
        <w:rPr>
          <w:rFonts w:ascii="Arial Narrow" w:eastAsia="Times New Roman" w:hAnsi="Arial Narrow" w:cs="Calibri"/>
          <w:color w:val="000000"/>
          <w:sz w:val="18"/>
          <w:lang w:val="es-EC" w:eastAsia="es-EC"/>
        </w:rPr>
        <w:t>Bosque y Vegetación Natural Protegido</w:t>
      </w:r>
    </w:p>
    <w:tbl>
      <w:tblPr>
        <w:tblW w:w="99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1759"/>
        <w:gridCol w:w="1984"/>
        <w:gridCol w:w="2158"/>
        <w:gridCol w:w="2311"/>
      </w:tblGrid>
      <w:tr w:rsidR="00737C5B" w:rsidRPr="009E73C4" w14:paraId="05C36B1B" w14:textId="77777777" w:rsidTr="009E73C4">
        <w:trPr>
          <w:trHeight w:val="20"/>
        </w:trPr>
        <w:tc>
          <w:tcPr>
            <w:tcW w:w="9986" w:type="dxa"/>
            <w:gridSpan w:val="5"/>
            <w:shd w:val="clear" w:color="auto" w:fill="FBD4B4" w:themeFill="accent6" w:themeFillTint="66"/>
            <w:noWrap/>
            <w:vAlign w:val="center"/>
            <w:hideMark/>
          </w:tcPr>
          <w:p w14:paraId="64A0BEC5" w14:textId="06C094D1" w:rsidR="00737C5B" w:rsidRPr="009E73C4" w:rsidRDefault="00C14635" w:rsidP="00C14635">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 10- Bosque y Vegetación Natural Protegido</w:t>
            </w:r>
          </w:p>
        </w:tc>
      </w:tr>
      <w:tr w:rsidR="00737C5B" w:rsidRPr="009E73C4" w14:paraId="04C5132E" w14:textId="77777777" w:rsidTr="009E73C4">
        <w:trPr>
          <w:trHeight w:val="20"/>
        </w:trPr>
        <w:tc>
          <w:tcPr>
            <w:tcW w:w="1774" w:type="dxa"/>
            <w:shd w:val="clear" w:color="auto" w:fill="auto"/>
            <w:noWrap/>
            <w:vAlign w:val="center"/>
            <w:hideMark/>
          </w:tcPr>
          <w:p w14:paraId="34F08EA0"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lastRenderedPageBreak/>
              <w:t>PIT</w:t>
            </w:r>
          </w:p>
        </w:tc>
        <w:tc>
          <w:tcPr>
            <w:tcW w:w="3743" w:type="dxa"/>
            <w:gridSpan w:val="2"/>
            <w:shd w:val="clear" w:color="auto" w:fill="auto"/>
            <w:vAlign w:val="center"/>
            <w:hideMark/>
          </w:tcPr>
          <w:p w14:paraId="0B9C6339"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0997460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(ha) </w:t>
            </w:r>
          </w:p>
        </w:tc>
        <w:tc>
          <w:tcPr>
            <w:tcW w:w="2311" w:type="dxa"/>
            <w:shd w:val="clear" w:color="auto" w:fill="auto"/>
            <w:noWrap/>
            <w:vAlign w:val="center"/>
            <w:hideMark/>
          </w:tcPr>
          <w:p w14:paraId="0B66E0A7"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737C5B" w:rsidRPr="009E73C4" w14:paraId="640806F6"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D7B25"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Arial Narrow" w:eastAsia="Times New Roman" w:hAnsi="Arial Narrow" w:cs="Calibri"/>
                <w:color w:val="000000"/>
                <w:sz w:val="18"/>
                <w:szCs w:val="18"/>
                <w:lang w:val="es-EC" w:eastAsia="es-EC"/>
              </w:rPr>
              <w:t>PIT10-BVNP</w:t>
            </w:r>
          </w:p>
        </w:tc>
        <w:tc>
          <w:tcPr>
            <w:tcW w:w="37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9ED18"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Arial Narrow" w:eastAsia="Times New Roman" w:hAnsi="Arial Narrow" w:cs="Calibri"/>
                <w:color w:val="000000"/>
                <w:sz w:val="18"/>
                <w:szCs w:val="18"/>
                <w:lang w:val="es-EC" w:eastAsia="es-EC"/>
              </w:rPr>
              <w:t>Bosque y Vegetación Natural Protegido</w:t>
            </w:r>
          </w:p>
        </w:tc>
        <w:tc>
          <w:tcPr>
            <w:tcW w:w="2158" w:type="dxa"/>
            <w:tcBorders>
              <w:top w:val="single" w:sz="4" w:space="0" w:color="auto"/>
              <w:left w:val="nil"/>
              <w:bottom w:val="single" w:sz="4" w:space="0" w:color="auto"/>
              <w:right w:val="single" w:sz="4" w:space="0" w:color="auto"/>
            </w:tcBorders>
            <w:shd w:val="clear" w:color="auto" w:fill="auto"/>
            <w:vAlign w:val="center"/>
          </w:tcPr>
          <w:p w14:paraId="00398378"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7362,57</w:t>
            </w:r>
          </w:p>
        </w:tc>
        <w:tc>
          <w:tcPr>
            <w:tcW w:w="2311" w:type="dxa"/>
            <w:tcBorders>
              <w:top w:val="single" w:sz="4" w:space="0" w:color="auto"/>
              <w:left w:val="nil"/>
              <w:bottom w:val="single" w:sz="4" w:space="0" w:color="auto"/>
              <w:right w:val="single" w:sz="4" w:space="0" w:color="auto"/>
            </w:tcBorders>
            <w:shd w:val="clear" w:color="auto" w:fill="auto"/>
            <w:noWrap/>
            <w:vAlign w:val="center"/>
          </w:tcPr>
          <w:p w14:paraId="39754C97"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6,10%</w:t>
            </w:r>
          </w:p>
        </w:tc>
      </w:tr>
      <w:tr w:rsidR="00737C5B" w:rsidRPr="009E73C4" w14:paraId="28FC5D81" w14:textId="77777777" w:rsidTr="009E73C4">
        <w:trPr>
          <w:trHeight w:val="20"/>
        </w:trPr>
        <w:tc>
          <w:tcPr>
            <w:tcW w:w="9986" w:type="dxa"/>
            <w:gridSpan w:val="5"/>
            <w:shd w:val="clear" w:color="auto" w:fill="auto"/>
            <w:noWrap/>
            <w:vAlign w:val="center"/>
          </w:tcPr>
          <w:p w14:paraId="22FFE5E2"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noProof/>
                <w:color w:val="000000"/>
                <w:sz w:val="18"/>
                <w:szCs w:val="18"/>
                <w:lang w:val="es-EC" w:eastAsia="es-EC"/>
              </w:rPr>
              <w:drawing>
                <wp:inline distT="0" distB="0" distL="0" distR="0" wp14:anchorId="39197E3D" wp14:editId="220CAA73">
                  <wp:extent cx="5035809" cy="3702240"/>
                  <wp:effectExtent l="0" t="0" r="0" b="0"/>
                  <wp:docPr id="1128246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46707" name=""/>
                          <pic:cNvPicPr/>
                        </pic:nvPicPr>
                        <pic:blipFill>
                          <a:blip r:embed="rId29"/>
                          <a:stretch>
                            <a:fillRect/>
                          </a:stretch>
                        </pic:blipFill>
                        <pic:spPr>
                          <a:xfrm>
                            <a:off x="0" y="0"/>
                            <a:ext cx="5035809" cy="3702240"/>
                          </a:xfrm>
                          <a:prstGeom prst="rect">
                            <a:avLst/>
                          </a:prstGeom>
                        </pic:spPr>
                      </pic:pic>
                    </a:graphicData>
                  </a:graphic>
                </wp:inline>
              </w:drawing>
            </w:r>
          </w:p>
          <w:p w14:paraId="4E22D2C3"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1D3E544A" w14:textId="77777777" w:rsidTr="009E73C4">
        <w:trPr>
          <w:trHeight w:val="20"/>
        </w:trPr>
        <w:tc>
          <w:tcPr>
            <w:tcW w:w="9986" w:type="dxa"/>
            <w:gridSpan w:val="5"/>
            <w:shd w:val="clear" w:color="auto" w:fill="FBD4B4" w:themeFill="accent6" w:themeFillTint="66"/>
            <w:vAlign w:val="center"/>
            <w:hideMark/>
          </w:tcPr>
          <w:p w14:paraId="749BEF75"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Tratamientos</w:t>
            </w:r>
          </w:p>
        </w:tc>
      </w:tr>
      <w:tr w:rsidR="00737C5B" w:rsidRPr="009E73C4" w14:paraId="254F3BD0" w14:textId="77777777" w:rsidTr="009E73C4">
        <w:trPr>
          <w:trHeight w:val="276"/>
        </w:trPr>
        <w:tc>
          <w:tcPr>
            <w:tcW w:w="9986" w:type="dxa"/>
            <w:gridSpan w:val="5"/>
            <w:vMerge w:val="restart"/>
            <w:shd w:val="clear" w:color="auto" w:fill="auto"/>
            <w:hideMark/>
          </w:tcPr>
          <w:p w14:paraId="7B346D3A" w14:textId="7DF7DE00"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hAnsi="Times New Roman" w:cs="Times New Roman"/>
                <w:sz w:val="18"/>
                <w:szCs w:val="18"/>
              </w:rPr>
              <w:t xml:space="preserve">Conservación.- </w:t>
            </w:r>
            <w:r w:rsidRPr="009E73C4">
              <w:rPr>
                <w:rFonts w:ascii="Times New Roman" w:hAnsi="Times New Roman" w:cs="Times New Roman"/>
                <w:sz w:val="18"/>
                <w:szCs w:val="18"/>
                <w:lang w:val="es-EC"/>
              </w:rPr>
              <w:t xml:space="preserve">Se aplica a aquellas zonas rurales que posean un alto valor histórico, cultural, paisajístico, ambiental o </w:t>
            </w:r>
            <w:r w:rsidR="00A35002">
              <w:rPr>
                <w:rFonts w:ascii="Times New Roman" w:hAnsi="Times New Roman" w:cs="Times New Roman"/>
                <w:sz w:val="18"/>
                <w:szCs w:val="18"/>
                <w:lang w:val="es-EC"/>
              </w:rPr>
              <w:t>rural</w:t>
            </w:r>
            <w:r w:rsidRPr="009E73C4">
              <w:rPr>
                <w:rFonts w:ascii="Times New Roman" w:hAnsi="Times New Roman" w:cs="Times New Roman"/>
                <w:sz w:val="18"/>
                <w:szCs w:val="18"/>
                <w:lang w:val="es-EC"/>
              </w:rPr>
              <w:t>, con el fin de orientar acciones que permitan la conservación y valoración de sus características, de conformidad con la legislación ambiental o patrimonial, según corresponda</w:t>
            </w:r>
          </w:p>
        </w:tc>
      </w:tr>
      <w:tr w:rsidR="00737C5B" w:rsidRPr="009E73C4" w14:paraId="501576AD" w14:textId="77777777" w:rsidTr="009E73C4">
        <w:trPr>
          <w:trHeight w:val="276"/>
        </w:trPr>
        <w:tc>
          <w:tcPr>
            <w:tcW w:w="9986" w:type="dxa"/>
            <w:gridSpan w:val="5"/>
            <w:vMerge/>
            <w:vAlign w:val="center"/>
            <w:hideMark/>
          </w:tcPr>
          <w:p w14:paraId="6BB66A35"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000E1DC8" w14:textId="77777777" w:rsidTr="009E73C4">
        <w:trPr>
          <w:trHeight w:val="20"/>
        </w:trPr>
        <w:tc>
          <w:tcPr>
            <w:tcW w:w="9986" w:type="dxa"/>
            <w:gridSpan w:val="5"/>
            <w:shd w:val="clear" w:color="auto" w:fill="FBD4B4" w:themeFill="accent6" w:themeFillTint="66"/>
            <w:noWrap/>
            <w:vAlign w:val="center"/>
            <w:hideMark/>
          </w:tcPr>
          <w:p w14:paraId="6276BBC3"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737C5B" w:rsidRPr="009E73C4" w14:paraId="399B1110" w14:textId="77777777" w:rsidTr="009E73C4">
        <w:trPr>
          <w:trHeight w:val="20"/>
        </w:trPr>
        <w:tc>
          <w:tcPr>
            <w:tcW w:w="1774" w:type="dxa"/>
            <w:shd w:val="clear" w:color="auto" w:fill="FBD4B4" w:themeFill="accent6" w:themeFillTint="66"/>
            <w:noWrap/>
            <w:vAlign w:val="center"/>
            <w:hideMark/>
          </w:tcPr>
          <w:p w14:paraId="38993163" w14:textId="77777777" w:rsidR="00737C5B" w:rsidRPr="009E73C4" w:rsidRDefault="00737C5B" w:rsidP="00737C5B">
            <w:pPr>
              <w:rPr>
                <w:rFonts w:ascii="Calibri" w:eastAsia="Times New Roman" w:hAnsi="Calibri" w:cs="Calibri"/>
                <w:b/>
                <w:bCs/>
                <w:color w:val="000000"/>
                <w:sz w:val="18"/>
                <w:szCs w:val="18"/>
                <w:lang w:eastAsia="es-EC"/>
              </w:rPr>
            </w:pPr>
          </w:p>
        </w:tc>
        <w:tc>
          <w:tcPr>
            <w:tcW w:w="1759" w:type="dxa"/>
            <w:shd w:val="clear" w:color="auto" w:fill="FBD4B4" w:themeFill="accent6" w:themeFillTint="66"/>
            <w:vAlign w:val="center"/>
            <w:hideMark/>
          </w:tcPr>
          <w:p w14:paraId="6808717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26F6BDAD"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62D75396"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2311" w:type="dxa"/>
            <w:shd w:val="clear" w:color="auto" w:fill="FBD4B4" w:themeFill="accent6" w:themeFillTint="66"/>
            <w:noWrap/>
            <w:vAlign w:val="center"/>
            <w:hideMark/>
          </w:tcPr>
          <w:p w14:paraId="79AE951A"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737C5B" w:rsidRPr="009E73C4" w14:paraId="62AC69BD" w14:textId="77777777" w:rsidTr="009E73C4">
        <w:trPr>
          <w:trHeight w:val="20"/>
        </w:trPr>
        <w:tc>
          <w:tcPr>
            <w:tcW w:w="1774" w:type="dxa"/>
            <w:tcBorders>
              <w:top w:val="single" w:sz="4" w:space="0" w:color="auto"/>
              <w:left w:val="single" w:sz="4" w:space="0" w:color="auto"/>
              <w:bottom w:val="single" w:sz="4" w:space="0" w:color="auto"/>
              <w:right w:val="nil"/>
            </w:tcBorders>
            <w:shd w:val="clear" w:color="auto" w:fill="auto"/>
            <w:noWrap/>
            <w:vAlign w:val="center"/>
          </w:tcPr>
          <w:p w14:paraId="0CEA6E27" w14:textId="77777777" w:rsidR="00737C5B" w:rsidRPr="009E73C4" w:rsidRDefault="00737C5B" w:rsidP="00737C5B">
            <w:pPr>
              <w:rPr>
                <w:rFonts w:ascii="Calibri" w:eastAsia="Times New Roman" w:hAnsi="Calibri" w:cs="Calibri"/>
                <w:sz w:val="18"/>
                <w:szCs w:val="18"/>
                <w:lang w:eastAsia="es-EC"/>
              </w:rPr>
            </w:pPr>
          </w:p>
        </w:tc>
        <w:tc>
          <w:tcPr>
            <w:tcW w:w="1759" w:type="dxa"/>
            <w:tcBorders>
              <w:top w:val="nil"/>
              <w:left w:val="nil"/>
              <w:bottom w:val="single" w:sz="4" w:space="0" w:color="auto"/>
              <w:right w:val="single" w:sz="4" w:space="0" w:color="auto"/>
            </w:tcBorders>
            <w:shd w:val="clear" w:color="auto" w:fill="auto"/>
            <w:vAlign w:val="center"/>
          </w:tcPr>
          <w:p w14:paraId="189091C2"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Restauración ecológica</w:t>
            </w:r>
            <w:r w:rsidRPr="009E73C4">
              <w:rPr>
                <w:rFonts w:ascii="Arial Narrow" w:eastAsia="Times New Roman" w:hAnsi="Arial Narrow" w:cs="Calibri"/>
                <w:color w:val="000000"/>
                <w:sz w:val="18"/>
                <w:szCs w:val="18"/>
                <w:lang w:val="es-EC" w:eastAsia="es-EC"/>
              </w:rPr>
              <w:br/>
              <w:t>Investigación científica sobre biodiversidad</w:t>
            </w:r>
            <w:r w:rsidRPr="009E73C4">
              <w:rPr>
                <w:rFonts w:ascii="Arial Narrow" w:eastAsia="Times New Roman" w:hAnsi="Arial Narrow" w:cs="Calibri"/>
                <w:color w:val="000000"/>
                <w:sz w:val="18"/>
                <w:szCs w:val="18"/>
                <w:lang w:val="es-EC" w:eastAsia="es-EC"/>
              </w:rPr>
              <w:br/>
              <w:t>Franjas para conectividad</w:t>
            </w:r>
          </w:p>
        </w:tc>
        <w:tc>
          <w:tcPr>
            <w:tcW w:w="1984" w:type="dxa"/>
            <w:tcBorders>
              <w:top w:val="nil"/>
              <w:left w:val="nil"/>
              <w:bottom w:val="single" w:sz="4" w:space="0" w:color="auto"/>
              <w:right w:val="single" w:sz="4" w:space="0" w:color="auto"/>
            </w:tcBorders>
            <w:shd w:val="clear" w:color="auto" w:fill="auto"/>
            <w:noWrap/>
            <w:vAlign w:val="center"/>
          </w:tcPr>
          <w:p w14:paraId="7D346CCE"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Agricultura y ganadería regenerativa</w:t>
            </w:r>
            <w:r w:rsidRPr="009E73C4">
              <w:rPr>
                <w:rFonts w:ascii="Arial Narrow" w:eastAsia="Times New Roman" w:hAnsi="Arial Narrow" w:cs="Calibri"/>
                <w:color w:val="000000"/>
                <w:sz w:val="18"/>
                <w:szCs w:val="18"/>
                <w:lang w:val="es-EC" w:eastAsia="es-EC"/>
              </w:rPr>
              <w:br/>
              <w:t>Turismo de investigación</w:t>
            </w:r>
          </w:p>
        </w:tc>
        <w:tc>
          <w:tcPr>
            <w:tcW w:w="2158" w:type="dxa"/>
            <w:tcBorders>
              <w:top w:val="nil"/>
              <w:left w:val="nil"/>
              <w:bottom w:val="single" w:sz="4" w:space="0" w:color="auto"/>
              <w:right w:val="single" w:sz="4" w:space="0" w:color="auto"/>
            </w:tcBorders>
            <w:shd w:val="clear" w:color="auto" w:fill="auto"/>
            <w:noWrap/>
            <w:vAlign w:val="center"/>
          </w:tcPr>
          <w:p w14:paraId="5F3F16EA" w14:textId="61C7734C"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Tala selectiva</w:t>
            </w:r>
            <w:r w:rsidRPr="009E73C4">
              <w:rPr>
                <w:rFonts w:ascii="Arial Narrow" w:eastAsia="Times New Roman" w:hAnsi="Arial Narrow" w:cs="Calibri"/>
                <w:color w:val="000000"/>
                <w:sz w:val="18"/>
                <w:szCs w:val="18"/>
                <w:lang w:val="es-EC" w:eastAsia="es-EC"/>
              </w:rPr>
              <w:br/>
            </w:r>
            <w:r w:rsidR="00A35002">
              <w:rPr>
                <w:rFonts w:ascii="Arial Narrow" w:eastAsia="Times New Roman" w:hAnsi="Arial Narrow" w:cs="Calibri"/>
                <w:color w:val="000000"/>
                <w:sz w:val="18"/>
                <w:szCs w:val="18"/>
                <w:lang w:val="es-EC" w:eastAsia="es-EC"/>
              </w:rPr>
              <w:t>Rural</w:t>
            </w:r>
          </w:p>
        </w:tc>
        <w:tc>
          <w:tcPr>
            <w:tcW w:w="2311" w:type="dxa"/>
            <w:tcBorders>
              <w:top w:val="nil"/>
              <w:left w:val="nil"/>
              <w:bottom w:val="single" w:sz="4" w:space="0" w:color="auto"/>
              <w:right w:val="single" w:sz="4" w:space="0" w:color="auto"/>
            </w:tcBorders>
            <w:shd w:val="clear" w:color="auto" w:fill="auto"/>
            <w:noWrap/>
            <w:vAlign w:val="center"/>
          </w:tcPr>
          <w:p w14:paraId="125F076C" w14:textId="633A6ABE"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Deforestación</w:t>
            </w:r>
            <w:r w:rsidRPr="009E73C4">
              <w:rPr>
                <w:rFonts w:ascii="Arial Narrow" w:eastAsia="Times New Roman" w:hAnsi="Arial Narrow" w:cs="Calibri"/>
                <w:color w:val="000000"/>
                <w:sz w:val="18"/>
                <w:szCs w:val="18"/>
                <w:lang w:val="es-EC" w:eastAsia="es-EC"/>
              </w:rPr>
              <w:br/>
            </w:r>
            <w:r w:rsidR="00A35002">
              <w:rPr>
                <w:rFonts w:ascii="Arial Narrow" w:eastAsia="Times New Roman" w:hAnsi="Arial Narrow" w:cs="Calibri"/>
                <w:color w:val="000000"/>
                <w:sz w:val="18"/>
                <w:szCs w:val="18"/>
                <w:lang w:val="es-EC" w:eastAsia="es-EC"/>
              </w:rPr>
              <w:t>Rural</w:t>
            </w:r>
            <w:r w:rsidRPr="009E73C4">
              <w:rPr>
                <w:rFonts w:ascii="Arial Narrow" w:eastAsia="Times New Roman" w:hAnsi="Arial Narrow" w:cs="Calibri"/>
                <w:color w:val="000000"/>
                <w:sz w:val="18"/>
                <w:szCs w:val="18"/>
                <w:lang w:val="es-EC" w:eastAsia="es-EC"/>
              </w:rPr>
              <w:t xml:space="preserve"> extensiva</w:t>
            </w:r>
            <w:r w:rsidRPr="009E73C4">
              <w:rPr>
                <w:rFonts w:ascii="Arial Narrow" w:eastAsia="Times New Roman" w:hAnsi="Arial Narrow" w:cs="Calibri"/>
                <w:color w:val="000000"/>
                <w:sz w:val="18"/>
                <w:szCs w:val="18"/>
                <w:lang w:val="es-EC" w:eastAsia="es-EC"/>
              </w:rPr>
              <w:br/>
              <w:t>Extracción de flora y fauna endémica</w:t>
            </w:r>
            <w:r w:rsidRPr="009E73C4">
              <w:rPr>
                <w:rFonts w:ascii="Arial Narrow" w:eastAsia="Times New Roman" w:hAnsi="Arial Narrow" w:cs="Calibri"/>
                <w:color w:val="000000"/>
                <w:sz w:val="18"/>
                <w:szCs w:val="18"/>
                <w:lang w:val="es-EC" w:eastAsia="es-EC"/>
              </w:rPr>
              <w:br/>
              <w:t>Cacería y pesca</w:t>
            </w:r>
            <w:r w:rsidRPr="009E73C4">
              <w:rPr>
                <w:rFonts w:ascii="Arial Narrow" w:eastAsia="Times New Roman" w:hAnsi="Arial Narrow" w:cs="Calibri"/>
                <w:color w:val="000000"/>
                <w:sz w:val="18"/>
                <w:szCs w:val="18"/>
                <w:lang w:val="es-EC" w:eastAsia="es-EC"/>
              </w:rPr>
              <w:br/>
              <w:t>Contaminación</w:t>
            </w:r>
          </w:p>
        </w:tc>
      </w:tr>
      <w:tr w:rsidR="00737C5B" w:rsidRPr="009E73C4" w14:paraId="306C2292" w14:textId="77777777" w:rsidTr="009E73C4">
        <w:trPr>
          <w:trHeight w:val="20"/>
        </w:trPr>
        <w:tc>
          <w:tcPr>
            <w:tcW w:w="9986" w:type="dxa"/>
            <w:gridSpan w:val="5"/>
            <w:shd w:val="clear" w:color="auto" w:fill="FBD4B4" w:themeFill="accent6" w:themeFillTint="66"/>
            <w:noWrap/>
            <w:vAlign w:val="center"/>
            <w:hideMark/>
          </w:tcPr>
          <w:p w14:paraId="0B6157A6"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737C5B" w:rsidRPr="009E73C4" w14:paraId="22175475" w14:textId="77777777" w:rsidTr="009E73C4">
        <w:trPr>
          <w:trHeight w:val="20"/>
        </w:trPr>
        <w:tc>
          <w:tcPr>
            <w:tcW w:w="1774" w:type="dxa"/>
            <w:shd w:val="clear" w:color="auto" w:fill="auto"/>
            <w:noWrap/>
            <w:vAlign w:val="center"/>
            <w:hideMark/>
          </w:tcPr>
          <w:p w14:paraId="3F76F569"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212" w:type="dxa"/>
            <w:gridSpan w:val="4"/>
            <w:shd w:val="clear" w:color="auto" w:fill="auto"/>
            <w:vAlign w:val="center"/>
          </w:tcPr>
          <w:p w14:paraId="51B183BA"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r w:rsidR="00737C5B" w:rsidRPr="009E73C4" w14:paraId="1C17C0AE" w14:textId="77777777" w:rsidTr="009E73C4">
        <w:trPr>
          <w:trHeight w:val="20"/>
        </w:trPr>
        <w:tc>
          <w:tcPr>
            <w:tcW w:w="1774" w:type="dxa"/>
            <w:shd w:val="clear" w:color="auto" w:fill="auto"/>
            <w:noWrap/>
            <w:vAlign w:val="center"/>
            <w:hideMark/>
          </w:tcPr>
          <w:p w14:paraId="740FD6D4"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212" w:type="dxa"/>
            <w:gridSpan w:val="4"/>
            <w:shd w:val="clear" w:color="auto" w:fill="auto"/>
          </w:tcPr>
          <w:p w14:paraId="1EB18A6A"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r w:rsidR="00737C5B" w:rsidRPr="009E73C4" w14:paraId="5DA90B0B" w14:textId="77777777" w:rsidTr="009E73C4">
        <w:trPr>
          <w:trHeight w:val="20"/>
        </w:trPr>
        <w:tc>
          <w:tcPr>
            <w:tcW w:w="1774" w:type="dxa"/>
            <w:shd w:val="clear" w:color="auto" w:fill="auto"/>
            <w:noWrap/>
            <w:vAlign w:val="center"/>
            <w:hideMark/>
          </w:tcPr>
          <w:p w14:paraId="56478137"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212" w:type="dxa"/>
            <w:gridSpan w:val="4"/>
            <w:shd w:val="clear" w:color="auto" w:fill="auto"/>
          </w:tcPr>
          <w:p w14:paraId="1035090E"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w:t>
            </w:r>
          </w:p>
        </w:tc>
      </w:tr>
    </w:tbl>
    <w:p w14:paraId="617CC01C" w14:textId="77777777" w:rsidR="00737C5B" w:rsidRPr="009E73C4" w:rsidRDefault="00737C5B" w:rsidP="00737C5B">
      <w:pPr>
        <w:rPr>
          <w:sz w:val="18"/>
          <w:szCs w:val="18"/>
          <w:lang w:val="es-EC" w:eastAsia="es-EC"/>
        </w:rPr>
      </w:pPr>
    </w:p>
    <w:p w14:paraId="45D7F533" w14:textId="0A3B91FA" w:rsidR="00737C5B" w:rsidRPr="009E73C4" w:rsidRDefault="00737C5B" w:rsidP="00737C5B">
      <w:pPr>
        <w:pStyle w:val="Descripcin"/>
        <w:rPr>
          <w:rFonts w:cstheme="majorHAnsi"/>
          <w:sz w:val="18"/>
        </w:rPr>
      </w:pPr>
      <w:r w:rsidRPr="009E73C4">
        <w:rPr>
          <w:rFonts w:cstheme="majorHAnsi"/>
          <w:sz w:val="18"/>
        </w:rPr>
        <w:t xml:space="preserve">Tabla </w:t>
      </w:r>
      <w:r w:rsidRPr="009E73C4">
        <w:rPr>
          <w:rFonts w:cstheme="majorHAnsi"/>
          <w:sz w:val="18"/>
        </w:rPr>
        <w:fldChar w:fldCharType="begin"/>
      </w:r>
      <w:r w:rsidRPr="009E73C4">
        <w:rPr>
          <w:rFonts w:cstheme="majorHAnsi"/>
          <w:sz w:val="18"/>
        </w:rPr>
        <w:instrText xml:space="preserve"> SEQ Tabla \* ARABIC </w:instrText>
      </w:r>
      <w:r w:rsidRPr="009E73C4">
        <w:rPr>
          <w:rFonts w:cstheme="majorHAnsi"/>
          <w:sz w:val="18"/>
        </w:rPr>
        <w:fldChar w:fldCharType="separate"/>
      </w:r>
      <w:r w:rsidR="00F53605">
        <w:rPr>
          <w:rFonts w:cstheme="majorHAnsi"/>
          <w:noProof/>
          <w:sz w:val="18"/>
        </w:rPr>
        <w:t>19</w:t>
      </w:r>
      <w:r w:rsidRPr="009E73C4">
        <w:rPr>
          <w:rFonts w:cstheme="majorHAnsi"/>
          <w:noProof/>
          <w:sz w:val="18"/>
        </w:rPr>
        <w:fldChar w:fldCharType="end"/>
      </w:r>
      <w:r w:rsidRPr="009E73C4">
        <w:rPr>
          <w:rFonts w:cstheme="majorHAnsi"/>
          <w:sz w:val="18"/>
        </w:rPr>
        <w:t xml:space="preserve">. Ficha para el PIT 11 - </w:t>
      </w:r>
      <w:r w:rsidRPr="009E73C4">
        <w:rPr>
          <w:rFonts w:ascii="Times New Roman" w:eastAsia="Times New Roman" w:hAnsi="Times New Roman" w:cs="Times New Roman"/>
          <w:color w:val="000000"/>
          <w:sz w:val="18"/>
          <w:lang w:val="es-EC" w:eastAsia="es-EC"/>
        </w:rPr>
        <w:t>Cementerio</w:t>
      </w:r>
    </w:p>
    <w:tbl>
      <w:tblPr>
        <w:tblW w:w="101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1914"/>
        <w:gridCol w:w="1984"/>
        <w:gridCol w:w="2158"/>
        <w:gridCol w:w="2311"/>
      </w:tblGrid>
      <w:tr w:rsidR="00737C5B" w:rsidRPr="009E73C4" w14:paraId="31EF6ADD" w14:textId="77777777" w:rsidTr="009E73C4">
        <w:trPr>
          <w:trHeight w:val="20"/>
        </w:trPr>
        <w:tc>
          <w:tcPr>
            <w:tcW w:w="10141" w:type="dxa"/>
            <w:gridSpan w:val="5"/>
            <w:shd w:val="clear" w:color="auto" w:fill="FBD4B4" w:themeFill="accent6" w:themeFillTint="66"/>
            <w:noWrap/>
            <w:vAlign w:val="center"/>
            <w:hideMark/>
          </w:tcPr>
          <w:p w14:paraId="07ED33F8" w14:textId="23A548A8" w:rsidR="00737C5B" w:rsidRPr="009E73C4" w:rsidRDefault="00C14635" w:rsidP="00C14635">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 11 - Cementerio</w:t>
            </w:r>
          </w:p>
        </w:tc>
      </w:tr>
      <w:tr w:rsidR="00737C5B" w:rsidRPr="009E73C4" w14:paraId="14A13C50" w14:textId="77777777" w:rsidTr="009E73C4">
        <w:trPr>
          <w:trHeight w:val="20"/>
        </w:trPr>
        <w:tc>
          <w:tcPr>
            <w:tcW w:w="1774" w:type="dxa"/>
            <w:shd w:val="clear" w:color="auto" w:fill="auto"/>
            <w:noWrap/>
            <w:vAlign w:val="center"/>
            <w:hideMark/>
          </w:tcPr>
          <w:p w14:paraId="48E37BD9"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PIT</w:t>
            </w:r>
          </w:p>
        </w:tc>
        <w:tc>
          <w:tcPr>
            <w:tcW w:w="3898" w:type="dxa"/>
            <w:gridSpan w:val="2"/>
            <w:shd w:val="clear" w:color="auto" w:fill="auto"/>
            <w:vAlign w:val="center"/>
            <w:hideMark/>
          </w:tcPr>
          <w:p w14:paraId="5A130C52"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Descripción</w:t>
            </w:r>
          </w:p>
        </w:tc>
        <w:tc>
          <w:tcPr>
            <w:tcW w:w="2158" w:type="dxa"/>
            <w:shd w:val="clear" w:color="auto" w:fill="auto"/>
            <w:noWrap/>
            <w:vAlign w:val="center"/>
            <w:hideMark/>
          </w:tcPr>
          <w:p w14:paraId="27CC937C"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 xml:space="preserve">Superficie (ha) </w:t>
            </w:r>
          </w:p>
        </w:tc>
        <w:tc>
          <w:tcPr>
            <w:tcW w:w="2311" w:type="dxa"/>
            <w:shd w:val="clear" w:color="auto" w:fill="auto"/>
            <w:noWrap/>
            <w:vAlign w:val="center"/>
            <w:hideMark/>
          </w:tcPr>
          <w:p w14:paraId="6E42D2E3"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Porcentaje</w:t>
            </w:r>
          </w:p>
        </w:tc>
      </w:tr>
      <w:tr w:rsidR="00737C5B" w:rsidRPr="009E73C4" w14:paraId="131503FA" w14:textId="77777777" w:rsidTr="009E73C4">
        <w:trPr>
          <w:trHeight w:val="2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387A2"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Arial Narrow" w:eastAsia="Times New Roman" w:hAnsi="Arial Narrow" w:cs="Calibri"/>
                <w:color w:val="000000"/>
                <w:sz w:val="18"/>
                <w:szCs w:val="18"/>
                <w:lang w:val="es-EC" w:eastAsia="es-EC"/>
              </w:rPr>
              <w:t>PIT11-CMT</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6F8AB"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Cementerio</w:t>
            </w:r>
          </w:p>
        </w:tc>
        <w:tc>
          <w:tcPr>
            <w:tcW w:w="2158" w:type="dxa"/>
            <w:tcBorders>
              <w:top w:val="single" w:sz="4" w:space="0" w:color="auto"/>
              <w:left w:val="nil"/>
              <w:bottom w:val="single" w:sz="4" w:space="0" w:color="auto"/>
              <w:right w:val="single" w:sz="4" w:space="0" w:color="auto"/>
            </w:tcBorders>
            <w:shd w:val="clear" w:color="auto" w:fill="auto"/>
            <w:vAlign w:val="center"/>
          </w:tcPr>
          <w:p w14:paraId="523E6F0B" w14:textId="2A1E7966" w:rsidR="00737C5B" w:rsidRPr="00CD3D81" w:rsidRDefault="00421D55" w:rsidP="00737C5B">
            <w:pPr>
              <w:jc w:val="center"/>
              <w:rPr>
                <w:rFonts w:ascii="Calibri" w:eastAsia="Times New Roman" w:hAnsi="Calibri" w:cs="Calibri"/>
                <w:sz w:val="18"/>
                <w:szCs w:val="18"/>
                <w:lang w:eastAsia="es-EC"/>
              </w:rPr>
            </w:pPr>
            <w:r w:rsidRPr="00CD3D81">
              <w:rPr>
                <w:rFonts w:ascii="Times New Roman" w:eastAsia="Times New Roman" w:hAnsi="Times New Roman" w:cs="Times New Roman"/>
                <w:sz w:val="18"/>
                <w:szCs w:val="18"/>
                <w:lang w:val="es-EC" w:eastAsia="es-EC"/>
              </w:rPr>
              <w:t>1.00</w:t>
            </w:r>
          </w:p>
        </w:tc>
        <w:tc>
          <w:tcPr>
            <w:tcW w:w="2311" w:type="dxa"/>
            <w:tcBorders>
              <w:top w:val="single" w:sz="4" w:space="0" w:color="auto"/>
              <w:left w:val="nil"/>
              <w:bottom w:val="single" w:sz="4" w:space="0" w:color="auto"/>
              <w:right w:val="single" w:sz="4" w:space="0" w:color="auto"/>
            </w:tcBorders>
            <w:shd w:val="clear" w:color="auto" w:fill="auto"/>
            <w:noWrap/>
            <w:vAlign w:val="center"/>
          </w:tcPr>
          <w:p w14:paraId="4036D84E" w14:textId="77777777" w:rsidR="00737C5B" w:rsidRPr="009E73C4" w:rsidRDefault="00737C5B" w:rsidP="00737C5B">
            <w:pPr>
              <w:jc w:val="center"/>
              <w:rPr>
                <w:rFonts w:ascii="Calibri" w:eastAsia="Times New Roman" w:hAnsi="Calibri" w:cs="Calibri"/>
                <w:color w:val="000000"/>
                <w:sz w:val="18"/>
                <w:szCs w:val="18"/>
                <w:lang w:eastAsia="es-EC"/>
              </w:rPr>
            </w:pPr>
            <w:r w:rsidRPr="009E73C4">
              <w:rPr>
                <w:rFonts w:ascii="Times New Roman" w:eastAsia="Times New Roman" w:hAnsi="Times New Roman" w:cs="Times New Roman"/>
                <w:color w:val="000000"/>
                <w:sz w:val="18"/>
                <w:szCs w:val="18"/>
                <w:lang w:val="es-EC" w:eastAsia="es-EC"/>
              </w:rPr>
              <w:t>0,00%</w:t>
            </w:r>
          </w:p>
        </w:tc>
      </w:tr>
      <w:tr w:rsidR="00737C5B" w:rsidRPr="009E73C4" w14:paraId="5587F358" w14:textId="77777777" w:rsidTr="009E73C4">
        <w:trPr>
          <w:trHeight w:val="20"/>
        </w:trPr>
        <w:tc>
          <w:tcPr>
            <w:tcW w:w="10141" w:type="dxa"/>
            <w:gridSpan w:val="5"/>
            <w:shd w:val="clear" w:color="auto" w:fill="auto"/>
            <w:noWrap/>
            <w:vAlign w:val="center"/>
          </w:tcPr>
          <w:p w14:paraId="284646EB" w14:textId="77777777" w:rsidR="00737C5B" w:rsidRPr="009E73C4" w:rsidRDefault="00737C5B" w:rsidP="00737C5B">
            <w:pPr>
              <w:jc w:val="center"/>
              <w:rPr>
                <w:rFonts w:ascii="Calibri" w:eastAsia="Times New Roman" w:hAnsi="Calibri" w:cs="Calibri"/>
                <w:color w:val="000000"/>
                <w:sz w:val="18"/>
                <w:szCs w:val="18"/>
                <w:lang w:eastAsia="es-EC"/>
              </w:rPr>
            </w:pPr>
          </w:p>
          <w:p w14:paraId="19D63957" w14:textId="77777777" w:rsidR="009E73C4" w:rsidRDefault="009E73C4" w:rsidP="00737C5B">
            <w:pPr>
              <w:jc w:val="center"/>
              <w:rPr>
                <w:rFonts w:ascii="Calibri" w:eastAsia="Times New Roman" w:hAnsi="Calibri" w:cs="Calibri"/>
                <w:color w:val="000000"/>
                <w:sz w:val="18"/>
                <w:szCs w:val="18"/>
                <w:lang w:eastAsia="es-EC"/>
              </w:rPr>
            </w:pPr>
          </w:p>
          <w:p w14:paraId="40D01DFF" w14:textId="77777777" w:rsidR="009E73C4" w:rsidRDefault="009E73C4" w:rsidP="00737C5B">
            <w:pPr>
              <w:jc w:val="center"/>
              <w:rPr>
                <w:rFonts w:ascii="Calibri" w:eastAsia="Times New Roman" w:hAnsi="Calibri" w:cs="Calibri"/>
                <w:color w:val="000000"/>
                <w:sz w:val="18"/>
                <w:szCs w:val="18"/>
                <w:lang w:eastAsia="es-EC"/>
              </w:rPr>
            </w:pPr>
          </w:p>
          <w:p w14:paraId="3AEA655E" w14:textId="77777777" w:rsidR="009E73C4" w:rsidRDefault="009E73C4" w:rsidP="00737C5B">
            <w:pPr>
              <w:jc w:val="center"/>
              <w:rPr>
                <w:rFonts w:ascii="Calibri" w:eastAsia="Times New Roman" w:hAnsi="Calibri" w:cs="Calibri"/>
                <w:color w:val="000000"/>
                <w:sz w:val="18"/>
                <w:szCs w:val="18"/>
                <w:lang w:eastAsia="es-EC"/>
              </w:rPr>
            </w:pPr>
          </w:p>
          <w:p w14:paraId="2B1B6895" w14:textId="0B1B8C84" w:rsidR="00737C5B" w:rsidRPr="009E73C4" w:rsidRDefault="00737C5B"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noProof/>
                <w:color w:val="000000"/>
                <w:sz w:val="18"/>
                <w:szCs w:val="18"/>
                <w:lang w:val="es-EC" w:eastAsia="es-EC"/>
              </w:rPr>
              <w:drawing>
                <wp:inline distT="0" distB="0" distL="0" distR="0" wp14:anchorId="68B9A348" wp14:editId="34B9F6CB">
                  <wp:extent cx="5054860" cy="3664138"/>
                  <wp:effectExtent l="0" t="0" r="0" b="0"/>
                  <wp:docPr id="1725259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59998" name=""/>
                          <pic:cNvPicPr/>
                        </pic:nvPicPr>
                        <pic:blipFill>
                          <a:blip r:embed="rId30"/>
                          <a:stretch>
                            <a:fillRect/>
                          </a:stretch>
                        </pic:blipFill>
                        <pic:spPr>
                          <a:xfrm>
                            <a:off x="0" y="0"/>
                            <a:ext cx="5054860" cy="3664138"/>
                          </a:xfrm>
                          <a:prstGeom prst="rect">
                            <a:avLst/>
                          </a:prstGeom>
                        </pic:spPr>
                      </pic:pic>
                    </a:graphicData>
                  </a:graphic>
                </wp:inline>
              </w:drawing>
            </w:r>
          </w:p>
        </w:tc>
      </w:tr>
      <w:tr w:rsidR="00737C5B" w:rsidRPr="009E73C4" w14:paraId="26944A6C" w14:textId="77777777" w:rsidTr="009E73C4">
        <w:trPr>
          <w:trHeight w:val="20"/>
        </w:trPr>
        <w:tc>
          <w:tcPr>
            <w:tcW w:w="10141" w:type="dxa"/>
            <w:gridSpan w:val="5"/>
            <w:shd w:val="clear" w:color="auto" w:fill="FBD4B4" w:themeFill="accent6" w:themeFillTint="66"/>
            <w:vAlign w:val="center"/>
            <w:hideMark/>
          </w:tcPr>
          <w:p w14:paraId="5B8F614A"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lastRenderedPageBreak/>
              <w:t>Tratamientos</w:t>
            </w:r>
          </w:p>
        </w:tc>
      </w:tr>
      <w:tr w:rsidR="00737C5B" w:rsidRPr="009E73C4" w14:paraId="3B4D7441" w14:textId="77777777" w:rsidTr="009E73C4">
        <w:trPr>
          <w:trHeight w:val="276"/>
        </w:trPr>
        <w:tc>
          <w:tcPr>
            <w:tcW w:w="10141" w:type="dxa"/>
            <w:gridSpan w:val="5"/>
            <w:vMerge w:val="restart"/>
            <w:shd w:val="clear" w:color="auto" w:fill="auto"/>
            <w:hideMark/>
          </w:tcPr>
          <w:p w14:paraId="21F7D259"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Times New Roman" w:hAnsi="Times New Roman" w:cs="Times New Roman"/>
                <w:sz w:val="18"/>
                <w:szCs w:val="18"/>
                <w:lang w:val="es-EC"/>
              </w:rPr>
              <w:t>Recuperación.- Se aplica a aquellas zonas de suelo rural de aprovechamiento productivo o extractivo que han sufrido un proceso de deterioro ambiental y/o paisajístico, debido al desarrollo de las actividades productivas o extractivas y cuya recuperación es necesaria para mantener el equilibrio de los ecosistemas naturales, según lo establecido en la legislación ambiental y agraria.</w:t>
            </w:r>
          </w:p>
        </w:tc>
      </w:tr>
      <w:tr w:rsidR="00737C5B" w:rsidRPr="009E73C4" w14:paraId="13F54810" w14:textId="77777777" w:rsidTr="009E73C4">
        <w:trPr>
          <w:trHeight w:val="276"/>
        </w:trPr>
        <w:tc>
          <w:tcPr>
            <w:tcW w:w="10141" w:type="dxa"/>
            <w:gridSpan w:val="5"/>
            <w:vMerge/>
            <w:vAlign w:val="center"/>
            <w:hideMark/>
          </w:tcPr>
          <w:p w14:paraId="2571A5E0" w14:textId="77777777" w:rsidR="00737C5B" w:rsidRPr="009E73C4" w:rsidRDefault="00737C5B" w:rsidP="00737C5B">
            <w:pPr>
              <w:rPr>
                <w:rFonts w:ascii="Calibri" w:eastAsia="Times New Roman" w:hAnsi="Calibri" w:cs="Calibri"/>
                <w:color w:val="000000"/>
                <w:sz w:val="18"/>
                <w:szCs w:val="18"/>
                <w:lang w:eastAsia="es-EC"/>
              </w:rPr>
            </w:pPr>
          </w:p>
        </w:tc>
      </w:tr>
      <w:tr w:rsidR="00737C5B" w:rsidRPr="009E73C4" w14:paraId="269A4A79" w14:textId="77777777" w:rsidTr="009E73C4">
        <w:trPr>
          <w:trHeight w:val="20"/>
        </w:trPr>
        <w:tc>
          <w:tcPr>
            <w:tcW w:w="10141" w:type="dxa"/>
            <w:gridSpan w:val="5"/>
            <w:shd w:val="clear" w:color="auto" w:fill="FBD4B4" w:themeFill="accent6" w:themeFillTint="66"/>
            <w:noWrap/>
            <w:vAlign w:val="center"/>
            <w:hideMark/>
          </w:tcPr>
          <w:p w14:paraId="43DA3E71"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Usos</w:t>
            </w:r>
          </w:p>
        </w:tc>
      </w:tr>
      <w:tr w:rsidR="00737C5B" w:rsidRPr="009E73C4" w14:paraId="0DF01D4B" w14:textId="77777777" w:rsidTr="009E73C4">
        <w:trPr>
          <w:trHeight w:val="20"/>
        </w:trPr>
        <w:tc>
          <w:tcPr>
            <w:tcW w:w="1774" w:type="dxa"/>
            <w:shd w:val="clear" w:color="auto" w:fill="FBD4B4" w:themeFill="accent6" w:themeFillTint="66"/>
            <w:noWrap/>
            <w:vAlign w:val="center"/>
            <w:hideMark/>
          </w:tcPr>
          <w:p w14:paraId="0827BA22" w14:textId="77777777" w:rsidR="00737C5B" w:rsidRPr="009E73C4" w:rsidRDefault="00737C5B" w:rsidP="00737C5B">
            <w:pPr>
              <w:rPr>
                <w:rFonts w:ascii="Calibri" w:eastAsia="Times New Roman" w:hAnsi="Calibri" w:cs="Calibri"/>
                <w:b/>
                <w:bCs/>
                <w:color w:val="000000"/>
                <w:sz w:val="18"/>
                <w:szCs w:val="18"/>
                <w:lang w:eastAsia="es-EC"/>
              </w:rPr>
            </w:pPr>
          </w:p>
        </w:tc>
        <w:tc>
          <w:tcPr>
            <w:tcW w:w="1914" w:type="dxa"/>
            <w:shd w:val="clear" w:color="auto" w:fill="FBD4B4" w:themeFill="accent6" w:themeFillTint="66"/>
            <w:vAlign w:val="center"/>
            <w:hideMark/>
          </w:tcPr>
          <w:p w14:paraId="771C6A56"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Principal</w:t>
            </w:r>
          </w:p>
        </w:tc>
        <w:tc>
          <w:tcPr>
            <w:tcW w:w="1984" w:type="dxa"/>
            <w:shd w:val="clear" w:color="auto" w:fill="FBD4B4" w:themeFill="accent6" w:themeFillTint="66"/>
            <w:noWrap/>
            <w:vAlign w:val="center"/>
            <w:hideMark/>
          </w:tcPr>
          <w:p w14:paraId="18286A18"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Complementario</w:t>
            </w:r>
          </w:p>
        </w:tc>
        <w:tc>
          <w:tcPr>
            <w:tcW w:w="2158" w:type="dxa"/>
            <w:shd w:val="clear" w:color="auto" w:fill="FBD4B4" w:themeFill="accent6" w:themeFillTint="66"/>
            <w:noWrap/>
            <w:vAlign w:val="center"/>
            <w:hideMark/>
          </w:tcPr>
          <w:p w14:paraId="617AD024"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Restringido</w:t>
            </w:r>
          </w:p>
        </w:tc>
        <w:tc>
          <w:tcPr>
            <w:tcW w:w="2311" w:type="dxa"/>
            <w:shd w:val="clear" w:color="auto" w:fill="FBD4B4" w:themeFill="accent6" w:themeFillTint="66"/>
            <w:noWrap/>
            <w:vAlign w:val="center"/>
            <w:hideMark/>
          </w:tcPr>
          <w:p w14:paraId="3F8FE279"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Prohibido</w:t>
            </w:r>
          </w:p>
        </w:tc>
      </w:tr>
      <w:tr w:rsidR="00737C5B" w:rsidRPr="009E73C4" w14:paraId="1114D890" w14:textId="77777777" w:rsidTr="009E73C4">
        <w:trPr>
          <w:trHeight w:val="20"/>
        </w:trPr>
        <w:tc>
          <w:tcPr>
            <w:tcW w:w="1774" w:type="dxa"/>
            <w:tcBorders>
              <w:top w:val="single" w:sz="4" w:space="0" w:color="auto"/>
              <w:left w:val="single" w:sz="4" w:space="0" w:color="auto"/>
              <w:bottom w:val="single" w:sz="4" w:space="0" w:color="auto"/>
              <w:right w:val="nil"/>
            </w:tcBorders>
            <w:shd w:val="clear" w:color="auto" w:fill="auto"/>
            <w:noWrap/>
            <w:vAlign w:val="center"/>
          </w:tcPr>
          <w:p w14:paraId="4FA077D9" w14:textId="77777777" w:rsidR="00737C5B" w:rsidRPr="009E73C4" w:rsidRDefault="00737C5B" w:rsidP="00737C5B">
            <w:pPr>
              <w:rPr>
                <w:rFonts w:ascii="Calibri" w:eastAsia="Times New Roman" w:hAnsi="Calibri" w:cs="Calibri"/>
                <w:sz w:val="18"/>
                <w:szCs w:val="18"/>
                <w:lang w:eastAsia="es-EC"/>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A22A31C"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Religioso</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DD85CDC"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Patrimonio</w:t>
            </w:r>
          </w:p>
        </w:tc>
        <w:tc>
          <w:tcPr>
            <w:tcW w:w="2158" w:type="dxa"/>
            <w:tcBorders>
              <w:top w:val="single" w:sz="4" w:space="0" w:color="auto"/>
              <w:left w:val="nil"/>
              <w:bottom w:val="single" w:sz="4" w:space="0" w:color="auto"/>
              <w:right w:val="single" w:sz="4" w:space="0" w:color="auto"/>
            </w:tcBorders>
            <w:shd w:val="clear" w:color="auto" w:fill="auto"/>
            <w:noWrap/>
            <w:vAlign w:val="center"/>
          </w:tcPr>
          <w:p w14:paraId="706F4F24" w14:textId="3DA3AF9E" w:rsidR="00737C5B" w:rsidRPr="009E73C4" w:rsidRDefault="00A35002" w:rsidP="00737C5B">
            <w:pPr>
              <w:rPr>
                <w:rFonts w:ascii="Calibri" w:eastAsia="Times New Roman" w:hAnsi="Calibri" w:cs="Calibri"/>
                <w:sz w:val="18"/>
                <w:szCs w:val="18"/>
                <w:lang w:eastAsia="es-EC"/>
              </w:rPr>
            </w:pPr>
            <w:r>
              <w:rPr>
                <w:rFonts w:ascii="Arial Narrow" w:eastAsia="Times New Roman" w:hAnsi="Arial Narrow" w:cs="Calibri"/>
                <w:color w:val="000000"/>
                <w:sz w:val="18"/>
                <w:szCs w:val="18"/>
                <w:lang w:val="es-EC" w:eastAsia="es-EC"/>
              </w:rPr>
              <w:t>Rural</w:t>
            </w:r>
            <w:r w:rsidR="00737C5B" w:rsidRPr="009E73C4">
              <w:rPr>
                <w:rFonts w:ascii="Arial Narrow" w:eastAsia="Times New Roman" w:hAnsi="Arial Narrow" w:cs="Calibri"/>
                <w:color w:val="000000"/>
                <w:sz w:val="18"/>
                <w:szCs w:val="18"/>
                <w:lang w:val="es-EC" w:eastAsia="es-EC"/>
              </w:rPr>
              <w:t xml:space="preserve"> y pecuario</w:t>
            </w:r>
          </w:p>
        </w:tc>
        <w:tc>
          <w:tcPr>
            <w:tcW w:w="2311" w:type="dxa"/>
            <w:tcBorders>
              <w:top w:val="single" w:sz="4" w:space="0" w:color="auto"/>
              <w:left w:val="nil"/>
              <w:bottom w:val="single" w:sz="4" w:space="0" w:color="auto"/>
              <w:right w:val="single" w:sz="4" w:space="0" w:color="auto"/>
            </w:tcBorders>
            <w:shd w:val="clear" w:color="auto" w:fill="auto"/>
            <w:noWrap/>
            <w:vAlign w:val="center"/>
          </w:tcPr>
          <w:p w14:paraId="793C1594" w14:textId="77777777" w:rsidR="00737C5B" w:rsidRPr="009E73C4" w:rsidRDefault="00737C5B" w:rsidP="00737C5B">
            <w:pPr>
              <w:rPr>
                <w:rFonts w:ascii="Calibri" w:eastAsia="Times New Roman" w:hAnsi="Calibri" w:cs="Calibri"/>
                <w:sz w:val="18"/>
                <w:szCs w:val="18"/>
                <w:lang w:eastAsia="es-EC"/>
              </w:rPr>
            </w:pPr>
            <w:r w:rsidRPr="009E73C4">
              <w:rPr>
                <w:rFonts w:ascii="Arial Narrow" w:eastAsia="Times New Roman" w:hAnsi="Arial Narrow" w:cs="Calibri"/>
                <w:color w:val="000000"/>
                <w:sz w:val="18"/>
                <w:szCs w:val="18"/>
                <w:lang w:val="es-EC" w:eastAsia="es-EC"/>
              </w:rPr>
              <w:t>Vivienda</w:t>
            </w:r>
          </w:p>
        </w:tc>
      </w:tr>
      <w:tr w:rsidR="00737C5B" w:rsidRPr="009E73C4" w14:paraId="0237F779" w14:textId="77777777" w:rsidTr="009E73C4">
        <w:trPr>
          <w:trHeight w:val="20"/>
        </w:trPr>
        <w:tc>
          <w:tcPr>
            <w:tcW w:w="10141" w:type="dxa"/>
            <w:gridSpan w:val="5"/>
            <w:shd w:val="clear" w:color="auto" w:fill="FBD4B4" w:themeFill="accent6" w:themeFillTint="66"/>
            <w:noWrap/>
            <w:vAlign w:val="center"/>
            <w:hideMark/>
          </w:tcPr>
          <w:p w14:paraId="67C4C149" w14:textId="77777777" w:rsidR="00737C5B" w:rsidRPr="009E73C4" w:rsidRDefault="00737C5B" w:rsidP="00737C5B">
            <w:pPr>
              <w:jc w:val="center"/>
              <w:rPr>
                <w:rFonts w:ascii="Calibri" w:eastAsia="Times New Roman" w:hAnsi="Calibri" w:cs="Calibri"/>
                <w:b/>
                <w:bCs/>
                <w:color w:val="000000"/>
                <w:sz w:val="18"/>
                <w:szCs w:val="18"/>
                <w:lang w:eastAsia="es-EC"/>
              </w:rPr>
            </w:pPr>
            <w:r w:rsidRPr="009E73C4">
              <w:rPr>
                <w:rFonts w:ascii="Calibri" w:eastAsia="Times New Roman" w:hAnsi="Calibri" w:cs="Calibri"/>
                <w:b/>
                <w:bCs/>
                <w:color w:val="000000"/>
                <w:sz w:val="18"/>
                <w:szCs w:val="18"/>
                <w:lang w:eastAsia="es-EC"/>
              </w:rPr>
              <w:t>Aprovechamientos</w:t>
            </w:r>
          </w:p>
        </w:tc>
      </w:tr>
      <w:tr w:rsidR="00737C5B" w:rsidRPr="009E73C4" w14:paraId="53F012FE" w14:textId="77777777" w:rsidTr="009E73C4">
        <w:trPr>
          <w:trHeight w:val="20"/>
        </w:trPr>
        <w:tc>
          <w:tcPr>
            <w:tcW w:w="1774" w:type="dxa"/>
            <w:shd w:val="clear" w:color="auto" w:fill="auto"/>
            <w:noWrap/>
            <w:vAlign w:val="center"/>
            <w:hideMark/>
          </w:tcPr>
          <w:p w14:paraId="381D8A4A"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Fraccionamiento</w:t>
            </w:r>
          </w:p>
        </w:tc>
        <w:tc>
          <w:tcPr>
            <w:tcW w:w="8367" w:type="dxa"/>
            <w:gridSpan w:val="4"/>
            <w:shd w:val="clear" w:color="auto" w:fill="auto"/>
            <w:vAlign w:val="center"/>
          </w:tcPr>
          <w:p w14:paraId="604F0E9A" w14:textId="54053494"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737C5B" w:rsidRPr="009E73C4" w14:paraId="2500EFB1" w14:textId="77777777" w:rsidTr="009E73C4">
        <w:trPr>
          <w:trHeight w:val="20"/>
        </w:trPr>
        <w:tc>
          <w:tcPr>
            <w:tcW w:w="1774" w:type="dxa"/>
            <w:shd w:val="clear" w:color="auto" w:fill="auto"/>
            <w:noWrap/>
            <w:vAlign w:val="center"/>
            <w:hideMark/>
          </w:tcPr>
          <w:p w14:paraId="3C158D70"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Ocupación</w:t>
            </w:r>
          </w:p>
        </w:tc>
        <w:tc>
          <w:tcPr>
            <w:tcW w:w="8367" w:type="dxa"/>
            <w:gridSpan w:val="4"/>
            <w:shd w:val="clear" w:color="auto" w:fill="auto"/>
          </w:tcPr>
          <w:p w14:paraId="21DFE27F" w14:textId="45336D0D"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tr w:rsidR="00737C5B" w:rsidRPr="009E73C4" w14:paraId="1E38163B" w14:textId="77777777" w:rsidTr="009E73C4">
        <w:trPr>
          <w:trHeight w:val="20"/>
        </w:trPr>
        <w:tc>
          <w:tcPr>
            <w:tcW w:w="1774" w:type="dxa"/>
            <w:shd w:val="clear" w:color="auto" w:fill="auto"/>
            <w:noWrap/>
            <w:vAlign w:val="center"/>
            <w:hideMark/>
          </w:tcPr>
          <w:p w14:paraId="2FF80CB4" w14:textId="77777777" w:rsidR="00737C5B" w:rsidRPr="009E73C4" w:rsidRDefault="00737C5B" w:rsidP="00737C5B">
            <w:pP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Edificabilidad</w:t>
            </w:r>
          </w:p>
        </w:tc>
        <w:tc>
          <w:tcPr>
            <w:tcW w:w="8367" w:type="dxa"/>
            <w:gridSpan w:val="4"/>
            <w:shd w:val="clear" w:color="auto" w:fill="auto"/>
          </w:tcPr>
          <w:p w14:paraId="5A0C2018" w14:textId="702C7C66" w:rsidR="00737C5B" w:rsidRPr="009E73C4" w:rsidRDefault="00DE25C0" w:rsidP="00737C5B">
            <w:pPr>
              <w:jc w:val="center"/>
              <w:rPr>
                <w:rFonts w:ascii="Calibri" w:eastAsia="Times New Roman" w:hAnsi="Calibri" w:cs="Calibri"/>
                <w:color w:val="000000"/>
                <w:sz w:val="18"/>
                <w:szCs w:val="18"/>
                <w:lang w:eastAsia="es-EC"/>
              </w:rPr>
            </w:pPr>
            <w:r w:rsidRPr="009E73C4">
              <w:rPr>
                <w:rFonts w:ascii="Calibri" w:eastAsia="Times New Roman" w:hAnsi="Calibri" w:cs="Calibri"/>
                <w:color w:val="000000"/>
                <w:sz w:val="18"/>
                <w:szCs w:val="18"/>
                <w:lang w:eastAsia="es-EC"/>
              </w:rPr>
              <w:t>NO APLICA</w:t>
            </w:r>
          </w:p>
        </w:tc>
      </w:tr>
      <w:bookmarkEnd w:id="131"/>
    </w:tbl>
    <w:p w14:paraId="536C9004" w14:textId="77777777" w:rsidR="00C560C0" w:rsidRPr="00B24A80" w:rsidRDefault="00C560C0" w:rsidP="00C560C0">
      <w:pPr>
        <w:rPr>
          <w:sz w:val="22"/>
          <w:szCs w:val="22"/>
        </w:rPr>
      </w:pPr>
    </w:p>
    <w:p w14:paraId="78490A50" w14:textId="10FDC990" w:rsidR="00EC40C3"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 xml:space="preserve">Componente urbanístico – suelo rural de expansión urbana. </w:t>
      </w:r>
    </w:p>
    <w:p w14:paraId="251DA470" w14:textId="70F2B9E0" w:rsidR="00DC27E8" w:rsidRPr="00B24A80" w:rsidRDefault="00ED724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Para el cantón </w:t>
      </w:r>
      <w:r w:rsidR="00E30701" w:rsidRPr="00B24A80">
        <w:rPr>
          <w:rFonts w:asciiTheme="majorHAnsi" w:eastAsia="Calibri" w:hAnsiTheme="majorHAnsi" w:cstheme="majorHAnsi"/>
          <w:sz w:val="22"/>
          <w:szCs w:val="22"/>
        </w:rPr>
        <w:t>La Joya de los Sachas</w:t>
      </w:r>
      <w:r w:rsidRPr="00B24A80">
        <w:rPr>
          <w:rFonts w:asciiTheme="majorHAnsi" w:eastAsia="Calibri" w:hAnsiTheme="majorHAnsi" w:cstheme="majorHAnsi"/>
          <w:sz w:val="22"/>
          <w:szCs w:val="22"/>
        </w:rPr>
        <w:t xml:space="preserve"> el </w:t>
      </w:r>
      <w:r w:rsidR="00EC40C3" w:rsidRPr="00B24A80">
        <w:rPr>
          <w:rFonts w:asciiTheme="majorHAnsi" w:eastAsia="Calibri" w:hAnsiTheme="majorHAnsi" w:cstheme="majorHAnsi"/>
          <w:sz w:val="22"/>
          <w:szCs w:val="22"/>
        </w:rPr>
        <w:t xml:space="preserve">Suelo </w:t>
      </w:r>
      <w:r w:rsidR="00783426" w:rsidRPr="00B24A80">
        <w:rPr>
          <w:rFonts w:asciiTheme="majorHAnsi" w:eastAsia="Calibri" w:hAnsiTheme="majorHAnsi" w:cstheme="majorHAnsi"/>
          <w:sz w:val="22"/>
          <w:szCs w:val="22"/>
        </w:rPr>
        <w:t>R</w:t>
      </w:r>
      <w:r w:rsidR="00EC40C3" w:rsidRPr="00B24A80">
        <w:rPr>
          <w:rFonts w:asciiTheme="majorHAnsi" w:eastAsia="Calibri" w:hAnsiTheme="majorHAnsi" w:cstheme="majorHAnsi"/>
          <w:sz w:val="22"/>
          <w:szCs w:val="22"/>
        </w:rPr>
        <w:t xml:space="preserve">ural de </w:t>
      </w:r>
      <w:r w:rsidR="00783426" w:rsidRPr="00B24A80">
        <w:rPr>
          <w:rFonts w:asciiTheme="majorHAnsi" w:eastAsia="Calibri" w:hAnsiTheme="majorHAnsi" w:cstheme="majorHAnsi"/>
          <w:sz w:val="22"/>
          <w:szCs w:val="22"/>
        </w:rPr>
        <w:t>E</w:t>
      </w:r>
      <w:r w:rsidR="00EC40C3" w:rsidRPr="00B24A80">
        <w:rPr>
          <w:rFonts w:asciiTheme="majorHAnsi" w:eastAsia="Calibri" w:hAnsiTheme="majorHAnsi" w:cstheme="majorHAnsi"/>
          <w:sz w:val="22"/>
          <w:szCs w:val="22"/>
        </w:rPr>
        <w:t>xpansión Urbana</w:t>
      </w:r>
      <w:r w:rsidRPr="00B24A80">
        <w:rPr>
          <w:rFonts w:asciiTheme="majorHAnsi" w:eastAsia="Calibri" w:hAnsiTheme="majorHAnsi" w:cstheme="majorHAnsi"/>
          <w:sz w:val="22"/>
          <w:szCs w:val="22"/>
        </w:rPr>
        <w:t xml:space="preserve">, no se </w:t>
      </w:r>
      <w:r w:rsidR="00824A6B" w:rsidRPr="00B24A80">
        <w:rPr>
          <w:rFonts w:asciiTheme="majorHAnsi" w:eastAsia="Calibri" w:hAnsiTheme="majorHAnsi" w:cstheme="majorHAnsi"/>
          <w:sz w:val="22"/>
          <w:szCs w:val="22"/>
        </w:rPr>
        <w:t xml:space="preserve">ha </w:t>
      </w:r>
      <w:r w:rsidRPr="00B24A80">
        <w:rPr>
          <w:rFonts w:asciiTheme="majorHAnsi" w:eastAsia="Calibri" w:hAnsiTheme="majorHAnsi" w:cstheme="majorHAnsi"/>
          <w:sz w:val="22"/>
          <w:szCs w:val="22"/>
        </w:rPr>
        <w:t>considera</w:t>
      </w:r>
      <w:r w:rsidR="007037E8">
        <w:rPr>
          <w:rFonts w:asciiTheme="majorHAnsi" w:eastAsia="Calibri" w:hAnsiTheme="majorHAnsi" w:cstheme="majorHAnsi"/>
          <w:sz w:val="22"/>
          <w:szCs w:val="22"/>
        </w:rPr>
        <w:t>do</w:t>
      </w:r>
      <w:r w:rsidRPr="00B24A80">
        <w:rPr>
          <w:rFonts w:asciiTheme="majorHAnsi" w:eastAsia="Calibri" w:hAnsiTheme="majorHAnsi" w:cstheme="majorHAnsi"/>
          <w:sz w:val="22"/>
          <w:szCs w:val="22"/>
        </w:rPr>
        <w:t xml:space="preserve"> </w:t>
      </w:r>
      <w:r w:rsidR="00824A6B" w:rsidRPr="00B24A80">
        <w:rPr>
          <w:rFonts w:asciiTheme="majorHAnsi" w:eastAsia="Calibri" w:hAnsiTheme="majorHAnsi" w:cstheme="majorHAnsi"/>
          <w:sz w:val="22"/>
          <w:szCs w:val="22"/>
        </w:rPr>
        <w:t>una designación en el territorio</w:t>
      </w:r>
      <w:r w:rsidRPr="00B24A80">
        <w:rPr>
          <w:rFonts w:asciiTheme="majorHAnsi" w:eastAsia="Calibri" w:hAnsiTheme="majorHAnsi" w:cstheme="majorHAnsi"/>
          <w:sz w:val="22"/>
          <w:szCs w:val="22"/>
        </w:rPr>
        <w:t xml:space="preserve"> debido a que, luego del análisis </w:t>
      </w:r>
      <w:r w:rsidR="00C14635" w:rsidRPr="00B24A80">
        <w:rPr>
          <w:rFonts w:asciiTheme="majorHAnsi" w:eastAsia="Calibri" w:hAnsiTheme="majorHAnsi" w:cstheme="majorHAnsi"/>
          <w:sz w:val="22"/>
          <w:szCs w:val="22"/>
        </w:rPr>
        <w:t>geoestadístico</w:t>
      </w:r>
      <w:r w:rsidRPr="00B24A80">
        <w:rPr>
          <w:rFonts w:asciiTheme="majorHAnsi" w:eastAsia="Calibri" w:hAnsiTheme="majorHAnsi" w:cstheme="majorHAnsi"/>
          <w:sz w:val="22"/>
          <w:szCs w:val="22"/>
        </w:rPr>
        <w:t xml:space="preserve"> realizado, </w:t>
      </w:r>
      <w:r w:rsidR="00AC6C7C" w:rsidRPr="00B24A80">
        <w:rPr>
          <w:rFonts w:asciiTheme="majorHAnsi" w:eastAsia="Calibri" w:hAnsiTheme="majorHAnsi" w:cstheme="majorHAnsi"/>
          <w:sz w:val="22"/>
          <w:szCs w:val="22"/>
        </w:rPr>
        <w:t>se concluye la existencia</w:t>
      </w:r>
      <w:r w:rsidRPr="00B24A80">
        <w:rPr>
          <w:rFonts w:asciiTheme="majorHAnsi" w:eastAsia="Calibri" w:hAnsiTheme="majorHAnsi" w:cstheme="majorHAnsi"/>
          <w:sz w:val="22"/>
          <w:szCs w:val="22"/>
        </w:rPr>
        <w:t xml:space="preserve"> </w:t>
      </w:r>
      <w:r w:rsidR="00AC6C7C" w:rsidRPr="00B24A80">
        <w:rPr>
          <w:rFonts w:asciiTheme="majorHAnsi" w:eastAsia="Calibri" w:hAnsiTheme="majorHAnsi" w:cstheme="majorHAnsi"/>
          <w:sz w:val="22"/>
          <w:szCs w:val="22"/>
        </w:rPr>
        <w:t>de</w:t>
      </w:r>
      <w:r w:rsidR="007E725C" w:rsidRPr="00B24A80">
        <w:rPr>
          <w:rFonts w:asciiTheme="majorHAnsi" w:eastAsia="Calibri" w:hAnsiTheme="majorHAnsi" w:cstheme="majorHAnsi"/>
          <w:sz w:val="22"/>
          <w:szCs w:val="22"/>
        </w:rPr>
        <w:t xml:space="preserve"> un gran porcentaje de</w:t>
      </w:r>
      <w:r w:rsidR="00AC6C7C" w:rsidRPr="00B24A80">
        <w:rPr>
          <w:rFonts w:asciiTheme="majorHAnsi" w:eastAsia="Calibri" w:hAnsiTheme="majorHAnsi" w:cstheme="majorHAnsi"/>
          <w:sz w:val="22"/>
          <w:szCs w:val="22"/>
        </w:rPr>
        <w:t xml:space="preserve"> suelo </w:t>
      </w:r>
      <w:r w:rsidRPr="00B24A80">
        <w:rPr>
          <w:rFonts w:asciiTheme="majorHAnsi" w:eastAsia="Calibri" w:hAnsiTheme="majorHAnsi" w:cstheme="majorHAnsi"/>
          <w:sz w:val="22"/>
          <w:szCs w:val="22"/>
        </w:rPr>
        <w:t xml:space="preserve">urbano no consolidado </w:t>
      </w:r>
      <w:r w:rsidR="00AC6C7C" w:rsidRPr="00B24A80">
        <w:rPr>
          <w:rFonts w:asciiTheme="majorHAnsi" w:eastAsia="Calibri" w:hAnsiTheme="majorHAnsi" w:cstheme="majorHAnsi"/>
          <w:sz w:val="22"/>
          <w:szCs w:val="22"/>
        </w:rPr>
        <w:t xml:space="preserve">disponible dentro de los </w:t>
      </w:r>
      <w:r w:rsidR="00EC40C3" w:rsidRPr="00B24A80">
        <w:rPr>
          <w:rFonts w:asciiTheme="majorHAnsi" w:eastAsia="Calibri" w:hAnsiTheme="majorHAnsi" w:cstheme="majorHAnsi"/>
          <w:sz w:val="22"/>
          <w:szCs w:val="22"/>
        </w:rPr>
        <w:t>actuales</w:t>
      </w:r>
      <w:r w:rsidR="00AC6C7C" w:rsidRPr="00B24A80">
        <w:rPr>
          <w:rFonts w:asciiTheme="majorHAnsi" w:eastAsia="Calibri" w:hAnsiTheme="majorHAnsi" w:cstheme="majorHAnsi"/>
          <w:sz w:val="22"/>
          <w:szCs w:val="22"/>
        </w:rPr>
        <w:t xml:space="preserve"> </w:t>
      </w:r>
      <w:r w:rsidR="00F36BC9" w:rsidRPr="00B24A80">
        <w:rPr>
          <w:rFonts w:asciiTheme="majorHAnsi" w:eastAsia="Calibri" w:hAnsiTheme="majorHAnsi" w:cstheme="majorHAnsi"/>
          <w:sz w:val="22"/>
          <w:szCs w:val="22"/>
        </w:rPr>
        <w:t>límites</w:t>
      </w:r>
      <w:r w:rsidR="00AC6C7C" w:rsidRPr="00B24A80">
        <w:rPr>
          <w:rFonts w:asciiTheme="majorHAnsi" w:eastAsia="Calibri" w:hAnsiTheme="majorHAnsi" w:cstheme="majorHAnsi"/>
          <w:sz w:val="22"/>
          <w:szCs w:val="22"/>
        </w:rPr>
        <w:t xml:space="preserve"> urbanos y que requiere de su consolidación evitando la expansión urbana de forma horizontal</w:t>
      </w:r>
      <w:r w:rsidR="00824A6B" w:rsidRPr="00B24A80">
        <w:rPr>
          <w:rFonts w:asciiTheme="majorHAnsi" w:eastAsia="Calibri" w:hAnsiTheme="majorHAnsi" w:cstheme="majorHAnsi"/>
          <w:sz w:val="22"/>
          <w:szCs w:val="22"/>
        </w:rPr>
        <w:t xml:space="preserve">, debiéndose priorizar la consolidación del suelo vacante dentro del área urbana previo a la expansión </w:t>
      </w:r>
      <w:r w:rsidR="007E725C" w:rsidRPr="00B24A80">
        <w:rPr>
          <w:rFonts w:asciiTheme="majorHAnsi" w:eastAsia="Calibri" w:hAnsiTheme="majorHAnsi" w:cstheme="majorHAnsi"/>
          <w:sz w:val="22"/>
          <w:szCs w:val="22"/>
        </w:rPr>
        <w:t>de este a suelo  rural.</w:t>
      </w:r>
    </w:p>
    <w:p w14:paraId="7D3A1C73" w14:textId="6B1D2535" w:rsidR="004B22F9" w:rsidRPr="00B24A80" w:rsidRDefault="004B22F9">
      <w:pPr>
        <w:rPr>
          <w:rFonts w:asciiTheme="majorHAnsi" w:eastAsia="Calibri" w:hAnsiTheme="majorHAnsi" w:cstheme="majorHAnsi"/>
          <w:b/>
          <w:sz w:val="22"/>
          <w:szCs w:val="22"/>
        </w:rPr>
      </w:pPr>
      <w:r w:rsidRPr="00B24A80">
        <w:rPr>
          <w:rFonts w:asciiTheme="majorHAnsi" w:eastAsia="Calibri" w:hAnsiTheme="majorHAnsi" w:cstheme="majorHAnsi"/>
          <w:b/>
          <w:sz w:val="22"/>
          <w:szCs w:val="22"/>
        </w:rPr>
        <w:br w:type="page"/>
      </w:r>
    </w:p>
    <w:p w14:paraId="3848048B" w14:textId="103007DC" w:rsidR="005B3B30" w:rsidRPr="005B3B30" w:rsidRDefault="007F5505" w:rsidP="005B3B30">
      <w:pPr>
        <w:pStyle w:val="Ttulo4"/>
        <w:rPr>
          <w:rFonts w:cstheme="majorHAnsi"/>
          <w:sz w:val="22"/>
          <w:szCs w:val="22"/>
        </w:rPr>
      </w:pPr>
      <w:bookmarkStart w:id="137" w:name="_heading=h.1egqt2p" w:colFirst="0" w:colLast="0"/>
      <w:bookmarkStart w:id="138" w:name="_heading=h.2dlolyb" w:colFirst="0" w:colLast="0"/>
      <w:bookmarkStart w:id="139" w:name="_Toc81085646"/>
      <w:bookmarkStart w:id="140" w:name="_Toc181374083"/>
      <w:bookmarkEnd w:id="137"/>
      <w:bookmarkEnd w:id="138"/>
      <w:r w:rsidRPr="00B24A80">
        <w:rPr>
          <w:rFonts w:cstheme="majorHAnsi"/>
          <w:sz w:val="22"/>
          <w:szCs w:val="22"/>
        </w:rPr>
        <w:lastRenderedPageBreak/>
        <w:t xml:space="preserve">SECCIÓN </w:t>
      </w:r>
      <w:r w:rsidR="005B3B30">
        <w:rPr>
          <w:rFonts w:cstheme="majorHAnsi"/>
          <w:sz w:val="22"/>
          <w:szCs w:val="22"/>
        </w:rPr>
        <w:t>III</w:t>
      </w:r>
      <w:bookmarkEnd w:id="140"/>
    </w:p>
    <w:p w14:paraId="3DE31094" w14:textId="303460E5" w:rsidR="005B3B30" w:rsidRDefault="005B3B30" w:rsidP="005B3B30">
      <w:pPr>
        <w:pStyle w:val="Prrafodelista"/>
        <w:widowControl/>
        <w:tabs>
          <w:tab w:val="left" w:pos="851"/>
        </w:tabs>
        <w:spacing w:after="240" w:line="276" w:lineRule="auto"/>
        <w:ind w:left="0" w:right="-100"/>
        <w:jc w:val="center"/>
        <w:rPr>
          <w:rFonts w:asciiTheme="majorHAnsi" w:eastAsia="Calibri" w:hAnsiTheme="majorHAnsi" w:cstheme="majorHAnsi"/>
          <w:b/>
          <w:szCs w:val="22"/>
        </w:rPr>
      </w:pPr>
      <w:r w:rsidRPr="005B3B30">
        <w:rPr>
          <w:rFonts w:asciiTheme="majorHAnsi" w:eastAsia="Calibri" w:hAnsiTheme="majorHAnsi" w:cstheme="majorHAnsi"/>
          <w:b/>
          <w:szCs w:val="22"/>
        </w:rPr>
        <w:t>Cambio de uso de suelo</w:t>
      </w:r>
    </w:p>
    <w:p w14:paraId="647600D7" w14:textId="77777777" w:rsidR="005B3B30" w:rsidRPr="005B3B30" w:rsidRDefault="005B3B30" w:rsidP="005B3B30">
      <w:pPr>
        <w:pStyle w:val="Prrafodelista"/>
        <w:widowControl/>
        <w:tabs>
          <w:tab w:val="left" w:pos="851"/>
        </w:tabs>
        <w:spacing w:after="240" w:line="276" w:lineRule="auto"/>
        <w:ind w:left="0" w:right="-100"/>
        <w:jc w:val="center"/>
        <w:rPr>
          <w:rFonts w:asciiTheme="majorHAnsi" w:eastAsia="Calibri" w:hAnsiTheme="majorHAnsi" w:cstheme="majorHAnsi"/>
          <w:b/>
          <w:szCs w:val="22"/>
        </w:rPr>
      </w:pPr>
    </w:p>
    <w:p w14:paraId="66AB2900" w14:textId="35B1BDC6" w:rsidR="005B3B30" w:rsidRPr="005B3B30" w:rsidRDefault="005B3B30" w:rsidP="005B3B30">
      <w:pPr>
        <w:pStyle w:val="Prrafodelista"/>
        <w:widowControl/>
        <w:numPr>
          <w:ilvl w:val="0"/>
          <w:numId w:val="114"/>
        </w:numPr>
        <w:tabs>
          <w:tab w:val="left" w:pos="851"/>
        </w:tabs>
        <w:spacing w:after="240" w:line="276" w:lineRule="auto"/>
        <w:ind w:left="0" w:right="-100" w:firstLine="0"/>
        <w:rPr>
          <w:rFonts w:cstheme="majorHAnsi"/>
          <w:szCs w:val="22"/>
        </w:rPr>
      </w:pPr>
      <w:r w:rsidRPr="005B3B30">
        <w:rPr>
          <w:rFonts w:asciiTheme="majorHAnsi" w:eastAsia="Calibri" w:hAnsiTheme="majorHAnsi" w:cstheme="majorHAnsi"/>
          <w:b/>
          <w:szCs w:val="22"/>
        </w:rPr>
        <w:t xml:space="preserve"> Procedimiento. </w:t>
      </w:r>
      <w:r w:rsidRPr="005B3B30">
        <w:rPr>
          <w:rFonts w:asciiTheme="majorHAnsi" w:eastAsia="Calibri" w:hAnsiTheme="majorHAnsi" w:cstheme="majorHAnsi"/>
          <w:szCs w:val="22"/>
        </w:rPr>
        <w:t>-</w:t>
      </w:r>
      <w:r w:rsidRPr="005B3B30">
        <w:rPr>
          <w:rFonts w:cstheme="majorHAnsi"/>
          <w:szCs w:val="22"/>
        </w:rPr>
        <w:t xml:space="preserve"> </w:t>
      </w:r>
      <w:r w:rsidR="00F57126" w:rsidRPr="005B3B30">
        <w:rPr>
          <w:rFonts w:cstheme="majorHAnsi"/>
          <w:szCs w:val="22"/>
        </w:rPr>
        <w:t>De acuerdo con</w:t>
      </w:r>
      <w:r w:rsidRPr="005B3B30">
        <w:rPr>
          <w:rFonts w:cstheme="majorHAnsi"/>
          <w:szCs w:val="22"/>
        </w:rPr>
        <w:t xml:space="preserve"> la normativa nacional vigente, es necesario solicitar a la Autoridad Agraria Nacional la autorización de cambio de uso de suelo, para ello, el Acuerdo   Ministerial 214 de diciembre de 2019 del Ministerio de Agricult</w:t>
      </w:r>
      <w:r>
        <w:rPr>
          <w:rFonts w:cstheme="majorHAnsi"/>
          <w:szCs w:val="22"/>
        </w:rPr>
        <w:t>ura y Ganadería (MAG) determina su procedimiento (Ver anexo 2).</w:t>
      </w:r>
    </w:p>
    <w:p w14:paraId="6D0C00EF" w14:textId="7ECA1E22" w:rsidR="00385B3B" w:rsidRPr="00B24A80" w:rsidRDefault="005B3B30" w:rsidP="00C074ED">
      <w:pPr>
        <w:pStyle w:val="Ttulo4"/>
        <w:rPr>
          <w:rFonts w:eastAsia="Calibri" w:cstheme="majorHAnsi"/>
          <w:szCs w:val="22"/>
        </w:rPr>
      </w:pPr>
      <w:bookmarkStart w:id="141" w:name="_Toc181374084"/>
      <w:r>
        <w:rPr>
          <w:rFonts w:cstheme="majorHAnsi"/>
          <w:sz w:val="22"/>
          <w:szCs w:val="22"/>
        </w:rPr>
        <w:t>SECCIÓN IV</w:t>
      </w:r>
      <w:bookmarkEnd w:id="139"/>
      <w:bookmarkEnd w:id="141"/>
    </w:p>
    <w:p w14:paraId="57505AAA" w14:textId="07DF7F86" w:rsidR="0004014E" w:rsidRPr="00B24A80" w:rsidRDefault="007F5505" w:rsidP="00DF7891">
      <w:pPr>
        <w:pStyle w:val="Ttulo2"/>
        <w:rPr>
          <w:rFonts w:cstheme="majorHAnsi"/>
          <w:sz w:val="22"/>
          <w:szCs w:val="22"/>
        </w:rPr>
      </w:pPr>
      <w:bookmarkStart w:id="142" w:name="_heading=h.1rvwp1q" w:colFirst="0" w:colLast="0"/>
      <w:bookmarkStart w:id="143" w:name="_Toc65711698"/>
      <w:bookmarkStart w:id="144" w:name="_Toc81085647"/>
      <w:bookmarkStart w:id="145" w:name="_Toc181374085"/>
      <w:bookmarkEnd w:id="142"/>
      <w:r w:rsidRPr="00B24A80">
        <w:rPr>
          <w:rFonts w:cstheme="majorHAnsi"/>
          <w:sz w:val="22"/>
          <w:szCs w:val="22"/>
        </w:rPr>
        <w:t>TÍTULO V</w:t>
      </w:r>
      <w:bookmarkStart w:id="146" w:name="_heading=h.4bvk7pj" w:colFirst="0" w:colLast="0"/>
      <w:bookmarkEnd w:id="146"/>
      <w:r w:rsidR="00DF7891" w:rsidRPr="00B24A80">
        <w:rPr>
          <w:rFonts w:cstheme="majorHAnsi"/>
          <w:sz w:val="22"/>
          <w:szCs w:val="22"/>
        </w:rPr>
        <w:br/>
      </w:r>
      <w:r w:rsidRPr="00B24A80">
        <w:rPr>
          <w:rFonts w:cstheme="majorHAnsi"/>
          <w:sz w:val="22"/>
          <w:szCs w:val="22"/>
        </w:rPr>
        <w:t>NORMAS Y MODIFICACIONES AL PLAN DE USO Y GESTIÓN DEL SUELO</w:t>
      </w:r>
      <w:bookmarkStart w:id="147" w:name="_heading=h.2r0uhxc" w:colFirst="0" w:colLast="0"/>
      <w:bookmarkEnd w:id="143"/>
      <w:bookmarkEnd w:id="144"/>
      <w:bookmarkEnd w:id="145"/>
      <w:bookmarkEnd w:id="147"/>
    </w:p>
    <w:p w14:paraId="47C9B634" w14:textId="67CF6082" w:rsidR="00DC27E8" w:rsidRPr="00B24A80" w:rsidRDefault="00EB5C24" w:rsidP="00DF7891">
      <w:pPr>
        <w:pStyle w:val="Ttulo3"/>
        <w:rPr>
          <w:rFonts w:cstheme="majorHAnsi"/>
          <w:sz w:val="22"/>
          <w:szCs w:val="22"/>
        </w:rPr>
      </w:pPr>
      <w:bookmarkStart w:id="148" w:name="_Toc65711699"/>
      <w:bookmarkStart w:id="149" w:name="_Toc81085648"/>
      <w:bookmarkStart w:id="150" w:name="_Toc181374086"/>
      <w:r w:rsidRPr="00B24A80">
        <w:rPr>
          <w:rFonts w:cstheme="majorHAnsi"/>
          <w:sz w:val="22"/>
          <w:szCs w:val="22"/>
        </w:rPr>
        <w:t>CAPÍTULO</w:t>
      </w:r>
      <w:r w:rsidR="007F5505" w:rsidRPr="00B24A80">
        <w:rPr>
          <w:rFonts w:cstheme="majorHAnsi"/>
          <w:sz w:val="22"/>
          <w:szCs w:val="22"/>
        </w:rPr>
        <w:t xml:space="preserve"> I</w:t>
      </w:r>
      <w:bookmarkStart w:id="151" w:name="_heading=h.1664s55" w:colFirst="0" w:colLast="0"/>
      <w:bookmarkEnd w:id="151"/>
      <w:r w:rsidR="00DF7891" w:rsidRPr="00B24A80">
        <w:rPr>
          <w:rFonts w:cstheme="majorHAnsi"/>
          <w:sz w:val="22"/>
          <w:szCs w:val="22"/>
        </w:rPr>
        <w:br/>
      </w:r>
      <w:r w:rsidR="007F5505" w:rsidRPr="00B24A80">
        <w:rPr>
          <w:rFonts w:cstheme="majorHAnsi"/>
          <w:sz w:val="22"/>
          <w:szCs w:val="22"/>
        </w:rPr>
        <w:t>Modificaciones al Plan de Uso y Gestión del Suelo</w:t>
      </w:r>
      <w:bookmarkEnd w:id="148"/>
      <w:bookmarkEnd w:id="149"/>
      <w:bookmarkEnd w:id="150"/>
    </w:p>
    <w:p w14:paraId="205FB2B2" w14:textId="7929EB9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Podrán modificarse solamente las disposiciones del PUGS relativas a:</w:t>
      </w:r>
    </w:p>
    <w:p w14:paraId="3570FC19" w14:textId="77777777" w:rsidR="00DC27E8" w:rsidRPr="00B24A80" w:rsidRDefault="007F5505" w:rsidP="009F132D">
      <w:pPr>
        <w:widowControl/>
        <w:numPr>
          <w:ilvl w:val="0"/>
          <w:numId w:val="49"/>
        </w:numPr>
        <w:tabs>
          <w:tab w:val="left" w:pos="627"/>
        </w:tabs>
        <w:spacing w:line="276" w:lineRule="auto"/>
        <w:ind w:left="260" w:right="114" w:firstLine="1"/>
        <w:rPr>
          <w:rFonts w:asciiTheme="majorHAnsi" w:eastAsia="Calibri" w:hAnsiTheme="majorHAnsi" w:cstheme="majorHAnsi"/>
          <w:sz w:val="22"/>
          <w:szCs w:val="22"/>
        </w:rPr>
      </w:pPr>
      <w:r w:rsidRPr="00B24A80">
        <w:rPr>
          <w:rFonts w:asciiTheme="majorHAnsi" w:eastAsia="Calibri" w:hAnsiTheme="majorHAnsi" w:cstheme="majorHAnsi"/>
          <w:sz w:val="22"/>
          <w:szCs w:val="22"/>
        </w:rPr>
        <w:t>Localización de equipamientos, áreas prioritarias de desarrollo urbano y las disposiciones relativas a las condiciones de edificaciones y urbanización dentro de las márgenes que establece el Capítulo.</w:t>
      </w:r>
    </w:p>
    <w:p w14:paraId="4A8415DC" w14:textId="77777777" w:rsidR="00DC27E8" w:rsidRPr="00B24A80" w:rsidRDefault="00DC27E8">
      <w:pPr>
        <w:widowControl/>
        <w:tabs>
          <w:tab w:val="left" w:pos="627"/>
        </w:tabs>
        <w:spacing w:line="276" w:lineRule="auto"/>
        <w:ind w:left="262" w:right="114"/>
        <w:rPr>
          <w:rFonts w:asciiTheme="majorHAnsi" w:eastAsia="Calibri" w:hAnsiTheme="majorHAnsi" w:cstheme="majorHAnsi"/>
          <w:sz w:val="22"/>
          <w:szCs w:val="22"/>
        </w:rPr>
      </w:pPr>
    </w:p>
    <w:p w14:paraId="48477D67" w14:textId="3554307D" w:rsidR="00DC27E8" w:rsidRPr="00B24A80" w:rsidRDefault="007F5505" w:rsidP="009F132D">
      <w:pPr>
        <w:widowControl/>
        <w:numPr>
          <w:ilvl w:val="0"/>
          <w:numId w:val="49"/>
        </w:numPr>
        <w:tabs>
          <w:tab w:val="left" w:pos="524"/>
        </w:tabs>
        <w:spacing w:line="276" w:lineRule="auto"/>
        <w:ind w:left="260" w:right="114" w:firstLine="1"/>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 El Concejo Cantonal</w:t>
      </w:r>
      <w:r w:rsidR="00C029B6" w:rsidRPr="00B24A80">
        <w:rPr>
          <w:rFonts w:asciiTheme="majorHAnsi" w:eastAsia="Calibri" w:hAnsiTheme="majorHAnsi" w:cstheme="majorHAnsi"/>
          <w:sz w:val="22"/>
          <w:szCs w:val="22"/>
        </w:rPr>
        <w:t>,</w:t>
      </w:r>
      <w:r w:rsidRPr="00B24A80">
        <w:rPr>
          <w:rFonts w:asciiTheme="majorHAnsi" w:eastAsia="Calibri" w:hAnsiTheme="majorHAnsi" w:cstheme="majorHAnsi"/>
          <w:sz w:val="22"/>
          <w:szCs w:val="22"/>
        </w:rPr>
        <w:t xml:space="preserve"> de ser el caso</w:t>
      </w:r>
      <w:r w:rsidR="00C029B6" w:rsidRPr="00B24A80">
        <w:rPr>
          <w:rFonts w:asciiTheme="majorHAnsi" w:eastAsia="Calibri" w:hAnsiTheme="majorHAnsi" w:cstheme="majorHAnsi"/>
          <w:sz w:val="22"/>
          <w:szCs w:val="22"/>
        </w:rPr>
        <w:t>,</w:t>
      </w:r>
      <w:r w:rsidRPr="00B24A80">
        <w:rPr>
          <w:rFonts w:asciiTheme="majorHAnsi" w:eastAsia="Calibri" w:hAnsiTheme="majorHAnsi" w:cstheme="majorHAnsi"/>
          <w:sz w:val="22"/>
          <w:szCs w:val="22"/>
        </w:rPr>
        <w:t xml:space="preserve"> propondrá las reformas al presente Capítulo, cuya modificatoria estará sujeta a lo que prescribe el Código Orgánico de Organización Territorial, Autonomía y Descentralización (COOTAD).</w:t>
      </w:r>
    </w:p>
    <w:p w14:paraId="79A2A225" w14:textId="77777777" w:rsidR="00DC27E8" w:rsidRPr="00B24A80" w:rsidRDefault="00DC27E8">
      <w:pPr>
        <w:spacing w:line="276" w:lineRule="auto"/>
        <w:ind w:right="114"/>
        <w:rPr>
          <w:rFonts w:asciiTheme="majorHAnsi" w:eastAsia="Calibri" w:hAnsiTheme="majorHAnsi" w:cstheme="majorHAnsi"/>
          <w:b/>
          <w:color w:val="000000"/>
          <w:sz w:val="22"/>
          <w:szCs w:val="22"/>
        </w:rPr>
      </w:pPr>
    </w:p>
    <w:p w14:paraId="20484E47" w14:textId="4CEA8754" w:rsidR="00DC27E8" w:rsidRDefault="007F5505" w:rsidP="00C75D17">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Las modificaciones del diseño urbano permisible serán aquellas que varíen la densidad de población, distribuyéndola o incrementándola hasta el 10% de la asignada. El coeficiente de ocupación del suelo total (COST) y el tamaño de sus lotes, podrán variar hasta el 10% de los indicadores establecidos en el PUGS.</w:t>
      </w:r>
    </w:p>
    <w:p w14:paraId="5C567429" w14:textId="77777777" w:rsidR="00C75D17" w:rsidRPr="00C75D17" w:rsidRDefault="00C75D17" w:rsidP="00C75D17">
      <w:pPr>
        <w:pStyle w:val="Prrafodelista"/>
        <w:widowControl/>
        <w:tabs>
          <w:tab w:val="left" w:pos="851"/>
        </w:tabs>
        <w:spacing w:after="240" w:line="276" w:lineRule="auto"/>
        <w:ind w:left="0" w:right="-100"/>
        <w:rPr>
          <w:rFonts w:asciiTheme="majorHAnsi" w:eastAsia="Calibri" w:hAnsiTheme="majorHAnsi" w:cstheme="majorHAnsi"/>
          <w:szCs w:val="22"/>
        </w:rPr>
      </w:pPr>
    </w:p>
    <w:p w14:paraId="5A54CE02" w14:textId="3F2D3DA5" w:rsidR="00DC27E8" w:rsidRPr="00C75D17" w:rsidRDefault="00D52383"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 xml:space="preserve">Solo al Concejo Cantonal le corresponde interpretar en forma obligatoria las disposiciones de este Capítulo, de acuerdo al procedimiento previsto para el efecto por norma técnica que para el efecto se emita por parte del Consejo Técnico de Uso y Gestión del Suelo, o la instancia que haga sus veces (de existir dudas se </w:t>
      </w:r>
      <w:r w:rsidR="00CE4ABC" w:rsidRPr="00B24A80">
        <w:rPr>
          <w:rFonts w:asciiTheme="majorHAnsi" w:eastAsia="Calibri" w:hAnsiTheme="majorHAnsi" w:cstheme="majorHAnsi"/>
          <w:szCs w:val="22"/>
        </w:rPr>
        <w:t xml:space="preserve">procederá de </w:t>
      </w:r>
      <w:r w:rsidRPr="00B24A80">
        <w:rPr>
          <w:rFonts w:asciiTheme="majorHAnsi" w:eastAsia="Calibri" w:hAnsiTheme="majorHAnsi" w:cstheme="majorHAnsi"/>
          <w:szCs w:val="22"/>
        </w:rPr>
        <w:t>acuerdo al procedimiento previsto en la Norma Técnica del Consejo T. de Uso y Gestión del Suelo Nro. 0005-CTUGS-2020)</w:t>
      </w:r>
      <w:r w:rsidR="007F5505" w:rsidRPr="00B24A80">
        <w:rPr>
          <w:rFonts w:asciiTheme="majorHAnsi" w:eastAsia="Calibri" w:hAnsiTheme="majorHAnsi" w:cstheme="majorHAnsi"/>
          <w:szCs w:val="22"/>
        </w:rPr>
        <w:t>, así como acordar su modificación</w:t>
      </w:r>
      <w:r w:rsidR="00D06D04" w:rsidRPr="00B24A80">
        <w:rPr>
          <w:rFonts w:asciiTheme="majorHAnsi" w:eastAsia="Calibri" w:hAnsiTheme="majorHAnsi" w:cstheme="majorHAnsi"/>
          <w:szCs w:val="22"/>
        </w:rPr>
        <w:t xml:space="preserve">, basado en informes técnicos emitidos por la </w:t>
      </w:r>
      <w:r w:rsidR="00D01697" w:rsidRPr="00B24A80">
        <w:rPr>
          <w:rFonts w:asciiTheme="majorHAnsi" w:eastAsia="Calibri" w:hAnsiTheme="majorHAnsi" w:cstheme="majorHAnsi"/>
          <w:szCs w:val="22"/>
        </w:rPr>
        <w:t xml:space="preserve">Dirección de </w:t>
      </w:r>
      <w:r w:rsidR="00D01697" w:rsidRPr="00C75D17">
        <w:rPr>
          <w:rFonts w:asciiTheme="majorHAnsi" w:eastAsia="Calibri" w:hAnsiTheme="majorHAnsi" w:cstheme="majorHAnsi"/>
          <w:szCs w:val="22"/>
        </w:rPr>
        <w:t>Gestión</w:t>
      </w:r>
      <w:r w:rsidR="001D3BA2" w:rsidRPr="00C75D17">
        <w:rPr>
          <w:rFonts w:asciiTheme="majorHAnsi" w:eastAsia="Calibri" w:hAnsiTheme="majorHAnsi" w:cstheme="majorHAnsi"/>
          <w:szCs w:val="22"/>
        </w:rPr>
        <w:t xml:space="preserve"> de </w:t>
      </w:r>
      <w:r w:rsidR="00D01697" w:rsidRPr="00C75D17">
        <w:rPr>
          <w:rFonts w:asciiTheme="majorHAnsi" w:eastAsia="Calibri" w:hAnsiTheme="majorHAnsi" w:cstheme="majorHAnsi"/>
          <w:szCs w:val="22"/>
        </w:rPr>
        <w:t>Planificación</w:t>
      </w:r>
      <w:r w:rsidR="00A76AB9" w:rsidRPr="00C75D17">
        <w:rPr>
          <w:rFonts w:asciiTheme="majorHAnsi" w:eastAsia="Calibri" w:hAnsiTheme="majorHAnsi" w:cstheme="majorHAnsi"/>
          <w:szCs w:val="22"/>
        </w:rPr>
        <w:t xml:space="preserve"> del GADMC</w:t>
      </w:r>
      <w:r w:rsidR="00AE6E2E" w:rsidRPr="00C75D17">
        <w:rPr>
          <w:rFonts w:asciiTheme="majorHAnsi" w:eastAsia="Calibri" w:hAnsiTheme="majorHAnsi" w:cstheme="majorHAnsi"/>
          <w:szCs w:val="22"/>
        </w:rPr>
        <w:t>JS y/o departamentos técnicos necesarios</w:t>
      </w:r>
      <w:r w:rsidR="00D06D04" w:rsidRPr="00C75D17">
        <w:rPr>
          <w:rFonts w:asciiTheme="majorHAnsi" w:eastAsia="Calibri" w:hAnsiTheme="majorHAnsi" w:cstheme="majorHAnsi"/>
          <w:szCs w:val="22"/>
        </w:rPr>
        <w:t>.</w:t>
      </w:r>
    </w:p>
    <w:p w14:paraId="6276092E" w14:textId="30DB806F" w:rsidR="00792B59" w:rsidRPr="00C75D17" w:rsidRDefault="00792B59" w:rsidP="00792B59">
      <w:pPr>
        <w:tabs>
          <w:tab w:val="left" w:pos="7371"/>
          <w:tab w:val="left" w:pos="7797"/>
          <w:tab w:val="left" w:pos="8505"/>
        </w:tabs>
        <w:spacing w:line="276" w:lineRule="auto"/>
        <w:ind w:right="114"/>
        <w:rPr>
          <w:rFonts w:asciiTheme="majorHAnsi" w:eastAsia="Calibri" w:hAnsiTheme="majorHAnsi" w:cstheme="majorHAnsi"/>
          <w:sz w:val="22"/>
          <w:szCs w:val="22"/>
        </w:rPr>
      </w:pPr>
      <w:r w:rsidRPr="00C75D17">
        <w:rPr>
          <w:rFonts w:asciiTheme="majorHAnsi" w:eastAsia="Calibri" w:hAnsiTheme="majorHAnsi" w:cstheme="majorHAnsi"/>
          <w:sz w:val="22"/>
          <w:szCs w:val="22"/>
        </w:rPr>
        <w:t>Para predios ubicados en el PIT Centro Poblado Rural</w:t>
      </w:r>
      <w:r w:rsidR="00CE4ABC" w:rsidRPr="00C75D17">
        <w:rPr>
          <w:rFonts w:asciiTheme="majorHAnsi" w:eastAsia="Calibri" w:hAnsiTheme="majorHAnsi" w:cstheme="majorHAnsi"/>
          <w:sz w:val="22"/>
          <w:szCs w:val="22"/>
        </w:rPr>
        <w:t xml:space="preserve"> y </w:t>
      </w:r>
      <w:r w:rsidR="00F57126" w:rsidRPr="00C75D17">
        <w:rPr>
          <w:rFonts w:asciiTheme="majorHAnsi" w:eastAsia="Calibri" w:hAnsiTheme="majorHAnsi" w:cstheme="majorHAnsi"/>
          <w:sz w:val="22"/>
          <w:szCs w:val="22"/>
        </w:rPr>
        <w:t>de acuerdo con</w:t>
      </w:r>
      <w:r w:rsidR="00CE4ABC" w:rsidRPr="00C75D17">
        <w:rPr>
          <w:rFonts w:asciiTheme="majorHAnsi" w:eastAsia="Calibri" w:hAnsiTheme="majorHAnsi" w:cstheme="majorHAnsi"/>
          <w:sz w:val="22"/>
          <w:szCs w:val="22"/>
        </w:rPr>
        <w:t xml:space="preserve"> la Norma Técnica vigente correspondiente citada en el anterior párrafo</w:t>
      </w:r>
      <w:r w:rsidRPr="00C75D17">
        <w:rPr>
          <w:rFonts w:asciiTheme="majorHAnsi" w:eastAsia="Calibri" w:hAnsiTheme="majorHAnsi" w:cstheme="majorHAnsi"/>
          <w:sz w:val="22"/>
          <w:szCs w:val="22"/>
        </w:rPr>
        <w:t xml:space="preserve">, podrán solicitar al GAD Municipal la </w:t>
      </w:r>
      <w:r w:rsidRPr="00C75D17">
        <w:rPr>
          <w:rFonts w:asciiTheme="majorHAnsi" w:eastAsia="Calibri" w:hAnsiTheme="majorHAnsi" w:cstheme="majorHAnsi"/>
          <w:sz w:val="22"/>
          <w:szCs w:val="22"/>
        </w:rPr>
        <w:lastRenderedPageBreak/>
        <w:t>asignación de datos para la zonificación mediante la presentación de un proyecto urbano-arquitectónico que establezca las condiciones de integración urbanística y vial al entorno.</w:t>
      </w:r>
    </w:p>
    <w:p w14:paraId="654B1FB9" w14:textId="77777777" w:rsidR="00792B59" w:rsidRPr="00C75D17" w:rsidRDefault="00792B59" w:rsidP="00792B59">
      <w:pPr>
        <w:tabs>
          <w:tab w:val="left" w:pos="7371"/>
          <w:tab w:val="left" w:pos="7797"/>
          <w:tab w:val="left" w:pos="8505"/>
        </w:tabs>
        <w:spacing w:line="276" w:lineRule="auto"/>
        <w:ind w:right="114"/>
        <w:rPr>
          <w:rFonts w:asciiTheme="majorHAnsi" w:eastAsia="Calibri" w:hAnsiTheme="majorHAnsi" w:cstheme="majorHAnsi"/>
          <w:sz w:val="22"/>
          <w:szCs w:val="22"/>
        </w:rPr>
      </w:pPr>
      <w:r w:rsidRPr="00C75D17">
        <w:rPr>
          <w:rFonts w:asciiTheme="majorHAnsi" w:eastAsia="Calibri" w:hAnsiTheme="majorHAnsi" w:cstheme="majorHAnsi"/>
          <w:sz w:val="22"/>
          <w:szCs w:val="22"/>
        </w:rPr>
        <w:t>El proyecto contendrá la propuesta de asignación de datos de uso y ocupación de suelo, derivados del PUGS y complementado de un análisis urbanístico del entorno, siempre y cuando el proyecto prevea aportes urbanísticos en uno o varios de los siguientes aspectos, en función de las particularidades de cada caso: áreas verdes, equipamientos públicos o privados y/o espacio público y vías que aseguren o mejoren la conectividad del sector.</w:t>
      </w:r>
    </w:p>
    <w:p w14:paraId="76B30E67" w14:textId="147A19EA" w:rsidR="0070166F" w:rsidRPr="00C75D17" w:rsidRDefault="00C56807" w:rsidP="00792B59">
      <w:pPr>
        <w:tabs>
          <w:tab w:val="left" w:pos="7371"/>
          <w:tab w:val="left" w:pos="7797"/>
          <w:tab w:val="left" w:pos="8505"/>
        </w:tabs>
        <w:spacing w:line="276" w:lineRule="auto"/>
        <w:ind w:right="114"/>
        <w:rPr>
          <w:rFonts w:asciiTheme="majorHAnsi" w:eastAsia="Calibri" w:hAnsiTheme="majorHAnsi" w:cstheme="majorHAnsi"/>
          <w:sz w:val="22"/>
          <w:szCs w:val="22"/>
        </w:rPr>
      </w:pPr>
      <w:r w:rsidRPr="00C75D17">
        <w:rPr>
          <w:rFonts w:asciiTheme="majorHAnsi" w:eastAsia="Calibri" w:hAnsiTheme="majorHAnsi" w:cstheme="majorHAnsi"/>
          <w:sz w:val="22"/>
          <w:szCs w:val="22"/>
        </w:rPr>
        <w:t xml:space="preserve">En caso de que el proyecto prevea el fraccionamiento del suelo se garantizará que estas cesiones de suelo se hagan de forma gratuita </w:t>
      </w:r>
      <w:r w:rsidR="00084F6C" w:rsidRPr="00C75D17">
        <w:rPr>
          <w:rFonts w:asciiTheme="majorHAnsi" w:eastAsia="Calibri" w:hAnsiTheme="majorHAnsi" w:cstheme="majorHAnsi"/>
          <w:sz w:val="22"/>
          <w:szCs w:val="22"/>
        </w:rPr>
        <w:t>y obligatoria a favor del municipio.</w:t>
      </w:r>
    </w:p>
    <w:p w14:paraId="76D41CFC" w14:textId="3FB5EC7D" w:rsidR="00792B59" w:rsidRPr="00B24A80" w:rsidRDefault="00792B59" w:rsidP="00792B59">
      <w:pPr>
        <w:tabs>
          <w:tab w:val="left" w:pos="7371"/>
          <w:tab w:val="left" w:pos="7797"/>
          <w:tab w:val="left" w:pos="8505"/>
        </w:tabs>
        <w:spacing w:line="276" w:lineRule="auto"/>
        <w:ind w:right="114"/>
        <w:rPr>
          <w:rFonts w:asciiTheme="majorHAnsi" w:eastAsia="Calibri" w:hAnsiTheme="majorHAnsi" w:cstheme="majorHAnsi"/>
          <w:sz w:val="22"/>
          <w:szCs w:val="22"/>
        </w:rPr>
      </w:pPr>
      <w:r w:rsidRPr="00C75D17">
        <w:rPr>
          <w:rFonts w:asciiTheme="majorHAnsi" w:eastAsia="Calibri" w:hAnsiTheme="majorHAnsi" w:cstheme="majorHAnsi"/>
          <w:sz w:val="22"/>
          <w:szCs w:val="22"/>
        </w:rPr>
        <w:t xml:space="preserve">La </w:t>
      </w:r>
      <w:r w:rsidR="00D01697" w:rsidRPr="00C75D17">
        <w:rPr>
          <w:rFonts w:asciiTheme="majorHAnsi" w:eastAsia="Calibri" w:hAnsiTheme="majorHAnsi" w:cstheme="majorHAnsi"/>
          <w:sz w:val="22"/>
          <w:szCs w:val="22"/>
        </w:rPr>
        <w:t>Dirección de Gestión</w:t>
      </w:r>
      <w:r w:rsidR="001D3BA2" w:rsidRPr="00C75D17">
        <w:rPr>
          <w:rFonts w:asciiTheme="majorHAnsi" w:eastAsia="Calibri" w:hAnsiTheme="majorHAnsi" w:cstheme="majorHAnsi"/>
          <w:sz w:val="22"/>
          <w:szCs w:val="22"/>
        </w:rPr>
        <w:t xml:space="preserve"> de</w:t>
      </w:r>
      <w:r w:rsidR="00D01697" w:rsidRPr="00C75D17">
        <w:rPr>
          <w:rFonts w:asciiTheme="majorHAnsi" w:eastAsia="Calibri" w:hAnsiTheme="majorHAnsi" w:cstheme="majorHAnsi"/>
          <w:sz w:val="22"/>
          <w:szCs w:val="22"/>
        </w:rPr>
        <w:t xml:space="preserve"> Planificación</w:t>
      </w:r>
      <w:r w:rsidRPr="00C75D17">
        <w:rPr>
          <w:rFonts w:asciiTheme="majorHAnsi" w:eastAsia="Calibri" w:hAnsiTheme="majorHAnsi" w:cstheme="majorHAnsi"/>
          <w:sz w:val="22"/>
          <w:szCs w:val="22"/>
        </w:rPr>
        <w:t xml:space="preserve"> del GAD Municipal emitirá un informe técnico del proyecto, el cual contendrá las asignaciones de zonificación propuestas para el predio. Este informe sustentará un proyecto de resolución </w:t>
      </w:r>
      <w:r w:rsidR="006E4188" w:rsidRPr="00C75D17">
        <w:rPr>
          <w:rFonts w:asciiTheme="majorHAnsi" w:eastAsia="Calibri" w:hAnsiTheme="majorHAnsi" w:cstheme="majorHAnsi"/>
          <w:sz w:val="22"/>
          <w:szCs w:val="22"/>
        </w:rPr>
        <w:t xml:space="preserve">elaborado por la Secretaría de Concejo </w:t>
      </w:r>
      <w:r w:rsidRPr="00C75D17">
        <w:rPr>
          <w:rFonts w:asciiTheme="majorHAnsi" w:eastAsia="Calibri" w:hAnsiTheme="majorHAnsi" w:cstheme="majorHAnsi"/>
          <w:sz w:val="22"/>
          <w:szCs w:val="22"/>
        </w:rPr>
        <w:t>que será remitido al Concejo Municipal.</w:t>
      </w:r>
    </w:p>
    <w:p w14:paraId="782CAB76" w14:textId="57BC76E3" w:rsidR="00DC27E8" w:rsidRPr="00B24A80" w:rsidRDefault="00EB5C24" w:rsidP="00DF7891">
      <w:pPr>
        <w:pStyle w:val="Ttulo3"/>
        <w:rPr>
          <w:rFonts w:cstheme="majorHAnsi"/>
          <w:sz w:val="22"/>
          <w:szCs w:val="22"/>
        </w:rPr>
      </w:pPr>
      <w:bookmarkStart w:id="152" w:name="_heading=h.3q5sasy" w:colFirst="0" w:colLast="0"/>
      <w:bookmarkStart w:id="153" w:name="_Toc65711700"/>
      <w:bookmarkStart w:id="154" w:name="_Toc81085649"/>
      <w:bookmarkStart w:id="155" w:name="_Toc181374087"/>
      <w:bookmarkEnd w:id="152"/>
      <w:r w:rsidRPr="00B24A80">
        <w:rPr>
          <w:rFonts w:cstheme="majorHAnsi"/>
          <w:sz w:val="22"/>
          <w:szCs w:val="22"/>
        </w:rPr>
        <w:t>CAPÍTULO</w:t>
      </w:r>
      <w:r w:rsidR="007F5505" w:rsidRPr="00B24A80">
        <w:rPr>
          <w:rFonts w:cstheme="majorHAnsi"/>
          <w:sz w:val="22"/>
          <w:szCs w:val="22"/>
        </w:rPr>
        <w:t xml:space="preserve"> II</w:t>
      </w:r>
      <w:bookmarkStart w:id="156" w:name="_heading=h.25b2l0r" w:colFirst="0" w:colLast="0"/>
      <w:bookmarkEnd w:id="156"/>
      <w:r w:rsidR="00DF7891" w:rsidRPr="00B24A80">
        <w:rPr>
          <w:rFonts w:cstheme="majorHAnsi"/>
          <w:sz w:val="22"/>
          <w:szCs w:val="22"/>
        </w:rPr>
        <w:br/>
      </w:r>
      <w:r w:rsidR="007F5505" w:rsidRPr="00B24A80">
        <w:rPr>
          <w:rFonts w:cstheme="majorHAnsi"/>
          <w:sz w:val="22"/>
          <w:szCs w:val="22"/>
        </w:rPr>
        <w:t>Normas para el Uso de Suelo</w:t>
      </w:r>
      <w:bookmarkEnd w:id="153"/>
      <w:bookmarkEnd w:id="154"/>
      <w:bookmarkEnd w:id="155"/>
      <w:r w:rsidR="007F5505" w:rsidRPr="00B24A80">
        <w:rPr>
          <w:rFonts w:cstheme="majorHAnsi"/>
          <w:sz w:val="22"/>
          <w:szCs w:val="22"/>
        </w:rPr>
        <w:t xml:space="preserve"> </w:t>
      </w:r>
    </w:p>
    <w:p w14:paraId="6E5BDE48" w14:textId="5E4C405E" w:rsidR="00DC27E8" w:rsidRPr="00B24A80" w:rsidRDefault="007F5505" w:rsidP="00DF7891">
      <w:pPr>
        <w:pStyle w:val="Ttulo4"/>
        <w:rPr>
          <w:rFonts w:cstheme="majorHAnsi"/>
          <w:sz w:val="22"/>
          <w:szCs w:val="22"/>
        </w:rPr>
      </w:pPr>
      <w:bookmarkStart w:id="157" w:name="_heading=h.kgcv8k" w:colFirst="0" w:colLast="0"/>
      <w:bookmarkStart w:id="158" w:name="_Toc81085650"/>
      <w:bookmarkStart w:id="159" w:name="_Toc181374088"/>
      <w:bookmarkEnd w:id="157"/>
      <w:r w:rsidRPr="00B24A80">
        <w:rPr>
          <w:rFonts w:cstheme="majorHAnsi"/>
          <w:sz w:val="22"/>
          <w:szCs w:val="22"/>
        </w:rPr>
        <w:t>SECCIÓN I</w:t>
      </w:r>
      <w:bookmarkStart w:id="160" w:name="_heading=h.34g0dwd" w:colFirst="0" w:colLast="0"/>
      <w:bookmarkEnd w:id="160"/>
      <w:r w:rsidR="00DF7891" w:rsidRPr="00B24A80">
        <w:rPr>
          <w:rFonts w:cstheme="majorHAnsi"/>
          <w:sz w:val="22"/>
          <w:szCs w:val="22"/>
        </w:rPr>
        <w:br/>
      </w:r>
      <w:r w:rsidRPr="00B24A80">
        <w:rPr>
          <w:rFonts w:cstheme="majorHAnsi"/>
          <w:sz w:val="22"/>
          <w:szCs w:val="22"/>
        </w:rPr>
        <w:t>Consideraciones Técnicas</w:t>
      </w:r>
      <w:bookmarkEnd w:id="158"/>
      <w:bookmarkEnd w:id="159"/>
    </w:p>
    <w:p w14:paraId="1327692D" w14:textId="628391B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El conjunto de planos y normativas que forman parte de la memoria técnica de PUGS, constituyen los documentos técnicos que complementan la parte operativa y de gestión urbanística del presente Capítulo.</w:t>
      </w:r>
    </w:p>
    <w:p w14:paraId="69FA9A58" w14:textId="77777777" w:rsidR="00DC27E8" w:rsidRPr="00B24A80" w:rsidRDefault="00DC27E8">
      <w:pPr>
        <w:widowControl/>
        <w:pBdr>
          <w:top w:val="nil"/>
          <w:left w:val="nil"/>
          <w:bottom w:val="nil"/>
          <w:right w:val="nil"/>
          <w:between w:val="nil"/>
        </w:pBdr>
        <w:spacing w:line="276" w:lineRule="auto"/>
        <w:ind w:right="-100"/>
        <w:jc w:val="center"/>
        <w:rPr>
          <w:rFonts w:asciiTheme="majorHAnsi" w:eastAsia="Calibri" w:hAnsiTheme="majorHAnsi" w:cstheme="majorHAnsi"/>
          <w:b/>
          <w:color w:val="000000"/>
          <w:sz w:val="22"/>
          <w:szCs w:val="22"/>
        </w:rPr>
      </w:pPr>
      <w:bookmarkStart w:id="161" w:name="_heading=h.1jlao46" w:colFirst="0" w:colLast="0"/>
      <w:bookmarkEnd w:id="161"/>
    </w:p>
    <w:p w14:paraId="7D13D2BB" w14:textId="6AF9546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bookmarkStart w:id="162" w:name="_heading=h.43ky6rz" w:colFirst="0" w:colLast="0"/>
      <w:bookmarkEnd w:id="162"/>
      <w:r w:rsidRPr="00B24A80">
        <w:rPr>
          <w:rFonts w:asciiTheme="majorHAnsi" w:eastAsia="Calibri" w:hAnsiTheme="majorHAnsi" w:cstheme="majorHAnsi"/>
          <w:szCs w:val="22"/>
        </w:rPr>
        <w:t xml:space="preserve">Todos los usos no expresamente permitidos en cada uno de los Polígonos de </w:t>
      </w:r>
      <w:r w:rsidR="00D6028C" w:rsidRPr="00B24A80">
        <w:rPr>
          <w:rFonts w:asciiTheme="majorHAnsi" w:eastAsia="Calibri" w:hAnsiTheme="majorHAnsi" w:cstheme="majorHAnsi"/>
          <w:szCs w:val="22"/>
        </w:rPr>
        <w:t>Intervención Territorial</w:t>
      </w:r>
      <w:r w:rsidRPr="00B24A80">
        <w:rPr>
          <w:rFonts w:asciiTheme="majorHAnsi" w:eastAsia="Calibri" w:hAnsiTheme="majorHAnsi" w:cstheme="majorHAnsi"/>
          <w:szCs w:val="22"/>
        </w:rPr>
        <w:t>, se entenderá que están prohibidos.</w:t>
      </w:r>
    </w:p>
    <w:p w14:paraId="7C885B72" w14:textId="61F636AC" w:rsidR="00DC27E8" w:rsidRPr="00B24A80" w:rsidRDefault="007F5505">
      <w:pPr>
        <w:spacing w:line="276" w:lineRule="auto"/>
        <w:ind w:right="114"/>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En el caso de usos de suelo no previstos y que exista interés por emplazarlos en uno o varios de los diferentes sectores, su aceptación queda condicionada </w:t>
      </w:r>
      <w:r w:rsidR="004A1EC1" w:rsidRPr="00B24A80">
        <w:rPr>
          <w:rFonts w:asciiTheme="majorHAnsi" w:eastAsia="Calibri" w:hAnsiTheme="majorHAnsi" w:cstheme="majorHAnsi"/>
          <w:sz w:val="22"/>
          <w:szCs w:val="22"/>
        </w:rPr>
        <w:t>a la presentación de un plan parcial</w:t>
      </w:r>
      <w:r w:rsidR="00F60686" w:rsidRPr="00B24A80">
        <w:rPr>
          <w:rFonts w:asciiTheme="majorHAnsi" w:eastAsia="Calibri" w:hAnsiTheme="majorHAnsi" w:cstheme="majorHAnsi"/>
          <w:sz w:val="22"/>
          <w:szCs w:val="22"/>
        </w:rPr>
        <w:t xml:space="preserve"> o especial </w:t>
      </w:r>
      <w:r w:rsidR="008F3234" w:rsidRPr="00B24A80">
        <w:rPr>
          <w:rFonts w:asciiTheme="majorHAnsi" w:eastAsia="Calibri" w:hAnsiTheme="majorHAnsi" w:cstheme="majorHAnsi"/>
          <w:sz w:val="22"/>
          <w:szCs w:val="22"/>
        </w:rPr>
        <w:t xml:space="preserve">y que el mismo justifique la necesidad de su incorporación, </w:t>
      </w:r>
      <w:r w:rsidR="008773A4" w:rsidRPr="00B24A80">
        <w:rPr>
          <w:rFonts w:asciiTheme="majorHAnsi" w:eastAsia="Calibri" w:hAnsiTheme="majorHAnsi" w:cstheme="majorHAnsi"/>
          <w:sz w:val="22"/>
          <w:szCs w:val="22"/>
        </w:rPr>
        <w:t>así como la necesi</w:t>
      </w:r>
      <w:r w:rsidR="008F3234" w:rsidRPr="00B24A80">
        <w:rPr>
          <w:rFonts w:asciiTheme="majorHAnsi" w:eastAsia="Calibri" w:hAnsiTheme="majorHAnsi" w:cstheme="majorHAnsi"/>
          <w:sz w:val="22"/>
          <w:szCs w:val="22"/>
        </w:rPr>
        <w:t xml:space="preserve">dad </w:t>
      </w:r>
      <w:r w:rsidR="008773A4" w:rsidRPr="00B24A80">
        <w:rPr>
          <w:rFonts w:asciiTheme="majorHAnsi" w:eastAsia="Calibri" w:hAnsiTheme="majorHAnsi" w:cstheme="majorHAnsi"/>
          <w:sz w:val="22"/>
          <w:szCs w:val="22"/>
        </w:rPr>
        <w:t>de cambiar</w:t>
      </w:r>
      <w:r w:rsidR="008F3234" w:rsidRPr="00B24A80">
        <w:rPr>
          <w:rFonts w:asciiTheme="majorHAnsi" w:eastAsia="Calibri" w:hAnsiTheme="majorHAnsi" w:cstheme="majorHAnsi"/>
          <w:sz w:val="22"/>
          <w:szCs w:val="22"/>
        </w:rPr>
        <w:t xml:space="preserve"> </w:t>
      </w:r>
      <w:r w:rsidR="008773A4" w:rsidRPr="00B24A80">
        <w:rPr>
          <w:rFonts w:asciiTheme="majorHAnsi" w:eastAsia="Calibri" w:hAnsiTheme="majorHAnsi" w:cstheme="majorHAnsi"/>
          <w:sz w:val="22"/>
          <w:szCs w:val="22"/>
        </w:rPr>
        <w:t>un uso de</w:t>
      </w:r>
      <w:r w:rsidR="008F3234" w:rsidRPr="00B24A80">
        <w:rPr>
          <w:rFonts w:asciiTheme="majorHAnsi" w:eastAsia="Calibri" w:hAnsiTheme="majorHAnsi" w:cstheme="majorHAnsi"/>
          <w:sz w:val="22"/>
          <w:szCs w:val="22"/>
        </w:rPr>
        <w:t xml:space="preserve"> suelo no previsto</w:t>
      </w:r>
      <w:r w:rsidR="008773A4" w:rsidRPr="00B24A80">
        <w:rPr>
          <w:rFonts w:asciiTheme="majorHAnsi" w:eastAsia="Calibri" w:hAnsiTheme="majorHAnsi" w:cstheme="majorHAnsi"/>
          <w:sz w:val="22"/>
          <w:szCs w:val="22"/>
        </w:rPr>
        <w:t>,</w:t>
      </w:r>
      <w:r w:rsidR="008F3234" w:rsidRPr="00B24A80">
        <w:rPr>
          <w:rFonts w:asciiTheme="majorHAnsi" w:eastAsia="Calibri" w:hAnsiTheme="majorHAnsi" w:cstheme="majorHAnsi"/>
          <w:sz w:val="22"/>
          <w:szCs w:val="22"/>
        </w:rPr>
        <w:t xml:space="preserve"> además </w:t>
      </w:r>
      <w:r w:rsidR="008773A4" w:rsidRPr="00B24A80">
        <w:rPr>
          <w:rFonts w:asciiTheme="majorHAnsi" w:eastAsia="Calibri" w:hAnsiTheme="majorHAnsi" w:cstheme="majorHAnsi"/>
          <w:sz w:val="22"/>
          <w:szCs w:val="22"/>
        </w:rPr>
        <w:t>deberá</w:t>
      </w:r>
      <w:r w:rsidR="008F3234" w:rsidRPr="00B24A80">
        <w:rPr>
          <w:rFonts w:asciiTheme="majorHAnsi" w:eastAsia="Calibri" w:hAnsiTheme="majorHAnsi" w:cstheme="majorHAnsi"/>
          <w:sz w:val="22"/>
          <w:szCs w:val="22"/>
        </w:rPr>
        <w:t xml:space="preserve"> cumplir</w:t>
      </w:r>
      <w:r w:rsidRPr="00B24A80">
        <w:rPr>
          <w:rFonts w:asciiTheme="majorHAnsi" w:eastAsia="Calibri" w:hAnsiTheme="majorHAnsi" w:cstheme="majorHAnsi"/>
          <w:sz w:val="22"/>
          <w:szCs w:val="22"/>
        </w:rPr>
        <w:t xml:space="preserve"> simultáneamente las siguientes condiciones relativas a su naturaleza:</w:t>
      </w:r>
    </w:p>
    <w:p w14:paraId="16292D03" w14:textId="77777777" w:rsidR="00DC27E8" w:rsidRPr="00B24A80" w:rsidRDefault="007F5505" w:rsidP="009F132D">
      <w:pPr>
        <w:widowControl/>
        <w:numPr>
          <w:ilvl w:val="0"/>
          <w:numId w:val="9"/>
        </w:numPr>
        <w:pBdr>
          <w:top w:val="nil"/>
          <w:left w:val="nil"/>
          <w:bottom w:val="nil"/>
          <w:right w:val="nil"/>
          <w:between w:val="nil"/>
        </w:pBdr>
        <w:spacing w:before="240" w:after="160" w:line="276" w:lineRule="auto"/>
        <w:ind w:right="114"/>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Susceptible de asimilarse a uno de los grupos de usos principales y complementarios previstos para el Polígono de Planeamiento.</w:t>
      </w:r>
    </w:p>
    <w:p w14:paraId="44B084A9" w14:textId="77777777" w:rsidR="00DC27E8" w:rsidRPr="00B24A80" w:rsidRDefault="007F5505" w:rsidP="009F132D">
      <w:pPr>
        <w:numPr>
          <w:ilvl w:val="0"/>
          <w:numId w:val="9"/>
        </w:numPr>
        <w:pBdr>
          <w:top w:val="nil"/>
          <w:left w:val="nil"/>
          <w:bottom w:val="nil"/>
          <w:right w:val="nil"/>
          <w:between w:val="nil"/>
        </w:pBdr>
        <w:spacing w:before="240" w:line="276" w:lineRule="auto"/>
        <w:ind w:right="113"/>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Demandar para su emplazamiento en dicho polígono, espacios construidos cubiertos y descubiertos y </w:t>
      </w:r>
      <w:r w:rsidR="00F60686" w:rsidRPr="00B24A80">
        <w:rPr>
          <w:rFonts w:asciiTheme="majorHAnsi" w:eastAsia="Calibri" w:hAnsiTheme="majorHAnsi" w:cstheme="majorHAnsi"/>
          <w:color w:val="000000"/>
          <w:sz w:val="22"/>
          <w:szCs w:val="22"/>
        </w:rPr>
        <w:t xml:space="preserve">factibilidad </w:t>
      </w:r>
      <w:r w:rsidRPr="00B24A80">
        <w:rPr>
          <w:rFonts w:asciiTheme="majorHAnsi" w:eastAsia="Calibri" w:hAnsiTheme="majorHAnsi" w:cstheme="majorHAnsi"/>
          <w:color w:val="000000"/>
          <w:sz w:val="22"/>
          <w:szCs w:val="22"/>
        </w:rPr>
        <w:t>de servicios básicos, similares a los demandados por los usos asignados;</w:t>
      </w:r>
    </w:p>
    <w:p w14:paraId="42DE268E" w14:textId="77777777" w:rsidR="00DC27E8" w:rsidRPr="00B24A80" w:rsidRDefault="007F5505" w:rsidP="009F132D">
      <w:pPr>
        <w:numPr>
          <w:ilvl w:val="0"/>
          <w:numId w:val="9"/>
        </w:numPr>
        <w:pBdr>
          <w:top w:val="nil"/>
          <w:left w:val="nil"/>
          <w:bottom w:val="nil"/>
          <w:right w:val="nil"/>
          <w:between w:val="nil"/>
        </w:pBdr>
        <w:spacing w:line="276" w:lineRule="auto"/>
        <w:ind w:right="113"/>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No generar impactos ambientales que molesten o interfieran con las actividades de los usos asignados; y,</w:t>
      </w:r>
    </w:p>
    <w:p w14:paraId="5F79E349" w14:textId="77777777" w:rsidR="00DC27E8" w:rsidRPr="00B24A80" w:rsidRDefault="007F5505" w:rsidP="009F132D">
      <w:pPr>
        <w:pStyle w:val="Prrafodelista"/>
        <w:numPr>
          <w:ilvl w:val="0"/>
          <w:numId w:val="9"/>
        </w:numPr>
        <w:spacing w:before="240" w:line="276" w:lineRule="auto"/>
        <w:ind w:right="-28"/>
        <w:rPr>
          <w:rFonts w:asciiTheme="majorHAnsi" w:eastAsia="Calibri" w:hAnsiTheme="majorHAnsi" w:cstheme="majorHAnsi"/>
          <w:szCs w:val="22"/>
        </w:rPr>
      </w:pPr>
      <w:r w:rsidRPr="00B24A80">
        <w:rPr>
          <w:rFonts w:asciiTheme="majorHAnsi" w:eastAsia="Calibri" w:hAnsiTheme="majorHAnsi" w:cstheme="majorHAnsi"/>
          <w:szCs w:val="22"/>
        </w:rPr>
        <w:lastRenderedPageBreak/>
        <w:t>Que su funcionamien</w:t>
      </w:r>
      <w:r w:rsidR="00F60686" w:rsidRPr="00B24A80">
        <w:rPr>
          <w:rFonts w:asciiTheme="majorHAnsi" w:eastAsia="Calibri" w:hAnsiTheme="majorHAnsi" w:cstheme="majorHAnsi"/>
          <w:szCs w:val="22"/>
        </w:rPr>
        <w:t>to no genere en el Polígono de p</w:t>
      </w:r>
      <w:r w:rsidRPr="00B24A80">
        <w:rPr>
          <w:rFonts w:asciiTheme="majorHAnsi" w:eastAsia="Calibri" w:hAnsiTheme="majorHAnsi" w:cstheme="majorHAnsi"/>
          <w:szCs w:val="22"/>
        </w:rPr>
        <w:t>laneamiento riesgos mayores a los que generan por la naturaleza los usos previstos.</w:t>
      </w:r>
    </w:p>
    <w:p w14:paraId="62114F38" w14:textId="77777777" w:rsidR="00A23887" w:rsidRPr="00B24A80" w:rsidRDefault="00A23887" w:rsidP="00A23887">
      <w:pPr>
        <w:pStyle w:val="Prrafodelista"/>
        <w:spacing w:before="240" w:line="276" w:lineRule="auto"/>
        <w:ind w:left="620" w:right="-28"/>
        <w:rPr>
          <w:rFonts w:asciiTheme="majorHAnsi" w:eastAsia="Calibri" w:hAnsiTheme="majorHAnsi" w:cstheme="majorHAnsi"/>
          <w:szCs w:val="22"/>
        </w:rPr>
      </w:pPr>
    </w:p>
    <w:p w14:paraId="4D19002B" w14:textId="0F4A24A1" w:rsidR="00DC27E8"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 xml:space="preserve">El PUGS que constituye el instrumento básico orientador del crecimiento armónico de los centros urbanos, deberá ser evaluado sistemática y periódicamente para ajustarlo a las circunstancias socio-económicas y físico-espaciales, variables en el tiempo. </w:t>
      </w:r>
      <w:r w:rsidRPr="00C75D17">
        <w:rPr>
          <w:rFonts w:asciiTheme="majorHAnsi" w:eastAsia="Calibri" w:hAnsiTheme="majorHAnsi" w:cstheme="majorHAnsi"/>
          <w:szCs w:val="22"/>
        </w:rPr>
        <w:t xml:space="preserve">Dicha evaluación </w:t>
      </w:r>
      <w:r w:rsidR="00C75D17" w:rsidRPr="00C75D17">
        <w:rPr>
          <w:rFonts w:asciiTheme="majorHAnsi" w:eastAsia="Calibri" w:hAnsiTheme="majorHAnsi" w:cstheme="majorHAnsi"/>
          <w:szCs w:val="22"/>
        </w:rPr>
        <w:t>será de</w:t>
      </w:r>
      <w:r w:rsidRPr="00C75D17">
        <w:rPr>
          <w:rFonts w:asciiTheme="majorHAnsi" w:eastAsia="Calibri" w:hAnsiTheme="majorHAnsi" w:cstheme="majorHAnsi"/>
          <w:szCs w:val="22"/>
        </w:rPr>
        <w:t xml:space="preserve"> </w:t>
      </w:r>
      <w:r w:rsidR="00C56A50" w:rsidRPr="00C75D17">
        <w:rPr>
          <w:rFonts w:asciiTheme="majorHAnsi" w:eastAsia="Calibri" w:hAnsiTheme="majorHAnsi" w:cstheme="majorHAnsi"/>
          <w:szCs w:val="22"/>
        </w:rPr>
        <w:t xml:space="preserve">la </w:t>
      </w:r>
      <w:r w:rsidRPr="00C75D17">
        <w:rPr>
          <w:rFonts w:asciiTheme="majorHAnsi" w:eastAsia="Calibri" w:hAnsiTheme="majorHAnsi" w:cstheme="majorHAnsi"/>
          <w:szCs w:val="22"/>
        </w:rPr>
        <w:t>administración municipal</w:t>
      </w:r>
      <w:r w:rsidR="00C56A50" w:rsidRPr="00C75D17">
        <w:rPr>
          <w:rFonts w:asciiTheme="majorHAnsi" w:eastAsia="Calibri" w:hAnsiTheme="majorHAnsi" w:cstheme="majorHAnsi"/>
          <w:szCs w:val="22"/>
        </w:rPr>
        <w:t xml:space="preserve"> anterior hasta el primer año de la administración vigente</w:t>
      </w:r>
      <w:r w:rsidRPr="00C75D17">
        <w:rPr>
          <w:rFonts w:asciiTheme="majorHAnsi" w:eastAsia="Calibri" w:hAnsiTheme="majorHAnsi" w:cstheme="majorHAnsi"/>
          <w:szCs w:val="22"/>
        </w:rPr>
        <w:t>,</w:t>
      </w:r>
      <w:r w:rsidRPr="00B24A80">
        <w:rPr>
          <w:rFonts w:asciiTheme="majorHAnsi" w:eastAsia="Calibri" w:hAnsiTheme="majorHAnsi" w:cstheme="majorHAnsi"/>
          <w:szCs w:val="22"/>
        </w:rPr>
        <w:t xml:space="preserve"> en la cual deberá hacerse una comprobación del cumplimiento de los programas y proyectos</w:t>
      </w:r>
      <w:r w:rsidR="0030211F">
        <w:rPr>
          <w:rFonts w:asciiTheme="majorHAnsi" w:eastAsia="Calibri" w:hAnsiTheme="majorHAnsi" w:cstheme="majorHAnsi"/>
          <w:szCs w:val="22"/>
        </w:rPr>
        <w:t>.</w:t>
      </w:r>
    </w:p>
    <w:p w14:paraId="7EB667DC" w14:textId="77777777" w:rsidR="0030211F" w:rsidRPr="00B24A80" w:rsidRDefault="0030211F" w:rsidP="0030211F">
      <w:pPr>
        <w:pStyle w:val="Prrafodelista"/>
        <w:widowControl/>
        <w:tabs>
          <w:tab w:val="left" w:pos="851"/>
        </w:tabs>
        <w:spacing w:after="240" w:line="276" w:lineRule="auto"/>
        <w:ind w:left="0" w:right="-100"/>
        <w:rPr>
          <w:rFonts w:asciiTheme="majorHAnsi" w:eastAsia="Calibri" w:hAnsiTheme="majorHAnsi" w:cstheme="majorHAnsi"/>
          <w:szCs w:val="22"/>
        </w:rPr>
      </w:pPr>
    </w:p>
    <w:p w14:paraId="53284FE1" w14:textId="1B32C26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szCs w:val="22"/>
        </w:rPr>
        <w:t xml:space="preserve">Cuando alguna actuación urbanística no se halle regulada por las determinaciones de este Capítulo o en su defecto estas sean insuficientes para tal finalidad, dicha actuación podrá a petición de parte interesada ser conocida y resuelta por el Concejo Cantonal, previos informes de la Comisión </w:t>
      </w:r>
      <w:r w:rsidR="00876935">
        <w:rPr>
          <w:rFonts w:asciiTheme="majorHAnsi" w:eastAsia="Calibri" w:hAnsiTheme="majorHAnsi" w:cstheme="majorHAnsi"/>
          <w:szCs w:val="22"/>
        </w:rPr>
        <w:t>técnica creada para el efecto</w:t>
      </w:r>
      <w:r w:rsidRPr="00B24A80">
        <w:rPr>
          <w:rFonts w:asciiTheme="majorHAnsi" w:eastAsia="Calibri" w:hAnsiTheme="majorHAnsi" w:cstheme="majorHAnsi"/>
          <w:szCs w:val="22"/>
        </w:rPr>
        <w:t xml:space="preserve">; y de la </w:t>
      </w:r>
      <w:r w:rsidR="00D01697" w:rsidRPr="00B24A80">
        <w:rPr>
          <w:rFonts w:asciiTheme="majorHAnsi" w:eastAsia="Calibri" w:hAnsiTheme="majorHAnsi" w:cstheme="majorHAnsi"/>
          <w:szCs w:val="22"/>
        </w:rPr>
        <w:t xml:space="preserve">Dirección de Gestión </w:t>
      </w:r>
      <w:r w:rsidR="001418D4" w:rsidRPr="00B24A80">
        <w:rPr>
          <w:rFonts w:asciiTheme="majorHAnsi" w:eastAsia="Calibri" w:hAnsiTheme="majorHAnsi" w:cstheme="majorHAnsi"/>
          <w:szCs w:val="22"/>
        </w:rPr>
        <w:t xml:space="preserve">de </w:t>
      </w:r>
      <w:r w:rsidR="00D01697" w:rsidRPr="00B24A80">
        <w:rPr>
          <w:rFonts w:asciiTheme="majorHAnsi" w:eastAsia="Calibri" w:hAnsiTheme="majorHAnsi" w:cstheme="majorHAnsi"/>
          <w:szCs w:val="22"/>
        </w:rPr>
        <w:t>Planificación</w:t>
      </w:r>
      <w:r w:rsidRPr="00B24A80">
        <w:rPr>
          <w:rFonts w:asciiTheme="majorHAnsi" w:eastAsia="Calibri" w:hAnsiTheme="majorHAnsi" w:cstheme="majorHAnsi"/>
          <w:szCs w:val="22"/>
        </w:rPr>
        <w:t>.</w:t>
      </w:r>
    </w:p>
    <w:p w14:paraId="5A3787D4" w14:textId="77777777" w:rsidR="001418D4" w:rsidRPr="00B24A80" w:rsidRDefault="001418D4" w:rsidP="001418D4">
      <w:pPr>
        <w:pStyle w:val="Prrafodelista"/>
        <w:widowControl/>
        <w:tabs>
          <w:tab w:val="left" w:pos="851"/>
        </w:tabs>
        <w:spacing w:after="240" w:line="276" w:lineRule="auto"/>
        <w:ind w:left="0" w:right="-100"/>
        <w:rPr>
          <w:rFonts w:asciiTheme="majorHAnsi" w:eastAsia="Calibri" w:hAnsiTheme="majorHAnsi" w:cstheme="majorHAnsi"/>
          <w:szCs w:val="22"/>
        </w:rPr>
      </w:pPr>
    </w:p>
    <w:p w14:paraId="4C8D57E9" w14:textId="5865A72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szCs w:val="22"/>
        </w:rPr>
        <w:t>Cualquier autorización, resolución, permiso o reglamentación adoptados en contra del PUGS serán nulos.</w:t>
      </w:r>
    </w:p>
    <w:p w14:paraId="4ECB018D" w14:textId="77777777" w:rsidR="001418D4" w:rsidRPr="00B24A80" w:rsidRDefault="001418D4" w:rsidP="001418D4">
      <w:pPr>
        <w:pStyle w:val="Prrafodelista"/>
        <w:widowControl/>
        <w:tabs>
          <w:tab w:val="left" w:pos="851"/>
        </w:tabs>
        <w:spacing w:after="240" w:line="276" w:lineRule="auto"/>
        <w:ind w:left="0" w:right="-100"/>
        <w:rPr>
          <w:rFonts w:asciiTheme="majorHAnsi" w:eastAsia="Calibri" w:hAnsiTheme="majorHAnsi" w:cstheme="majorHAnsi"/>
          <w:b/>
          <w:szCs w:val="22"/>
        </w:rPr>
      </w:pPr>
    </w:p>
    <w:p w14:paraId="196D2D1D" w14:textId="2FB487B5" w:rsidR="004F78AA" w:rsidRPr="00B24A80" w:rsidRDefault="007F5505" w:rsidP="001418D4">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Uso del suelo para actividades extractivas</w:t>
      </w:r>
      <w:r w:rsidRPr="00B24A80">
        <w:rPr>
          <w:rFonts w:asciiTheme="majorHAnsi" w:eastAsia="Calibri" w:hAnsiTheme="majorHAnsi" w:cstheme="majorHAnsi"/>
          <w:color w:val="000000"/>
          <w:szCs w:val="22"/>
        </w:rPr>
        <w:t xml:space="preserve">. </w:t>
      </w:r>
      <w:r w:rsidR="00FB5FF4"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w:t>
      </w:r>
      <w:r w:rsidR="00FB5FF4" w:rsidRPr="00B24A80">
        <w:rPr>
          <w:rFonts w:asciiTheme="majorHAnsi" w:eastAsia="Calibri" w:hAnsiTheme="majorHAnsi" w:cstheme="majorHAnsi"/>
          <w:color w:val="000000"/>
          <w:szCs w:val="22"/>
        </w:rPr>
        <w:t>Para las actividades extractivas no metálicas y que no sean de proyectos nacionales de carácter estratégico, el GAD, luego de un plan de manejo aprobado por autoridad competente, emitirá el permiso de funcionamiento </w:t>
      </w:r>
      <w:r w:rsidR="004F78AA" w:rsidRPr="00B24A80">
        <w:rPr>
          <w:rFonts w:asciiTheme="majorHAnsi" w:eastAsia="Calibri" w:hAnsiTheme="majorHAnsi" w:cstheme="majorHAnsi"/>
          <w:color w:val="000000"/>
          <w:szCs w:val="22"/>
        </w:rPr>
        <w:t>correspondiente,</w:t>
      </w:r>
      <w:r w:rsidR="00FB5FF4" w:rsidRPr="00B24A80">
        <w:rPr>
          <w:rFonts w:asciiTheme="majorHAnsi" w:eastAsia="Calibri" w:hAnsiTheme="majorHAnsi" w:cstheme="majorHAnsi"/>
          <w:color w:val="000000"/>
          <w:szCs w:val="22"/>
        </w:rPr>
        <w:t xml:space="preserve"> así como del uso de suelo</w:t>
      </w:r>
      <w:r w:rsidRPr="00B24A80">
        <w:rPr>
          <w:rFonts w:asciiTheme="majorHAnsi" w:eastAsia="Calibri" w:hAnsiTheme="majorHAnsi" w:cstheme="majorHAnsi"/>
          <w:color w:val="000000"/>
          <w:szCs w:val="22"/>
        </w:rPr>
        <w:t>.</w:t>
      </w:r>
    </w:p>
    <w:p w14:paraId="5F572E20" w14:textId="77777777" w:rsidR="004F78AA" w:rsidRPr="00B24A80" w:rsidRDefault="004F78AA" w:rsidP="004F78A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4B5FAFF7" w14:textId="3F99C656" w:rsidR="001418D4" w:rsidRPr="00B24A80" w:rsidRDefault="004F78AA" w:rsidP="001418D4">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Certificado Administrativo Gestión</w:t>
      </w:r>
      <w:r w:rsidR="00DC119D" w:rsidRPr="00B24A80">
        <w:rPr>
          <w:rFonts w:asciiTheme="majorHAnsi" w:eastAsia="Calibri" w:hAnsiTheme="majorHAnsi" w:cstheme="majorHAnsi"/>
          <w:b/>
          <w:color w:val="000000"/>
          <w:szCs w:val="22"/>
        </w:rPr>
        <w:t xml:space="preserve"> Riesgos para uso del suelo de actividades </w:t>
      </w:r>
      <w:r w:rsidRPr="00B24A80">
        <w:rPr>
          <w:rFonts w:asciiTheme="majorHAnsi" w:eastAsia="Calibri" w:hAnsiTheme="majorHAnsi" w:cstheme="majorHAnsi"/>
          <w:b/>
          <w:color w:val="000000"/>
          <w:szCs w:val="22"/>
        </w:rPr>
        <w:t>económicas. -</w:t>
      </w:r>
      <w:r w:rsidR="00DC119D" w:rsidRPr="00B24A80">
        <w:rPr>
          <w:rFonts w:cs="Calibri"/>
          <w:b/>
          <w:bCs/>
          <w:color w:val="000000"/>
          <w:szCs w:val="22"/>
        </w:rPr>
        <w:t xml:space="preserve"> </w:t>
      </w:r>
      <w:r w:rsidR="00DC119D" w:rsidRPr="00B24A80">
        <w:rPr>
          <w:rFonts w:cs="Calibri"/>
          <w:color w:val="000000"/>
          <w:szCs w:val="22"/>
        </w:rPr>
        <w:t>Será necesario que la UGR establezca un certificado de riesgos previo a la obtención</w:t>
      </w:r>
      <w:r w:rsidR="008D0D39" w:rsidRPr="00B24A80">
        <w:rPr>
          <w:rFonts w:cs="Calibri"/>
          <w:color w:val="000000"/>
          <w:szCs w:val="22"/>
        </w:rPr>
        <w:t xml:space="preserve"> del IPRUS</w:t>
      </w:r>
      <w:r w:rsidR="00DC119D" w:rsidRPr="00B24A80">
        <w:rPr>
          <w:rFonts w:cs="Calibri"/>
          <w:color w:val="000000"/>
          <w:szCs w:val="22"/>
        </w:rPr>
        <w:t xml:space="preserve"> para las actividades económicas que se desarrollen en el cantón La Joya de los Sachas.</w:t>
      </w:r>
    </w:p>
    <w:p w14:paraId="0310F1D0" w14:textId="77777777" w:rsidR="004F78AA" w:rsidRPr="00B24A80" w:rsidRDefault="004F78AA" w:rsidP="001418D4">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6DC360DE" w14:textId="5FBEA1D2" w:rsidR="00DC27E8" w:rsidRPr="00B24A80" w:rsidRDefault="007F5505" w:rsidP="00C75D17">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Pago por uso de suelo. -</w:t>
      </w:r>
      <w:r w:rsidRPr="00B24A80">
        <w:rPr>
          <w:rFonts w:asciiTheme="majorHAnsi" w:eastAsia="Calibri" w:hAnsiTheme="majorHAnsi" w:cstheme="majorHAnsi"/>
          <w:color w:val="000000"/>
          <w:szCs w:val="22"/>
        </w:rPr>
        <w:t xml:space="preserve"> Las personas naturales o jurídicas, que requieran permisos para uso y gestión</w:t>
      </w:r>
      <w:r w:rsidR="00BF4293"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del suelo en el cantón </w:t>
      </w:r>
      <w:r w:rsidR="00E30701" w:rsidRPr="00B24A80">
        <w:rPr>
          <w:rFonts w:asciiTheme="majorHAnsi" w:eastAsia="Calibri" w:hAnsiTheme="majorHAnsi" w:cstheme="majorHAnsi"/>
          <w:color w:val="000000"/>
          <w:szCs w:val="22"/>
        </w:rPr>
        <w:t>La Joya de los Sachas</w:t>
      </w:r>
      <w:r w:rsidR="00A76AB9"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deberán realizar los trámites correspondientes y cubrir los valores previstos en la normativa municipal</w:t>
      </w:r>
      <w:r w:rsidR="00055D8E">
        <w:rPr>
          <w:rFonts w:asciiTheme="majorHAnsi" w:eastAsia="Calibri" w:hAnsiTheme="majorHAnsi" w:cstheme="majorHAnsi"/>
          <w:color w:val="000000"/>
          <w:szCs w:val="22"/>
        </w:rPr>
        <w:t>.</w:t>
      </w:r>
      <w:r w:rsidR="001418D4" w:rsidRPr="00B24A80">
        <w:rPr>
          <w:rFonts w:asciiTheme="majorHAnsi" w:eastAsia="Calibri" w:hAnsiTheme="majorHAnsi" w:cstheme="majorHAnsi"/>
          <w:color w:val="000000"/>
          <w:szCs w:val="22"/>
        </w:rPr>
        <w:t xml:space="preserve"> </w:t>
      </w:r>
    </w:p>
    <w:p w14:paraId="7B6806CD" w14:textId="5725B310" w:rsidR="00DC27E8" w:rsidRPr="00C75D17" w:rsidRDefault="007F5505" w:rsidP="00C75D17">
      <w:pPr>
        <w:spacing w:line="276" w:lineRule="auto"/>
        <w:ind w:right="114"/>
        <w:rPr>
          <w:rFonts w:asciiTheme="majorHAnsi" w:eastAsia="Calibri" w:hAnsiTheme="majorHAnsi" w:cstheme="majorHAnsi"/>
          <w:sz w:val="22"/>
          <w:szCs w:val="22"/>
        </w:rPr>
      </w:pPr>
      <w:r w:rsidRPr="00C75D17">
        <w:rPr>
          <w:rFonts w:asciiTheme="majorHAnsi" w:eastAsia="Calibri" w:hAnsiTheme="majorHAnsi" w:cstheme="majorHAnsi"/>
          <w:sz w:val="22"/>
          <w:szCs w:val="22"/>
        </w:rPr>
        <w:t>Para que se realicen los pagos de uso de suelo para el</w:t>
      </w:r>
      <w:r w:rsidR="00FD4D4B" w:rsidRPr="00C75D17">
        <w:rPr>
          <w:rFonts w:asciiTheme="majorHAnsi" w:eastAsia="Calibri" w:hAnsiTheme="majorHAnsi" w:cstheme="majorHAnsi"/>
          <w:sz w:val="22"/>
          <w:szCs w:val="22"/>
        </w:rPr>
        <w:t xml:space="preserve"> sector extractivo se procederá </w:t>
      </w:r>
      <w:r w:rsidR="00C75D17">
        <w:rPr>
          <w:rFonts w:asciiTheme="majorHAnsi" w:eastAsia="Calibri" w:hAnsiTheme="majorHAnsi" w:cstheme="majorHAnsi"/>
          <w:sz w:val="22"/>
          <w:szCs w:val="22"/>
        </w:rPr>
        <w:t xml:space="preserve">como se </w:t>
      </w:r>
      <w:r w:rsidRPr="00C75D17">
        <w:rPr>
          <w:rFonts w:asciiTheme="majorHAnsi" w:eastAsia="Calibri" w:hAnsiTheme="majorHAnsi" w:cstheme="majorHAnsi"/>
          <w:sz w:val="22"/>
          <w:szCs w:val="22"/>
        </w:rPr>
        <w:t>detalla de acuerdo al pago y cobro de la ordenanza que regula, autoriza y controla la explotación de materiales áridos y pétreos</w:t>
      </w:r>
      <w:r w:rsidR="00DC119D" w:rsidRPr="00C75D17">
        <w:rPr>
          <w:rFonts w:asciiTheme="majorHAnsi" w:eastAsia="Calibri" w:hAnsiTheme="majorHAnsi" w:cstheme="majorHAnsi"/>
          <w:sz w:val="22"/>
          <w:szCs w:val="22"/>
        </w:rPr>
        <w:t xml:space="preserve"> que se encuentran en los lechos de los ríos, lagos, playas de mar, y canteras existentes en la jurisdicción del</w:t>
      </w:r>
      <w:r w:rsidRPr="00C75D17">
        <w:rPr>
          <w:rFonts w:asciiTheme="majorHAnsi" w:eastAsia="Calibri" w:hAnsiTheme="majorHAnsi" w:cstheme="majorHAnsi"/>
          <w:sz w:val="22"/>
          <w:szCs w:val="22"/>
        </w:rPr>
        <w:t xml:space="preserve"> cantón </w:t>
      </w:r>
      <w:r w:rsidR="00E30701" w:rsidRPr="00C75D17">
        <w:rPr>
          <w:rFonts w:asciiTheme="majorHAnsi" w:eastAsia="Calibri" w:hAnsiTheme="majorHAnsi" w:cstheme="majorHAnsi"/>
          <w:sz w:val="22"/>
          <w:szCs w:val="22"/>
        </w:rPr>
        <w:t>La Joya de los Sachas</w:t>
      </w:r>
      <w:r w:rsidRPr="00C75D17">
        <w:rPr>
          <w:rFonts w:asciiTheme="majorHAnsi" w:eastAsia="Calibri" w:hAnsiTheme="majorHAnsi" w:cstheme="majorHAnsi"/>
          <w:sz w:val="22"/>
          <w:szCs w:val="22"/>
        </w:rPr>
        <w:t xml:space="preserve">. </w:t>
      </w:r>
    </w:p>
    <w:p w14:paraId="071C069A" w14:textId="1CCA2494" w:rsidR="00DC27E8" w:rsidRPr="00B24A80" w:rsidRDefault="007F5505" w:rsidP="00DF7891">
      <w:pPr>
        <w:pStyle w:val="Ttulo4"/>
        <w:rPr>
          <w:rFonts w:cstheme="majorHAnsi"/>
          <w:sz w:val="22"/>
          <w:szCs w:val="22"/>
        </w:rPr>
      </w:pPr>
      <w:bookmarkStart w:id="163" w:name="_heading=h.xvir7l" w:colFirst="0" w:colLast="0"/>
      <w:bookmarkStart w:id="164" w:name="_Toc81085651"/>
      <w:bookmarkStart w:id="165" w:name="_Toc181374089"/>
      <w:bookmarkEnd w:id="163"/>
      <w:r w:rsidRPr="00B24A80">
        <w:rPr>
          <w:rFonts w:cstheme="majorHAnsi"/>
          <w:sz w:val="22"/>
          <w:szCs w:val="22"/>
        </w:rPr>
        <w:t>SECCIÓN I</w:t>
      </w:r>
      <w:r w:rsidR="00330C38" w:rsidRPr="00B24A80">
        <w:rPr>
          <w:rFonts w:cstheme="majorHAnsi"/>
          <w:sz w:val="22"/>
          <w:szCs w:val="22"/>
        </w:rPr>
        <w:t>I</w:t>
      </w:r>
      <w:bookmarkStart w:id="166" w:name="_heading=h.3hv69ve" w:colFirst="0" w:colLast="0"/>
      <w:bookmarkEnd w:id="166"/>
      <w:r w:rsidR="00DF7891" w:rsidRPr="00B24A80">
        <w:rPr>
          <w:rFonts w:cstheme="majorHAnsi"/>
          <w:sz w:val="22"/>
          <w:szCs w:val="22"/>
        </w:rPr>
        <w:br/>
      </w:r>
      <w:r w:rsidRPr="00B24A80">
        <w:rPr>
          <w:rFonts w:cstheme="majorHAnsi"/>
          <w:sz w:val="22"/>
          <w:szCs w:val="22"/>
        </w:rPr>
        <w:t>Normativa Específica de Uso Industrial</w:t>
      </w:r>
      <w:r w:rsidR="00655896" w:rsidRPr="00B24A80">
        <w:rPr>
          <w:rFonts w:cstheme="majorHAnsi"/>
          <w:sz w:val="22"/>
          <w:szCs w:val="22"/>
        </w:rPr>
        <w:t xml:space="preserve"> de bajo</w:t>
      </w:r>
      <w:r w:rsidR="0047472C" w:rsidRPr="00B24A80">
        <w:rPr>
          <w:rFonts w:cstheme="majorHAnsi"/>
          <w:sz w:val="22"/>
          <w:szCs w:val="22"/>
        </w:rPr>
        <w:t xml:space="preserve"> y mediano</w:t>
      </w:r>
      <w:r w:rsidR="00655896" w:rsidRPr="00B24A80">
        <w:rPr>
          <w:rFonts w:cstheme="majorHAnsi"/>
          <w:sz w:val="22"/>
          <w:szCs w:val="22"/>
        </w:rPr>
        <w:t xml:space="preserve"> impacto</w:t>
      </w:r>
      <w:bookmarkEnd w:id="164"/>
      <w:bookmarkEnd w:id="165"/>
    </w:p>
    <w:p w14:paraId="5935FF63" w14:textId="02EF3ED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Uso industrial. -</w:t>
      </w:r>
      <w:r w:rsidRPr="00B24A80">
        <w:rPr>
          <w:rFonts w:asciiTheme="majorHAnsi" w:eastAsia="Calibri" w:hAnsiTheme="majorHAnsi" w:cstheme="majorHAnsi"/>
          <w:color w:val="000000"/>
          <w:szCs w:val="22"/>
        </w:rPr>
        <w:t xml:space="preserve"> Es el destinado a la elaboración, transformación, tratamiento y manipulación de materias primas para producir bienes o productos materiales.</w:t>
      </w:r>
    </w:p>
    <w:p w14:paraId="679FA03F" w14:textId="42B896B4" w:rsidR="00330C3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Usos específicos y áreas de aplicación:</w:t>
      </w:r>
    </w:p>
    <w:p w14:paraId="398BFE21" w14:textId="4CB0D2F7" w:rsidR="00DC27E8" w:rsidRPr="004502E6" w:rsidRDefault="007F5505" w:rsidP="00330C38">
      <w:pPr>
        <w:pBdr>
          <w:top w:val="nil"/>
          <w:left w:val="nil"/>
          <w:bottom w:val="nil"/>
          <w:right w:val="nil"/>
          <w:between w:val="nil"/>
        </w:pBdr>
        <w:spacing w:after="227" w:line="276" w:lineRule="auto"/>
        <w:ind w:right="-100"/>
        <w:rPr>
          <w:rFonts w:asciiTheme="majorHAnsi" w:eastAsia="Calibri" w:hAnsiTheme="majorHAnsi" w:cstheme="majorHAnsi"/>
          <w:b/>
          <w:sz w:val="22"/>
          <w:szCs w:val="22"/>
        </w:rPr>
      </w:pPr>
      <w:r w:rsidRPr="004502E6">
        <w:rPr>
          <w:rFonts w:asciiTheme="majorHAnsi" w:eastAsia="Calibri" w:hAnsiTheme="majorHAnsi" w:cstheme="majorHAnsi"/>
          <w:b/>
          <w:sz w:val="22"/>
          <w:szCs w:val="22"/>
        </w:rPr>
        <w:t>Industrias de bajo impacto:</w:t>
      </w:r>
      <w:r w:rsidRPr="004502E6">
        <w:rPr>
          <w:rFonts w:asciiTheme="majorHAnsi" w:eastAsia="Calibri" w:hAnsiTheme="majorHAnsi" w:cstheme="majorHAnsi"/>
          <w:sz w:val="22"/>
          <w:szCs w:val="22"/>
        </w:rPr>
        <w:t xml:space="preserve"> Comprenden las manufacturas y los establecimientos industriales </w:t>
      </w:r>
      <w:r w:rsidR="008A3866" w:rsidRPr="004502E6">
        <w:rPr>
          <w:rFonts w:asciiTheme="majorHAnsi" w:eastAsia="Calibri" w:hAnsiTheme="majorHAnsi" w:cstheme="majorHAnsi"/>
          <w:sz w:val="22"/>
          <w:szCs w:val="22"/>
        </w:rPr>
        <w:t>de menor escala q</w:t>
      </w:r>
      <w:r w:rsidR="00382C8F" w:rsidRPr="004502E6">
        <w:rPr>
          <w:rFonts w:asciiTheme="majorHAnsi" w:eastAsia="Calibri" w:hAnsiTheme="majorHAnsi" w:cstheme="majorHAnsi"/>
          <w:sz w:val="22"/>
          <w:szCs w:val="22"/>
        </w:rPr>
        <w:t>ue</w:t>
      </w:r>
      <w:r w:rsidR="008A3866" w:rsidRPr="004502E6">
        <w:rPr>
          <w:rFonts w:asciiTheme="majorHAnsi" w:eastAsia="Calibri" w:hAnsiTheme="majorHAnsi" w:cstheme="majorHAnsi"/>
          <w:sz w:val="22"/>
          <w:szCs w:val="22"/>
        </w:rPr>
        <w:t xml:space="preserve"> no genera incompatibilidad con la </w:t>
      </w:r>
      <w:r w:rsidR="00B77AC5" w:rsidRPr="004502E6">
        <w:rPr>
          <w:rFonts w:asciiTheme="majorHAnsi" w:eastAsia="Calibri" w:hAnsiTheme="majorHAnsi" w:cstheme="majorHAnsi"/>
          <w:sz w:val="22"/>
          <w:szCs w:val="22"/>
        </w:rPr>
        <w:t>zona de uso residencial.</w:t>
      </w:r>
    </w:p>
    <w:p w14:paraId="0EB3E8FB" w14:textId="6CBD64AC" w:rsidR="002F0CBA" w:rsidRPr="00B24A80" w:rsidRDefault="007F5505">
      <w:pPr>
        <w:pBdr>
          <w:top w:val="nil"/>
          <w:left w:val="nil"/>
          <w:bottom w:val="nil"/>
          <w:right w:val="nil"/>
          <w:between w:val="nil"/>
        </w:pBdr>
        <w:spacing w:after="267" w:line="276" w:lineRule="auto"/>
        <w:ind w:right="-100"/>
        <w:rPr>
          <w:rFonts w:asciiTheme="majorHAnsi" w:hAnsiTheme="majorHAnsi" w:cstheme="majorHAnsi"/>
          <w:sz w:val="22"/>
          <w:szCs w:val="22"/>
        </w:rPr>
      </w:pPr>
      <w:r w:rsidRPr="00B24A80">
        <w:rPr>
          <w:rFonts w:asciiTheme="majorHAnsi" w:eastAsia="Calibri" w:hAnsiTheme="majorHAnsi" w:cstheme="majorHAnsi"/>
          <w:color w:val="000000"/>
          <w:sz w:val="22"/>
          <w:szCs w:val="22"/>
        </w:rPr>
        <w:lastRenderedPageBreak/>
        <w:t xml:space="preserve">Se entiende por manufactura a </w:t>
      </w:r>
      <w:r w:rsidR="003877C0" w:rsidRPr="00B24A80">
        <w:rPr>
          <w:rFonts w:asciiTheme="majorHAnsi" w:hAnsiTheme="majorHAnsi" w:cstheme="majorHAnsi"/>
          <w:sz w:val="22"/>
          <w:szCs w:val="22"/>
        </w:rPr>
        <w:t xml:space="preserve">la elaboración de productos que </w:t>
      </w:r>
      <w:r w:rsidR="002F0CBA" w:rsidRPr="004502E6">
        <w:rPr>
          <w:rFonts w:asciiTheme="majorHAnsi" w:hAnsiTheme="majorHAnsi" w:cstheme="majorHAnsi"/>
          <w:sz w:val="22"/>
          <w:szCs w:val="22"/>
        </w:rPr>
        <w:t>no requiere</w:t>
      </w:r>
      <w:r w:rsidR="00342A5C" w:rsidRPr="004502E6">
        <w:rPr>
          <w:rFonts w:asciiTheme="majorHAnsi" w:hAnsiTheme="majorHAnsi" w:cstheme="majorHAnsi"/>
          <w:sz w:val="22"/>
          <w:szCs w:val="22"/>
        </w:rPr>
        <w:t>n</w:t>
      </w:r>
      <w:r w:rsidR="002F0CBA" w:rsidRPr="004502E6">
        <w:rPr>
          <w:rFonts w:asciiTheme="majorHAnsi" w:hAnsiTheme="majorHAnsi" w:cstheme="majorHAnsi"/>
          <w:sz w:val="22"/>
          <w:szCs w:val="22"/>
        </w:rPr>
        <w:t xml:space="preserve"> medidas especiales para mitigar el impacto</w:t>
      </w:r>
      <w:r w:rsidR="003877C0" w:rsidRPr="004502E6">
        <w:rPr>
          <w:rFonts w:asciiTheme="majorHAnsi" w:hAnsiTheme="majorHAnsi" w:cstheme="majorHAnsi"/>
          <w:sz w:val="22"/>
          <w:szCs w:val="22"/>
        </w:rPr>
        <w:t xml:space="preserve">, y las actividades dedicadas al trabajo </w:t>
      </w:r>
      <w:r w:rsidR="003877C0" w:rsidRPr="00B24A80">
        <w:rPr>
          <w:rFonts w:asciiTheme="majorHAnsi" w:hAnsiTheme="majorHAnsi" w:cstheme="majorHAnsi"/>
          <w:sz w:val="22"/>
          <w:szCs w:val="22"/>
        </w:rPr>
        <w:t>artesanal domiciliario, normalmente familiar, se prohíbe el uso y almacenamiento de materiales inflamables, reactivos, corrosivos, tóxicos, patógenos, radioactivos y explosivos y manufacturas menores que generen impactos nocivos al medio ambiente o riesgos a la salud de la población; y</w:t>
      </w:r>
    </w:p>
    <w:p w14:paraId="48226742" w14:textId="6BAD6F24" w:rsidR="003877C0" w:rsidRPr="00B24A80" w:rsidRDefault="003877C0">
      <w:pPr>
        <w:pBdr>
          <w:top w:val="nil"/>
          <w:left w:val="nil"/>
          <w:bottom w:val="nil"/>
          <w:right w:val="nil"/>
          <w:between w:val="nil"/>
        </w:pBdr>
        <w:spacing w:after="267" w:line="276" w:lineRule="auto"/>
        <w:ind w:right="-100"/>
        <w:rPr>
          <w:rFonts w:asciiTheme="majorHAnsi" w:eastAsia="Calibri" w:hAnsiTheme="majorHAnsi" w:cstheme="majorHAnsi"/>
          <w:color w:val="000000"/>
          <w:sz w:val="22"/>
          <w:szCs w:val="22"/>
        </w:rPr>
      </w:pPr>
      <w:r w:rsidRPr="00B24A80">
        <w:rPr>
          <w:rFonts w:asciiTheme="majorHAnsi" w:hAnsiTheme="majorHAnsi" w:cstheme="majorHAnsi"/>
          <w:sz w:val="22"/>
          <w:szCs w:val="22"/>
        </w:rPr>
        <w:t>Establecimientos especializados de servicios: Son los que no generan impactos por descargas líquidas no domésticas, emisiones de combustión, emisiones de procesos, emisiones de ruido, residuos sólidos, además de riesgos inherentes a sus labores; o aquellos que sí los generan, pero que pueden ser reducidos y controlados mediante soluciones técnicas básicas.</w:t>
      </w:r>
    </w:p>
    <w:p w14:paraId="25A407EC" w14:textId="6A77317E" w:rsidR="00EF0527" w:rsidRPr="00B24A80" w:rsidRDefault="00EF0527" w:rsidP="00EF0527">
      <w:pPr>
        <w:pStyle w:val="Sinespaciado"/>
        <w:rPr>
          <w:rFonts w:asciiTheme="majorHAnsi" w:hAnsiTheme="majorHAnsi" w:cstheme="majorHAnsi"/>
          <w:color w:val="000000"/>
          <w:sz w:val="22"/>
        </w:rPr>
      </w:pPr>
      <w:r w:rsidRPr="00B24A80">
        <w:rPr>
          <w:rFonts w:asciiTheme="majorHAnsi" w:hAnsiTheme="majorHAnsi" w:cstheme="majorHAnsi"/>
          <w:color w:val="000000"/>
          <w:sz w:val="22"/>
        </w:rPr>
        <w:t>Las edificaciones para uso industrial de bajo impacto, a más de las condiciones específicas de este tipo de industria, cumplirán con las siguientes:</w:t>
      </w:r>
    </w:p>
    <w:p w14:paraId="79B2B1E5" w14:textId="77777777" w:rsidR="00382558" w:rsidRPr="00B24A80" w:rsidRDefault="00382558" w:rsidP="00EF0527">
      <w:pPr>
        <w:pStyle w:val="Sinespaciado"/>
        <w:rPr>
          <w:rFonts w:asciiTheme="majorHAnsi" w:hAnsiTheme="majorHAnsi" w:cstheme="majorHAnsi"/>
          <w:color w:val="000000"/>
          <w:sz w:val="22"/>
        </w:rPr>
      </w:pPr>
    </w:p>
    <w:p w14:paraId="7DBAF8C3" w14:textId="455B1D20" w:rsidR="00EF0527" w:rsidRPr="00B24A80" w:rsidRDefault="00EF0527"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color w:val="000000"/>
          <w:sz w:val="22"/>
        </w:rPr>
        <w:t xml:space="preserve">Todas las industrias contarán con instalaciones </w:t>
      </w:r>
      <w:r w:rsidR="00AE556F" w:rsidRPr="00B24A80">
        <w:rPr>
          <w:rFonts w:asciiTheme="majorHAnsi" w:hAnsiTheme="majorHAnsi" w:cstheme="majorHAnsi"/>
          <w:color w:val="000000"/>
          <w:sz w:val="22"/>
        </w:rPr>
        <w:t>de acuerdo con</w:t>
      </w:r>
      <w:r w:rsidRPr="00B24A80">
        <w:rPr>
          <w:rFonts w:asciiTheme="majorHAnsi" w:hAnsiTheme="majorHAnsi" w:cstheme="majorHAnsi"/>
          <w:color w:val="000000"/>
          <w:sz w:val="22"/>
        </w:rPr>
        <w:t xml:space="preserve"> las Normas de Arquitectura y Urbanismo y las normas vigentes sobre la materia</w:t>
      </w:r>
    </w:p>
    <w:p w14:paraId="15F1E4F0" w14:textId="0FC66E17" w:rsidR="00EF0527" w:rsidRPr="00B24A80" w:rsidRDefault="00EF0527"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sz w:val="22"/>
        </w:rPr>
        <w:t xml:space="preserve">La disposición de desechos sólidos industriales se sujetará a la Legislación Ambiental local vigente y a las disposiciones de la </w:t>
      </w:r>
      <w:r w:rsidR="00447C78" w:rsidRPr="00B24A80">
        <w:rPr>
          <w:rFonts w:asciiTheme="majorHAnsi" w:hAnsiTheme="majorHAnsi" w:cstheme="majorHAnsi"/>
          <w:sz w:val="22"/>
        </w:rPr>
        <w:t>Dirección de Gestión Ambiental y</w:t>
      </w:r>
      <w:r w:rsidRPr="00B24A80">
        <w:rPr>
          <w:rFonts w:asciiTheme="majorHAnsi" w:hAnsiTheme="majorHAnsi" w:cstheme="majorHAnsi"/>
          <w:sz w:val="22"/>
        </w:rPr>
        <w:t xml:space="preserve"> demás organismos competentes en la materia, conforme a la ley.</w:t>
      </w:r>
    </w:p>
    <w:p w14:paraId="05ED280B" w14:textId="3712C8B7" w:rsidR="00EF0527" w:rsidRPr="00B24A80" w:rsidRDefault="00EF0527"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sz w:val="22"/>
        </w:rPr>
        <w:t xml:space="preserve">La prevención y control de la contaminación por emisión de gases, partículas y otros contaminantes atmosféricos, se realizarán conforme a la Legislación Ambiental local vigente y a las disposiciones de la Dirección </w:t>
      </w:r>
      <w:r w:rsidR="00447C78" w:rsidRPr="00B24A80">
        <w:rPr>
          <w:rFonts w:asciiTheme="majorHAnsi" w:hAnsiTheme="majorHAnsi" w:cstheme="majorHAnsi"/>
          <w:sz w:val="22"/>
        </w:rPr>
        <w:t xml:space="preserve">de Gestión </w:t>
      </w:r>
      <w:r w:rsidRPr="00B24A80">
        <w:rPr>
          <w:rFonts w:asciiTheme="majorHAnsi" w:hAnsiTheme="majorHAnsi" w:cstheme="majorHAnsi"/>
          <w:sz w:val="22"/>
        </w:rPr>
        <w:t>Ambiental y demás organismos competentes en la materia, conforme a la ley.</w:t>
      </w:r>
    </w:p>
    <w:p w14:paraId="03A1D20B" w14:textId="5CA371EB" w:rsidR="00EF0527" w:rsidRPr="00B24A80" w:rsidRDefault="00EF0527"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sz w:val="22"/>
        </w:rPr>
        <w:t>Las actividades que generen ruidos o vibraciones producidos por máquinas, equipos o herramientas industriales, se sujetarán a la Legislación Ambiental local vigente y las Normas de Arquitectura y Urbanismo, así como las di</w:t>
      </w:r>
      <w:r w:rsidR="00447C78" w:rsidRPr="00B24A80">
        <w:rPr>
          <w:rFonts w:asciiTheme="majorHAnsi" w:hAnsiTheme="majorHAnsi" w:cstheme="majorHAnsi"/>
          <w:sz w:val="22"/>
        </w:rPr>
        <w:t>sposiciones de la Dirección de Gestión Ambiental</w:t>
      </w:r>
      <w:r w:rsidRPr="00B24A80">
        <w:rPr>
          <w:rFonts w:asciiTheme="majorHAnsi" w:hAnsiTheme="majorHAnsi" w:cstheme="majorHAnsi"/>
          <w:sz w:val="22"/>
        </w:rPr>
        <w:t xml:space="preserve"> y demás organismos competentes en la materia, conforme a la ley</w:t>
      </w:r>
    </w:p>
    <w:p w14:paraId="531C5F63" w14:textId="5C0D06A9" w:rsidR="00B73EAC" w:rsidRPr="00B24A80" w:rsidRDefault="00B73EAC"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sz w:val="22"/>
        </w:rPr>
        <w:t xml:space="preserve">La prevención y control de la contaminación de las aguas de las industrias se realizará conforme a la Legislación Ambiental local vigente y las Reglas Técnicas de Arquitectura y Urbanismo, así </w:t>
      </w:r>
      <w:r w:rsidR="00447C78" w:rsidRPr="00B24A80">
        <w:rPr>
          <w:rFonts w:asciiTheme="majorHAnsi" w:hAnsiTheme="majorHAnsi" w:cstheme="majorHAnsi"/>
          <w:sz w:val="22"/>
        </w:rPr>
        <w:t>como las - disposiciones de la Dirección de Gestión Ambiental</w:t>
      </w:r>
      <w:r w:rsidRPr="00B24A80">
        <w:rPr>
          <w:rFonts w:asciiTheme="majorHAnsi" w:hAnsiTheme="majorHAnsi" w:cstheme="majorHAnsi"/>
          <w:sz w:val="22"/>
        </w:rPr>
        <w:t xml:space="preserve"> y demás organismos competentes en la materia, conforme a la ley. </w:t>
      </w:r>
    </w:p>
    <w:p w14:paraId="3521DE03" w14:textId="5D63A777" w:rsidR="00B73EAC" w:rsidRPr="00B24A80" w:rsidRDefault="00B73EAC" w:rsidP="00B73EAC">
      <w:pPr>
        <w:pStyle w:val="Sinespaciado"/>
        <w:ind w:left="720"/>
        <w:rPr>
          <w:rFonts w:asciiTheme="majorHAnsi" w:hAnsiTheme="majorHAnsi" w:cstheme="majorHAnsi"/>
          <w:color w:val="000000"/>
          <w:sz w:val="22"/>
        </w:rPr>
      </w:pPr>
      <w:r w:rsidRPr="00B24A80">
        <w:rPr>
          <w:rFonts w:asciiTheme="majorHAnsi" w:hAnsiTheme="majorHAnsi" w:cstheme="majorHAnsi"/>
          <w:sz w:val="22"/>
        </w:rPr>
        <w:t>Las actividades que generen radioactividad o perturbación eléctrica cumplirán con las disposiciones especiales de los organismos públicos encargados de las áreas de energía y electrificación y de los demás organismos competentes en la materia, conforme a la ley</w:t>
      </w:r>
    </w:p>
    <w:p w14:paraId="43B6249F" w14:textId="408769C8" w:rsidR="0047472C" w:rsidRPr="00B24A80" w:rsidRDefault="00EF0527"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sz w:val="22"/>
        </w:rPr>
        <w:t xml:space="preserve">Los establecimientos industriales que requieran para su uso almacenar combustibles, tanques de gas licuado de petróleo, materiales explosivos e inflamables, deberán sujetarse al Reglamento Ambiental para Operaciones Hidrocarburíferas del Ecuador, a las Reglas Técnicas de Arquitectura y Urbanismo, a la Legislación Ambiental local vigente y a las disposiciones de la </w:t>
      </w:r>
      <w:r w:rsidR="00447C78" w:rsidRPr="00B24A80">
        <w:rPr>
          <w:rFonts w:asciiTheme="majorHAnsi" w:hAnsiTheme="majorHAnsi" w:cstheme="majorHAnsi"/>
          <w:sz w:val="22"/>
        </w:rPr>
        <w:t xml:space="preserve">Dirección de Gestión Ambiental </w:t>
      </w:r>
      <w:r w:rsidRPr="00B24A80">
        <w:rPr>
          <w:rFonts w:asciiTheme="majorHAnsi" w:hAnsiTheme="majorHAnsi" w:cstheme="majorHAnsi"/>
          <w:sz w:val="22"/>
        </w:rPr>
        <w:t xml:space="preserve">y demás organismos competentes en la materia, conforme a la ley. </w:t>
      </w:r>
    </w:p>
    <w:p w14:paraId="075561E8" w14:textId="6A265A66" w:rsidR="00B73EAC" w:rsidRPr="00B24A80" w:rsidRDefault="00B73EAC"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color w:val="000000"/>
          <w:sz w:val="22"/>
        </w:rPr>
        <w:t xml:space="preserve">Para aquellos establecimientos en proyecto o en funcionamiento que no estén tipificados en el cuadro de clasificación de uso industrial de bajo impacto, o cuando la gestión ambiental de la industria requiera una revisión de su clasificación, las entidades administrativas municipales encargada de la gestión ambiental, de la gestión de riesgos, emitirán los respectivos informes hacia la </w:t>
      </w:r>
      <w:r w:rsidR="00D01697" w:rsidRPr="00B24A80">
        <w:rPr>
          <w:rFonts w:asciiTheme="majorHAnsi" w:hAnsiTheme="majorHAnsi" w:cstheme="majorHAnsi"/>
          <w:color w:val="000000"/>
          <w:sz w:val="22"/>
        </w:rPr>
        <w:t xml:space="preserve">Dirección de Gestión </w:t>
      </w:r>
      <w:r w:rsidR="006208FF" w:rsidRPr="00B24A80">
        <w:rPr>
          <w:rFonts w:asciiTheme="majorHAnsi" w:hAnsiTheme="majorHAnsi" w:cstheme="majorHAnsi"/>
          <w:color w:val="000000"/>
          <w:sz w:val="22"/>
        </w:rPr>
        <w:t xml:space="preserve">de </w:t>
      </w:r>
      <w:r w:rsidR="00D01697" w:rsidRPr="00B24A80">
        <w:rPr>
          <w:rFonts w:asciiTheme="majorHAnsi" w:hAnsiTheme="majorHAnsi" w:cstheme="majorHAnsi"/>
          <w:color w:val="000000"/>
          <w:sz w:val="22"/>
        </w:rPr>
        <w:t>Planificación</w:t>
      </w:r>
      <w:r w:rsidRPr="00B24A80">
        <w:rPr>
          <w:rFonts w:asciiTheme="majorHAnsi" w:hAnsiTheme="majorHAnsi" w:cstheme="majorHAnsi"/>
          <w:color w:val="000000"/>
          <w:sz w:val="22"/>
        </w:rPr>
        <w:t xml:space="preserve"> para que se genere el proceso de clasificación en función de los impactos que ocasione, del Catálogo de Categorización Ambiental Nacional (CCAN) del Sistema Único de Información Ambiental (SUIA) y la normativa nacional vigente.</w:t>
      </w:r>
    </w:p>
    <w:p w14:paraId="4A926C6D" w14:textId="31D200F6" w:rsidR="00B73EAC" w:rsidRPr="00B24A80" w:rsidRDefault="00B73EAC"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color w:val="000000"/>
          <w:sz w:val="22"/>
        </w:rPr>
        <w:lastRenderedPageBreak/>
        <w:t xml:space="preserve">Las industrias están obligadas a realizar el cerramiento periférico y a tratar </w:t>
      </w:r>
      <w:r w:rsidR="00691E26" w:rsidRPr="00B24A80">
        <w:rPr>
          <w:rFonts w:asciiTheme="majorHAnsi" w:hAnsiTheme="majorHAnsi" w:cstheme="majorHAnsi"/>
          <w:color w:val="000000"/>
          <w:sz w:val="22"/>
        </w:rPr>
        <w:t>con vegetación</w:t>
      </w:r>
      <w:r w:rsidRPr="00B24A80">
        <w:rPr>
          <w:rFonts w:asciiTheme="majorHAnsi" w:hAnsiTheme="majorHAnsi" w:cstheme="majorHAnsi"/>
          <w:color w:val="000000"/>
          <w:sz w:val="22"/>
        </w:rPr>
        <w:t xml:space="preserve"> su entorno. Será obligatorio, cuando se encuentren aledañas a otras</w:t>
      </w:r>
      <w:r w:rsidR="00691E26" w:rsidRPr="00B24A80">
        <w:rPr>
          <w:rFonts w:asciiTheme="majorHAnsi" w:hAnsiTheme="majorHAnsi" w:cstheme="majorHAnsi"/>
          <w:color w:val="000000"/>
          <w:sz w:val="22"/>
        </w:rPr>
        <w:t xml:space="preserve"> </w:t>
      </w:r>
      <w:r w:rsidRPr="00B24A80">
        <w:rPr>
          <w:rFonts w:asciiTheme="majorHAnsi" w:hAnsiTheme="majorHAnsi" w:cstheme="majorHAnsi"/>
          <w:color w:val="000000"/>
          <w:sz w:val="22"/>
        </w:rPr>
        <w:t>actividades urbanas, establecer un espacio de transición y amortiguamiento de</w:t>
      </w:r>
      <w:r w:rsidR="00691E26" w:rsidRPr="00B24A80">
        <w:rPr>
          <w:rFonts w:asciiTheme="majorHAnsi" w:hAnsiTheme="majorHAnsi" w:cstheme="majorHAnsi"/>
          <w:color w:val="000000"/>
          <w:sz w:val="22"/>
        </w:rPr>
        <w:t xml:space="preserve"> </w:t>
      </w:r>
      <w:r w:rsidRPr="00B24A80">
        <w:rPr>
          <w:rFonts w:asciiTheme="majorHAnsi" w:hAnsiTheme="majorHAnsi" w:cstheme="majorHAnsi"/>
          <w:color w:val="000000"/>
          <w:sz w:val="22"/>
        </w:rPr>
        <w:t>los</w:t>
      </w:r>
      <w:r w:rsidR="00691E26" w:rsidRPr="00B24A80">
        <w:rPr>
          <w:rFonts w:asciiTheme="majorHAnsi" w:hAnsiTheme="majorHAnsi" w:cstheme="majorHAnsi"/>
          <w:color w:val="000000"/>
          <w:sz w:val="22"/>
        </w:rPr>
        <w:t xml:space="preserve"> </w:t>
      </w:r>
      <w:r w:rsidRPr="00B24A80">
        <w:rPr>
          <w:rFonts w:asciiTheme="majorHAnsi" w:hAnsiTheme="majorHAnsi" w:cstheme="majorHAnsi"/>
          <w:color w:val="000000"/>
          <w:sz w:val="22"/>
        </w:rPr>
        <w:t>impactos ambientales negativos.</w:t>
      </w:r>
    </w:p>
    <w:p w14:paraId="607BB9E7" w14:textId="6A2249E8" w:rsidR="00691E26" w:rsidRPr="00B24A80" w:rsidRDefault="00691E26"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color w:val="000000"/>
          <w:sz w:val="22"/>
        </w:rPr>
        <w:t>Las edificaciones para industrias serán de un solo piso, deberán construirse con materiales incombustibles, y estarán dotadas de muros corta - fuego para impedir la propagación de incendios de un local a otro.</w:t>
      </w:r>
    </w:p>
    <w:p w14:paraId="407A2C69" w14:textId="08CECC10" w:rsidR="00691E26" w:rsidRPr="00B24A80" w:rsidRDefault="00CE43F1" w:rsidP="009F132D">
      <w:pPr>
        <w:pStyle w:val="Sinespaciado"/>
        <w:numPr>
          <w:ilvl w:val="0"/>
          <w:numId w:val="55"/>
        </w:numPr>
        <w:rPr>
          <w:rFonts w:asciiTheme="majorHAnsi" w:hAnsiTheme="majorHAnsi" w:cstheme="majorHAnsi"/>
          <w:color w:val="000000"/>
          <w:sz w:val="22"/>
        </w:rPr>
      </w:pPr>
      <w:r w:rsidRPr="00B24A80">
        <w:rPr>
          <w:rFonts w:asciiTheme="majorHAnsi" w:hAnsiTheme="majorHAnsi" w:cstheme="majorHAnsi"/>
          <w:color w:val="000000"/>
          <w:sz w:val="22"/>
        </w:rPr>
        <w:t>Las habilitaciones en suelo industrial deberán contar con los Informes de factibilidad de la municipalidad de servicios básicos y se sujetarán a las regulaciones y recomendaciones emitidas por las entidades correspondientes</w:t>
      </w:r>
      <w:r w:rsidR="00691E26" w:rsidRPr="00B24A80">
        <w:rPr>
          <w:rFonts w:asciiTheme="majorHAnsi" w:hAnsiTheme="majorHAnsi" w:cstheme="majorHAnsi"/>
          <w:color w:val="000000"/>
          <w:sz w:val="22"/>
        </w:rPr>
        <w:t>.</w:t>
      </w:r>
    </w:p>
    <w:p w14:paraId="7F9DBDE4" w14:textId="778E95D2" w:rsidR="00DC27E8" w:rsidRPr="00B24A80" w:rsidRDefault="003877C0" w:rsidP="00DF7891">
      <w:pPr>
        <w:pStyle w:val="Ttulo4"/>
        <w:rPr>
          <w:rFonts w:cstheme="majorHAnsi"/>
          <w:sz w:val="22"/>
          <w:szCs w:val="22"/>
        </w:rPr>
      </w:pPr>
      <w:bookmarkStart w:id="167" w:name="_heading=h.1x0gk37" w:colFirst="0" w:colLast="0"/>
      <w:bookmarkStart w:id="168" w:name="_Toc81085652"/>
      <w:bookmarkStart w:id="169" w:name="_Toc181374090"/>
      <w:bookmarkEnd w:id="167"/>
      <w:r w:rsidRPr="00B24A80">
        <w:rPr>
          <w:rFonts w:cstheme="majorHAnsi"/>
          <w:sz w:val="22"/>
          <w:szCs w:val="22"/>
        </w:rPr>
        <w:t>S</w:t>
      </w:r>
      <w:r w:rsidR="00691E26" w:rsidRPr="00B24A80">
        <w:rPr>
          <w:rFonts w:cstheme="majorHAnsi"/>
          <w:sz w:val="22"/>
          <w:szCs w:val="22"/>
        </w:rPr>
        <w:t>ECCIÓN III</w:t>
      </w:r>
      <w:bookmarkStart w:id="170" w:name="_heading=h.4h042r0" w:colFirst="0" w:colLast="0"/>
      <w:bookmarkEnd w:id="170"/>
      <w:r w:rsidR="00DF7891" w:rsidRPr="00B24A80">
        <w:rPr>
          <w:rFonts w:cstheme="majorHAnsi"/>
          <w:sz w:val="22"/>
          <w:szCs w:val="22"/>
        </w:rPr>
        <w:br/>
      </w:r>
      <w:r w:rsidR="007F5505" w:rsidRPr="00B24A80">
        <w:rPr>
          <w:rFonts w:cstheme="majorHAnsi"/>
          <w:sz w:val="22"/>
          <w:szCs w:val="22"/>
        </w:rPr>
        <w:t>Normativa Específica de Uso de Equipamiento de Servicios</w:t>
      </w:r>
      <w:bookmarkEnd w:id="168"/>
      <w:bookmarkEnd w:id="169"/>
    </w:p>
    <w:p w14:paraId="618AD620" w14:textId="78EE2B8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Uso de equipamiento de servicios. -</w:t>
      </w:r>
      <w:r w:rsidRPr="00B24A80">
        <w:rPr>
          <w:rFonts w:asciiTheme="majorHAnsi" w:eastAsia="Calibri" w:hAnsiTheme="majorHAnsi" w:cstheme="majorHAnsi"/>
          <w:color w:val="000000"/>
          <w:szCs w:val="22"/>
        </w:rPr>
        <w:t xml:space="preserve"> Destinado a actividades e instalaciones que satisfagan las necesidades de la población, garanticen el esparcimiento y mejoraren la calidad de vida.</w:t>
      </w:r>
    </w:p>
    <w:p w14:paraId="640802AD" w14:textId="77777777" w:rsidR="006208FF" w:rsidRPr="00B24A80" w:rsidRDefault="006208FF" w:rsidP="006208FF">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6458509" w14:textId="7A1CC230" w:rsidR="00DC27E8" w:rsidRPr="00B24A80" w:rsidRDefault="006208FF"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Servicios públicos</w:t>
      </w:r>
      <w:r w:rsidR="007F5505" w:rsidRPr="00B24A80">
        <w:rPr>
          <w:rFonts w:asciiTheme="majorHAnsi" w:eastAsia="Calibri" w:hAnsiTheme="majorHAnsi" w:cstheme="majorHAnsi"/>
          <w:b/>
          <w:color w:val="000000"/>
          <w:szCs w:val="22"/>
        </w:rPr>
        <w:t>. -</w:t>
      </w:r>
      <w:r w:rsidR="007F5505" w:rsidRPr="00B24A80">
        <w:rPr>
          <w:rFonts w:asciiTheme="majorHAnsi" w:eastAsia="Calibri" w:hAnsiTheme="majorHAnsi" w:cstheme="majorHAnsi"/>
          <w:color w:val="000000"/>
          <w:szCs w:val="22"/>
        </w:rPr>
        <w:t xml:space="preserve"> Son los que presta el Estado o el </w:t>
      </w:r>
      <w:r w:rsidR="006E0959" w:rsidRPr="00B24A80">
        <w:rPr>
          <w:rFonts w:asciiTheme="majorHAnsi" w:eastAsia="Calibri" w:hAnsiTheme="majorHAnsi" w:cstheme="majorHAnsi"/>
          <w:color w:val="000000"/>
          <w:szCs w:val="22"/>
        </w:rPr>
        <w:t>GADM del cantón La Joya de los Sachas</w:t>
      </w:r>
      <w:r w:rsidR="007F5505" w:rsidRPr="00B24A80">
        <w:rPr>
          <w:rFonts w:asciiTheme="majorHAnsi" w:eastAsia="Calibri" w:hAnsiTheme="majorHAnsi" w:cstheme="majorHAnsi"/>
          <w:color w:val="000000"/>
          <w:szCs w:val="22"/>
        </w:rPr>
        <w:t>, tales como: transporte, redes e instalaciones de agua, alcantarillado, energía eléctrica, telecomunicaciones e instalaciones para el tratamiento y disposición de desechos sólidos.</w:t>
      </w:r>
    </w:p>
    <w:p w14:paraId="457B8442" w14:textId="4C6B98B8" w:rsidR="00DC27E8" w:rsidRPr="00B24A80" w:rsidRDefault="00046CE0" w:rsidP="00DF7891">
      <w:pPr>
        <w:pStyle w:val="Ttulo4"/>
        <w:rPr>
          <w:rFonts w:cstheme="majorHAnsi"/>
          <w:sz w:val="22"/>
          <w:szCs w:val="22"/>
        </w:rPr>
      </w:pPr>
      <w:bookmarkStart w:id="171" w:name="_heading=h.2w5ecyt" w:colFirst="0" w:colLast="0"/>
      <w:bookmarkStart w:id="172" w:name="_Toc81085653"/>
      <w:bookmarkStart w:id="173" w:name="_Toc181374091"/>
      <w:bookmarkEnd w:id="171"/>
      <w:r w:rsidRPr="00B24A80">
        <w:rPr>
          <w:rFonts w:cstheme="majorHAnsi"/>
          <w:sz w:val="22"/>
          <w:szCs w:val="22"/>
        </w:rPr>
        <w:t xml:space="preserve">SECCIÓN </w:t>
      </w:r>
      <w:r w:rsidR="003877C0" w:rsidRPr="00B24A80">
        <w:rPr>
          <w:rFonts w:cstheme="majorHAnsi"/>
          <w:sz w:val="22"/>
          <w:szCs w:val="22"/>
        </w:rPr>
        <w:t>I</w:t>
      </w:r>
      <w:r w:rsidRPr="00B24A80">
        <w:rPr>
          <w:rFonts w:cstheme="majorHAnsi"/>
          <w:sz w:val="22"/>
          <w:szCs w:val="22"/>
        </w:rPr>
        <w:t>V</w:t>
      </w:r>
      <w:bookmarkStart w:id="174" w:name="_heading=h.1baon6m" w:colFirst="0" w:colLast="0"/>
      <w:bookmarkEnd w:id="174"/>
      <w:r w:rsidR="00DF7891" w:rsidRPr="00B24A80">
        <w:rPr>
          <w:rFonts w:cstheme="majorHAnsi"/>
          <w:sz w:val="22"/>
          <w:szCs w:val="22"/>
        </w:rPr>
        <w:br/>
      </w:r>
      <w:r w:rsidR="007F5505" w:rsidRPr="00B24A80">
        <w:rPr>
          <w:rFonts w:cstheme="majorHAnsi"/>
          <w:sz w:val="22"/>
          <w:szCs w:val="22"/>
        </w:rPr>
        <w:t>Norma Específica de Uso Suelo de Protección</w:t>
      </w:r>
      <w:bookmarkEnd w:id="172"/>
      <w:bookmarkEnd w:id="173"/>
    </w:p>
    <w:p w14:paraId="0228289E" w14:textId="39BF7937" w:rsidR="00046CE0" w:rsidRPr="008F661A" w:rsidRDefault="007F5505" w:rsidP="007629B7">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8F661A">
        <w:rPr>
          <w:rFonts w:asciiTheme="majorHAnsi" w:eastAsia="Calibri" w:hAnsiTheme="majorHAnsi" w:cstheme="majorHAnsi"/>
          <w:b/>
          <w:szCs w:val="22"/>
        </w:rPr>
        <w:t xml:space="preserve"> Usos de protección ecológica y conservación </w:t>
      </w:r>
      <w:r w:rsidR="00FE29B5" w:rsidRPr="008F661A">
        <w:rPr>
          <w:rFonts w:asciiTheme="majorHAnsi" w:eastAsia="Calibri" w:hAnsiTheme="majorHAnsi" w:cstheme="majorHAnsi"/>
          <w:b/>
          <w:szCs w:val="22"/>
        </w:rPr>
        <w:t>P</w:t>
      </w:r>
      <w:r w:rsidRPr="008F661A">
        <w:rPr>
          <w:rFonts w:asciiTheme="majorHAnsi" w:eastAsia="Calibri" w:hAnsiTheme="majorHAnsi" w:cstheme="majorHAnsi"/>
          <w:b/>
          <w:szCs w:val="22"/>
        </w:rPr>
        <w:t>atrimonio Natural. -</w:t>
      </w:r>
      <w:r w:rsidRPr="008F661A">
        <w:rPr>
          <w:rFonts w:asciiTheme="majorHAnsi" w:eastAsia="Calibri" w:hAnsiTheme="majorHAnsi" w:cstheme="majorHAnsi"/>
          <w:szCs w:val="22"/>
        </w:rPr>
        <w:t xml:space="preserve"> </w:t>
      </w:r>
      <w:r w:rsidR="00046CE0" w:rsidRPr="008F661A">
        <w:rPr>
          <w:rFonts w:asciiTheme="majorHAnsi" w:hAnsiTheme="majorHAnsi" w:cstheme="majorHAnsi"/>
          <w:szCs w:val="22"/>
        </w:rPr>
        <w:t xml:space="preserve">Es el suelo urbano o rural con usos destinados a la conservación del patrimonio natural bajo un enfoque de gestión </w:t>
      </w:r>
      <w:r w:rsidR="00AE1DA3" w:rsidRPr="008F661A">
        <w:rPr>
          <w:rFonts w:asciiTheme="majorHAnsi" w:hAnsiTheme="majorHAnsi" w:cstheme="majorHAnsi"/>
          <w:szCs w:val="22"/>
        </w:rPr>
        <w:t>ecosistémica</w:t>
      </w:r>
      <w:r w:rsidR="00046CE0" w:rsidRPr="008F661A">
        <w:rPr>
          <w:rFonts w:asciiTheme="majorHAnsi" w:hAnsiTheme="majorHAnsi" w:cstheme="majorHAnsi"/>
          <w:szCs w:val="22"/>
        </w:rPr>
        <w:t>, que asegure la calidad ambiental, el equilibrio ecológico y el desarrollo sustenta</w:t>
      </w:r>
      <w:r w:rsidR="007629B7" w:rsidRPr="008F661A">
        <w:rPr>
          <w:rFonts w:asciiTheme="majorHAnsi" w:hAnsiTheme="majorHAnsi" w:cstheme="majorHAnsi"/>
          <w:szCs w:val="22"/>
        </w:rPr>
        <w:t>b</w:t>
      </w:r>
      <w:r w:rsidR="00046CE0" w:rsidRPr="008F661A">
        <w:rPr>
          <w:rFonts w:asciiTheme="majorHAnsi" w:hAnsiTheme="majorHAnsi" w:cstheme="majorHAnsi"/>
          <w:szCs w:val="22"/>
        </w:rPr>
        <w:t xml:space="preserve">le, comprende </w:t>
      </w:r>
      <w:r w:rsidR="00AE6E2E" w:rsidRPr="008F661A">
        <w:rPr>
          <w:rFonts w:asciiTheme="majorHAnsi" w:hAnsiTheme="majorHAnsi" w:cstheme="majorHAnsi"/>
          <w:szCs w:val="22"/>
        </w:rPr>
        <w:t>los recursos correspondientes a</w:t>
      </w:r>
      <w:r w:rsidR="00046CE0" w:rsidRPr="008F661A">
        <w:rPr>
          <w:rFonts w:asciiTheme="majorHAnsi" w:hAnsiTheme="majorHAnsi" w:cstheme="majorHAnsi"/>
          <w:szCs w:val="22"/>
        </w:rPr>
        <w:t xml:space="preserve"> Áreas Forestales</w:t>
      </w:r>
      <w:r w:rsidR="009731A3" w:rsidRPr="008F661A">
        <w:rPr>
          <w:rFonts w:asciiTheme="majorHAnsi" w:hAnsiTheme="majorHAnsi" w:cstheme="majorHAnsi"/>
          <w:szCs w:val="22"/>
        </w:rPr>
        <w:t xml:space="preserve">, </w:t>
      </w:r>
      <w:r w:rsidR="00046CE0" w:rsidRPr="008F661A">
        <w:rPr>
          <w:rFonts w:asciiTheme="majorHAnsi" w:hAnsiTheme="majorHAnsi" w:cstheme="majorHAnsi"/>
          <w:szCs w:val="22"/>
        </w:rPr>
        <w:t>Zonas de Riesgo</w:t>
      </w:r>
      <w:r w:rsidR="009731A3" w:rsidRPr="008F661A">
        <w:rPr>
          <w:rFonts w:asciiTheme="majorHAnsi" w:hAnsiTheme="majorHAnsi" w:cstheme="majorHAnsi"/>
          <w:szCs w:val="22"/>
        </w:rPr>
        <w:t xml:space="preserve">, </w:t>
      </w:r>
      <w:r w:rsidR="009731A3" w:rsidRPr="008F661A">
        <w:rPr>
          <w:rFonts w:asciiTheme="majorHAnsi" w:eastAsia="Calibri" w:hAnsiTheme="majorHAnsi" w:cstheme="majorHAnsi"/>
          <w:szCs w:val="22"/>
        </w:rPr>
        <w:t>Zona de protección de recarga hídrica</w:t>
      </w:r>
      <w:r w:rsidR="00046CE0" w:rsidRPr="008F661A">
        <w:rPr>
          <w:rFonts w:asciiTheme="majorHAnsi" w:hAnsiTheme="majorHAnsi" w:cstheme="majorHAnsi"/>
          <w:szCs w:val="22"/>
        </w:rPr>
        <w:t>. En este uso se prohibirá y controlará según sea del caso la vivienda o asentamientos humanos y actividades industriales, extractivas y agro productivas</w:t>
      </w:r>
      <w:r w:rsidR="00046CE0" w:rsidRPr="008F661A">
        <w:rPr>
          <w:rFonts w:asciiTheme="majorHAnsi" w:eastAsia="Calibri" w:hAnsiTheme="majorHAnsi" w:cstheme="majorHAnsi"/>
          <w:szCs w:val="22"/>
        </w:rPr>
        <w:t xml:space="preserve">, para lo cual se articulará con los Planes de Manejo </w:t>
      </w:r>
      <w:r w:rsidR="00AE6E2E" w:rsidRPr="008F661A">
        <w:rPr>
          <w:rFonts w:asciiTheme="majorHAnsi" w:eastAsia="Calibri" w:hAnsiTheme="majorHAnsi" w:cstheme="majorHAnsi"/>
          <w:szCs w:val="22"/>
        </w:rPr>
        <w:t>Ambiental</w:t>
      </w:r>
      <w:r w:rsidR="00046CE0" w:rsidRPr="008F661A">
        <w:rPr>
          <w:rFonts w:asciiTheme="majorHAnsi" w:eastAsia="Calibri" w:hAnsiTheme="majorHAnsi" w:cstheme="majorHAnsi"/>
          <w:szCs w:val="22"/>
        </w:rPr>
        <w:t>, Así como la ley ambiental vigente y afines.</w:t>
      </w:r>
      <w:r w:rsidR="009731A3" w:rsidRPr="008F661A">
        <w:rPr>
          <w:rFonts w:asciiTheme="majorHAnsi" w:eastAsia="Calibri" w:hAnsiTheme="majorHAnsi" w:cstheme="majorHAnsi"/>
          <w:szCs w:val="22"/>
        </w:rPr>
        <w:t xml:space="preserve"> </w:t>
      </w:r>
    </w:p>
    <w:p w14:paraId="01F834ED" w14:textId="77777777" w:rsidR="007629B7" w:rsidRPr="007629B7" w:rsidRDefault="007629B7" w:rsidP="007629B7">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01162C4" w14:textId="1296A47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color w:val="000000"/>
          <w:szCs w:val="22"/>
        </w:rPr>
        <w:t>Usos específicos y áreas de protección ambiental. -</w:t>
      </w:r>
      <w:r w:rsidRPr="00B24A80">
        <w:rPr>
          <w:rFonts w:asciiTheme="majorHAnsi" w:eastAsia="Calibri" w:hAnsiTheme="majorHAnsi" w:cstheme="majorHAnsi"/>
          <w:color w:val="000000"/>
          <w:szCs w:val="22"/>
        </w:rPr>
        <w:t xml:space="preserve"> </w:t>
      </w:r>
      <w:r w:rsidR="002B53A4" w:rsidRPr="00B24A80">
        <w:rPr>
          <w:rFonts w:asciiTheme="majorHAnsi" w:eastAsia="Calibri" w:hAnsiTheme="majorHAnsi" w:cstheme="majorHAnsi"/>
          <w:color w:val="000000"/>
          <w:szCs w:val="22"/>
        </w:rPr>
        <w:t>Son aquellas áreas de especial interés ambiental, de toda índole según las competencias del GADMCJS y en cumplimiento de la normativa vigente, destinadas a usos no modificables cuya finalidad es la protección del ambiente. Se regirán bajo una reglamentación específica a través de Planes de Manejo, estos se conforman con las categorías de uso principal, complementario, restringido y prohibido</w:t>
      </w:r>
      <w:r w:rsidRPr="00B24A80">
        <w:rPr>
          <w:rFonts w:asciiTheme="majorHAnsi" w:eastAsia="Calibri" w:hAnsiTheme="majorHAnsi" w:cstheme="majorHAnsi"/>
          <w:szCs w:val="22"/>
        </w:rPr>
        <w:t>.</w:t>
      </w:r>
    </w:p>
    <w:p w14:paraId="3226BA4A" w14:textId="0773A6D8" w:rsidR="00DC27E8" w:rsidRPr="00CC2021" w:rsidRDefault="00046CE0" w:rsidP="00CC2021">
      <w:pPr>
        <w:pStyle w:val="Ttulo4"/>
        <w:rPr>
          <w:rFonts w:cstheme="majorHAnsi"/>
          <w:sz w:val="22"/>
          <w:szCs w:val="22"/>
        </w:rPr>
      </w:pPr>
      <w:bookmarkStart w:id="175" w:name="_heading=h.3vac5uf" w:colFirst="0" w:colLast="0"/>
      <w:bookmarkStart w:id="176" w:name="_Toc81085654"/>
      <w:bookmarkStart w:id="177" w:name="_Toc181374092"/>
      <w:bookmarkEnd w:id="175"/>
      <w:r w:rsidRPr="00B24A80">
        <w:rPr>
          <w:rFonts w:cstheme="majorHAnsi"/>
          <w:sz w:val="22"/>
          <w:szCs w:val="22"/>
        </w:rPr>
        <w:lastRenderedPageBreak/>
        <w:t>SECCIÓN V</w:t>
      </w:r>
      <w:bookmarkStart w:id="178" w:name="_heading=h.2afmg28" w:colFirst="0" w:colLast="0"/>
      <w:bookmarkEnd w:id="178"/>
      <w:r w:rsidR="00DF7891" w:rsidRPr="00B24A80">
        <w:rPr>
          <w:rFonts w:cstheme="majorHAnsi"/>
          <w:sz w:val="22"/>
          <w:szCs w:val="22"/>
        </w:rPr>
        <w:br/>
      </w:r>
      <w:r w:rsidR="007F5505" w:rsidRPr="00B24A80">
        <w:rPr>
          <w:rFonts w:cstheme="majorHAnsi"/>
          <w:sz w:val="22"/>
          <w:szCs w:val="22"/>
        </w:rPr>
        <w:t>De los riesgo</w:t>
      </w:r>
      <w:bookmarkEnd w:id="176"/>
      <w:r w:rsidR="00CC2021">
        <w:rPr>
          <w:rFonts w:cstheme="majorHAnsi"/>
          <w:sz w:val="22"/>
          <w:szCs w:val="22"/>
        </w:rPr>
        <w:t>s</w:t>
      </w:r>
      <w:bookmarkEnd w:id="177"/>
    </w:p>
    <w:p w14:paraId="12C58652" w14:textId="77AD927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Riesgos. -</w:t>
      </w:r>
      <w:r w:rsidRPr="00B24A80">
        <w:rPr>
          <w:rFonts w:asciiTheme="majorHAnsi" w:eastAsia="Calibri" w:hAnsiTheme="majorHAnsi" w:cstheme="majorHAnsi"/>
          <w:color w:val="000000"/>
          <w:szCs w:val="22"/>
        </w:rPr>
        <w:t xml:space="preserve"> En el territorio en general existen varias zonas expuestas a amenazas de origen natural y antrópico que pueden generar diferentes niveles de riesgo, según las vulnerabilidades identificadas.</w:t>
      </w:r>
    </w:p>
    <w:p w14:paraId="36A59FE1" w14:textId="17DC8EAA" w:rsidR="00DC27E8" w:rsidRPr="00B24A80" w:rsidRDefault="002B53A4">
      <w:pPr>
        <w:widowControl/>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Unidad Municipal responsable de la gestión de riesgos será la encargada de proveer información al ente rector y la autoridad competente en el GAD, sobre amenazas y vulnerabilidades identificadas en el cantón La Joya de los Sachas, mediante la implementación de la información fidedigna que permita la oportuna toma de decisiones a nivel cantonal para evitar o minimizar los riesgos de un desastre, y que promueva la adecuada aplicación del PUGS</w:t>
      </w:r>
      <w:r w:rsidR="007F5505" w:rsidRPr="00B24A80">
        <w:rPr>
          <w:rFonts w:asciiTheme="majorHAnsi" w:eastAsia="Calibri" w:hAnsiTheme="majorHAnsi" w:cstheme="majorHAnsi"/>
          <w:color w:val="000000"/>
          <w:sz w:val="22"/>
          <w:szCs w:val="22"/>
        </w:rPr>
        <w:t>.</w:t>
      </w:r>
    </w:p>
    <w:p w14:paraId="0AF35AF3" w14:textId="77777777" w:rsidR="00DC27E8" w:rsidRPr="00B24A80" w:rsidRDefault="00DC27E8">
      <w:pPr>
        <w:widowControl/>
        <w:spacing w:line="276" w:lineRule="auto"/>
        <w:ind w:right="-100"/>
        <w:rPr>
          <w:rFonts w:asciiTheme="majorHAnsi" w:eastAsia="Calibri" w:hAnsiTheme="majorHAnsi" w:cstheme="majorHAnsi"/>
          <w:color w:val="000000"/>
          <w:sz w:val="22"/>
          <w:szCs w:val="22"/>
        </w:rPr>
      </w:pPr>
    </w:p>
    <w:p w14:paraId="34F4D872" w14:textId="79EF40B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Condiciones generales de edificabilidad en zonas susceptibles a amenazas </w:t>
      </w:r>
      <w:r w:rsidR="001E0082" w:rsidRPr="00B24A80">
        <w:rPr>
          <w:rFonts w:asciiTheme="majorHAnsi" w:eastAsia="Calibri" w:hAnsiTheme="majorHAnsi" w:cstheme="majorHAnsi"/>
          <w:b/>
          <w:color w:val="000000"/>
          <w:szCs w:val="22"/>
        </w:rPr>
        <w:t>naturales. -</w:t>
      </w:r>
      <w:r w:rsidRPr="00B24A80">
        <w:rPr>
          <w:rFonts w:asciiTheme="majorHAnsi" w:eastAsia="Calibri" w:hAnsiTheme="majorHAnsi" w:cstheme="majorHAnsi"/>
          <w:b/>
          <w:color w:val="000000"/>
          <w:szCs w:val="22"/>
        </w:rPr>
        <w:t xml:space="preserve"> </w:t>
      </w:r>
      <w:r w:rsidRPr="00B24A80">
        <w:rPr>
          <w:rFonts w:asciiTheme="majorHAnsi" w:eastAsia="Calibri" w:hAnsiTheme="majorHAnsi" w:cstheme="majorHAnsi"/>
          <w:color w:val="000000"/>
          <w:szCs w:val="22"/>
        </w:rPr>
        <w:t xml:space="preserve">Los </w:t>
      </w:r>
      <w:r w:rsidR="009C294C" w:rsidRPr="00B24A80">
        <w:rPr>
          <w:rFonts w:asciiTheme="majorHAnsi" w:eastAsia="Calibri" w:hAnsiTheme="majorHAnsi" w:cstheme="majorHAnsi"/>
          <w:color w:val="000000"/>
          <w:szCs w:val="22"/>
        </w:rPr>
        <w:t xml:space="preserve">propietarios de </w:t>
      </w:r>
      <w:r w:rsidRPr="00B24A80">
        <w:rPr>
          <w:rFonts w:asciiTheme="majorHAnsi" w:eastAsia="Calibri" w:hAnsiTheme="majorHAnsi" w:cstheme="majorHAnsi"/>
          <w:color w:val="000000"/>
          <w:szCs w:val="22"/>
        </w:rPr>
        <w:t xml:space="preserve">lotes que se encuentran en zonas expuestas a amenazas naturales, determinadas por la </w:t>
      </w:r>
      <w:r w:rsidR="00750225" w:rsidRPr="00B24A80">
        <w:rPr>
          <w:rFonts w:asciiTheme="majorHAnsi" w:eastAsia="Calibri" w:hAnsiTheme="majorHAnsi" w:cstheme="majorHAnsi"/>
          <w:color w:val="000000"/>
          <w:szCs w:val="22"/>
        </w:rPr>
        <w:t>Unidad Municipal responsable de la gestión de riesgos</w:t>
      </w:r>
      <w:r w:rsidRPr="00B24A80">
        <w:rPr>
          <w:rFonts w:asciiTheme="majorHAnsi" w:eastAsia="Calibri" w:hAnsiTheme="majorHAnsi" w:cstheme="majorHAnsi"/>
          <w:color w:val="000000"/>
          <w:szCs w:val="22"/>
        </w:rPr>
        <w:t>, que requieran habilitar o construir, cumplirán l</w:t>
      </w:r>
      <w:r w:rsidR="009C294C" w:rsidRPr="00B24A80">
        <w:rPr>
          <w:rFonts w:asciiTheme="majorHAnsi" w:eastAsia="Calibri" w:hAnsiTheme="majorHAnsi" w:cstheme="majorHAnsi"/>
          <w:color w:val="000000"/>
          <w:szCs w:val="22"/>
        </w:rPr>
        <w:t>o</w:t>
      </w:r>
      <w:r w:rsidRPr="00B24A80">
        <w:rPr>
          <w:rFonts w:asciiTheme="majorHAnsi" w:eastAsia="Calibri" w:hAnsiTheme="majorHAnsi" w:cstheme="majorHAnsi"/>
          <w:color w:val="000000"/>
          <w:szCs w:val="22"/>
        </w:rPr>
        <w:t xml:space="preserve">s siguientes </w:t>
      </w:r>
      <w:r w:rsidR="009C294C" w:rsidRPr="00B24A80">
        <w:rPr>
          <w:rFonts w:asciiTheme="majorHAnsi" w:eastAsia="Calibri" w:hAnsiTheme="majorHAnsi" w:cstheme="majorHAnsi"/>
          <w:color w:val="000000"/>
          <w:szCs w:val="22"/>
        </w:rPr>
        <w:t>requisitos</w:t>
      </w:r>
      <w:r w:rsidRPr="00B24A80">
        <w:rPr>
          <w:rFonts w:asciiTheme="majorHAnsi" w:eastAsia="Calibri" w:hAnsiTheme="majorHAnsi" w:cstheme="majorHAnsi"/>
          <w:color w:val="000000"/>
          <w:szCs w:val="22"/>
        </w:rPr>
        <w:t>:</w:t>
      </w:r>
    </w:p>
    <w:p w14:paraId="655423B9" w14:textId="76E6274C" w:rsidR="00DC27E8" w:rsidRDefault="00DC27E8" w:rsidP="00F6479F">
      <w:pPr>
        <w:widowControl/>
        <w:pBdr>
          <w:top w:val="nil"/>
          <w:left w:val="nil"/>
          <w:bottom w:val="nil"/>
          <w:right w:val="nil"/>
          <w:between w:val="nil"/>
        </w:pBdr>
        <w:spacing w:line="276" w:lineRule="auto"/>
        <w:ind w:right="-100"/>
        <w:rPr>
          <w:rFonts w:asciiTheme="majorHAnsi" w:eastAsia="Calibri" w:hAnsiTheme="majorHAnsi" w:cstheme="majorHAnsi"/>
          <w:color w:val="000000"/>
          <w:sz w:val="22"/>
          <w:szCs w:val="22"/>
        </w:rPr>
      </w:pPr>
    </w:p>
    <w:p w14:paraId="1DB626D3" w14:textId="6EA0D3B4" w:rsidR="00F6479F" w:rsidRPr="00116148" w:rsidRDefault="002E5785" w:rsidP="00F6479F">
      <w:pPr>
        <w:widowControl/>
        <w:numPr>
          <w:ilvl w:val="0"/>
          <w:numId w:val="32"/>
        </w:numPr>
        <w:pBdr>
          <w:top w:val="nil"/>
          <w:left w:val="nil"/>
          <w:bottom w:val="nil"/>
          <w:right w:val="nil"/>
          <w:between w:val="nil"/>
        </w:pBdr>
        <w:spacing w:line="276" w:lineRule="auto"/>
        <w:ind w:right="-100"/>
        <w:rPr>
          <w:rFonts w:asciiTheme="majorHAnsi" w:eastAsia="Calibri" w:hAnsiTheme="majorHAnsi" w:cstheme="majorHAnsi"/>
          <w:sz w:val="22"/>
          <w:szCs w:val="22"/>
        </w:rPr>
      </w:pPr>
      <w:r w:rsidRPr="00116148">
        <w:rPr>
          <w:rFonts w:asciiTheme="majorHAnsi" w:eastAsia="Calibri" w:hAnsiTheme="majorHAnsi" w:cstheme="majorHAnsi"/>
          <w:sz w:val="22"/>
          <w:szCs w:val="22"/>
        </w:rPr>
        <w:t>Informe</w:t>
      </w:r>
      <w:r w:rsidR="00F6479F" w:rsidRPr="00116148">
        <w:rPr>
          <w:rFonts w:asciiTheme="majorHAnsi" w:eastAsia="Calibri" w:hAnsiTheme="majorHAnsi" w:cstheme="majorHAnsi"/>
          <w:sz w:val="22"/>
          <w:szCs w:val="22"/>
        </w:rPr>
        <w:t xml:space="preserve"> de evaluación del nivel de riesgo en el lote,</w:t>
      </w:r>
      <w:r w:rsidR="00116148" w:rsidRPr="00116148">
        <w:rPr>
          <w:rFonts w:asciiTheme="majorHAnsi" w:eastAsia="Calibri" w:hAnsiTheme="majorHAnsi" w:cstheme="majorHAnsi"/>
          <w:sz w:val="22"/>
          <w:szCs w:val="22"/>
        </w:rPr>
        <w:t xml:space="preserve"> </w:t>
      </w:r>
      <w:r w:rsidRPr="00116148">
        <w:rPr>
          <w:rFonts w:asciiTheme="majorHAnsi" w:eastAsia="Calibri" w:hAnsiTheme="majorHAnsi" w:cstheme="majorHAnsi"/>
          <w:sz w:val="22"/>
          <w:szCs w:val="22"/>
        </w:rPr>
        <w:t>emitido</w:t>
      </w:r>
      <w:r w:rsidR="00F6479F" w:rsidRPr="00116148">
        <w:rPr>
          <w:rFonts w:asciiTheme="majorHAnsi" w:eastAsia="Calibri" w:hAnsiTheme="majorHAnsi" w:cstheme="majorHAnsi"/>
          <w:sz w:val="22"/>
          <w:szCs w:val="22"/>
        </w:rPr>
        <w:t xml:space="preserve"> por la Unidad encargada de la gestión de riesgos en el GADM del cantón La Joya de los Sachas</w:t>
      </w:r>
      <w:r w:rsidR="00EC1C14" w:rsidRPr="00116148">
        <w:rPr>
          <w:rFonts w:asciiTheme="majorHAnsi" w:eastAsia="Calibri" w:hAnsiTheme="majorHAnsi" w:cstheme="majorHAnsi"/>
          <w:sz w:val="22"/>
          <w:szCs w:val="22"/>
        </w:rPr>
        <w:t>.</w:t>
      </w:r>
    </w:p>
    <w:p w14:paraId="796571D9" w14:textId="6145B7EE" w:rsidR="00DC27E8" w:rsidRPr="00B24A80" w:rsidRDefault="003877C0" w:rsidP="00EB27F5">
      <w:pPr>
        <w:pStyle w:val="Ttulo3"/>
        <w:rPr>
          <w:rFonts w:cstheme="majorHAnsi"/>
          <w:sz w:val="22"/>
          <w:szCs w:val="22"/>
        </w:rPr>
      </w:pPr>
      <w:bookmarkStart w:id="179" w:name="_Toc65711701"/>
      <w:bookmarkStart w:id="180" w:name="_Toc81085655"/>
      <w:bookmarkStart w:id="181" w:name="_Toc181374093"/>
      <w:r w:rsidRPr="00B24A80">
        <w:rPr>
          <w:rFonts w:cstheme="majorHAnsi"/>
          <w:sz w:val="22"/>
          <w:szCs w:val="22"/>
        </w:rPr>
        <w:t>CAPÍTULO II</w:t>
      </w:r>
      <w:bookmarkStart w:id="182" w:name="_heading=h.39kk8xu" w:colFirst="0" w:colLast="0"/>
      <w:bookmarkEnd w:id="182"/>
      <w:r w:rsidR="0014534A" w:rsidRPr="00B24A80">
        <w:rPr>
          <w:rFonts w:cstheme="majorHAnsi"/>
          <w:sz w:val="22"/>
          <w:szCs w:val="22"/>
        </w:rPr>
        <w:t>I</w:t>
      </w:r>
      <w:r w:rsidR="00EB27F5" w:rsidRPr="00B24A80">
        <w:rPr>
          <w:rFonts w:cstheme="majorHAnsi"/>
          <w:sz w:val="22"/>
          <w:szCs w:val="22"/>
        </w:rPr>
        <w:br/>
      </w:r>
      <w:r w:rsidR="007F5505" w:rsidRPr="00B24A80">
        <w:rPr>
          <w:rFonts w:cstheme="majorHAnsi"/>
          <w:sz w:val="22"/>
          <w:szCs w:val="22"/>
        </w:rPr>
        <w:t>Urbanización y edificación</w:t>
      </w:r>
      <w:bookmarkEnd w:id="179"/>
      <w:bookmarkEnd w:id="180"/>
      <w:bookmarkEnd w:id="181"/>
    </w:p>
    <w:p w14:paraId="43CD7988" w14:textId="6EA6972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 xml:space="preserve">Objetivo. - </w:t>
      </w:r>
      <w:r w:rsidRPr="00B24A80">
        <w:rPr>
          <w:rFonts w:asciiTheme="majorHAnsi" w:eastAsia="Calibri" w:hAnsiTheme="majorHAnsi" w:cstheme="majorHAnsi"/>
          <w:color w:val="000000"/>
          <w:szCs w:val="22"/>
        </w:rPr>
        <w:t>El presente Capítulo tiene por objeto establecer las normas y los requisitos mínimos para la convivencia urbana, mediante la regulación y el control de proyectos, cálculos, sistemas de construcción, calidad de materiales, uso, destino y ubicación de las urbanizaciones y edificaciones en las cabeceras parroquiales</w:t>
      </w:r>
      <w:r w:rsidR="00092790" w:rsidRPr="00B24A80">
        <w:rPr>
          <w:rFonts w:asciiTheme="majorHAnsi" w:eastAsia="Calibri" w:hAnsiTheme="majorHAnsi" w:cstheme="majorHAnsi"/>
          <w:color w:val="000000"/>
          <w:szCs w:val="22"/>
        </w:rPr>
        <w:t xml:space="preserve"> de las zonas urbanas </w:t>
      </w:r>
      <w:r w:rsidRPr="00B24A80">
        <w:rPr>
          <w:rFonts w:asciiTheme="majorHAnsi" w:eastAsia="Calibri" w:hAnsiTheme="majorHAnsi" w:cstheme="majorHAnsi"/>
          <w:color w:val="000000"/>
          <w:szCs w:val="22"/>
        </w:rPr>
        <w:t>y asentamientos en suelos rurales</w:t>
      </w:r>
      <w:r w:rsidR="00F227BE" w:rsidRPr="00B24A80">
        <w:rPr>
          <w:rFonts w:asciiTheme="majorHAnsi" w:eastAsia="Calibri" w:hAnsiTheme="majorHAnsi" w:cstheme="majorHAnsi"/>
          <w:color w:val="000000"/>
          <w:szCs w:val="22"/>
        </w:rPr>
        <w:t xml:space="preserve"> y otros que pudieran ser aplicables según la normativa vigente en el marco de la competencia del GADMCJS</w:t>
      </w:r>
      <w:r w:rsidRPr="00B24A80">
        <w:rPr>
          <w:rFonts w:asciiTheme="majorHAnsi" w:eastAsia="Calibri" w:hAnsiTheme="majorHAnsi" w:cstheme="majorHAnsi"/>
          <w:color w:val="000000"/>
          <w:szCs w:val="22"/>
        </w:rPr>
        <w:t>, además de las normas de control y sanción para garantizar su cumplimiento.</w:t>
      </w:r>
    </w:p>
    <w:p w14:paraId="332A311E" w14:textId="77777777" w:rsidR="001F721A" w:rsidRPr="00B24A80" w:rsidRDefault="001F721A" w:rsidP="001F721A">
      <w:pPr>
        <w:pStyle w:val="Prrafodelista"/>
        <w:widowControl/>
        <w:tabs>
          <w:tab w:val="left" w:pos="851"/>
        </w:tabs>
        <w:spacing w:after="240" w:line="276" w:lineRule="auto"/>
        <w:ind w:left="0" w:right="-100"/>
        <w:rPr>
          <w:rFonts w:asciiTheme="majorHAnsi" w:eastAsia="Calibri" w:hAnsiTheme="majorHAnsi" w:cstheme="majorHAnsi"/>
          <w:b/>
          <w:color w:val="000000"/>
          <w:szCs w:val="22"/>
        </w:rPr>
      </w:pPr>
    </w:p>
    <w:p w14:paraId="3CBC3F3B" w14:textId="571D049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Ámbito de aplicación:</w:t>
      </w:r>
    </w:p>
    <w:p w14:paraId="1CD298B2" w14:textId="1AB90D7B" w:rsidR="00DC27E8" w:rsidRPr="00B24A80" w:rsidRDefault="007F5505" w:rsidP="009F132D">
      <w:pPr>
        <w:widowControl/>
        <w:numPr>
          <w:ilvl w:val="0"/>
          <w:numId w:val="11"/>
        </w:numPr>
        <w:pBdr>
          <w:top w:val="nil"/>
          <w:left w:val="nil"/>
          <w:bottom w:val="nil"/>
          <w:right w:val="nil"/>
          <w:between w:val="nil"/>
        </w:pBdr>
        <w:spacing w:after="240" w:line="276" w:lineRule="auto"/>
        <w:ind w:right="-100" w:firstLine="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Este Capítulo es de aplicación directa al proceso de urbanización y de edificación, entendido por tales, la acción y el resultado de construir una urbanización o edificación de carácter permanente o no, público o privado, cuyo uso principal esté comprendido en los siguientes grupos:</w:t>
      </w:r>
    </w:p>
    <w:p w14:paraId="0AD96F88" w14:textId="32059390" w:rsidR="00F91BB6" w:rsidRPr="00B24A80" w:rsidRDefault="007F5505" w:rsidP="00CA24CF">
      <w:pPr>
        <w:pStyle w:val="Prrafodelista"/>
        <w:widowControl/>
        <w:numPr>
          <w:ilvl w:val="0"/>
          <w:numId w:val="78"/>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Diseño de todo tipo de urbanizaciones,</w:t>
      </w:r>
      <w:r w:rsidR="002E4EA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subdivisiones, conjuntos habitacionales, espacios urbanos, calles, avenidas, plazas, parques, espacios públicos, etc., diseño paisajístico y de jardinería.</w:t>
      </w:r>
    </w:p>
    <w:p w14:paraId="74BE819E" w14:textId="77777777" w:rsidR="00F91BB6" w:rsidRPr="00B24A80" w:rsidRDefault="007F5505" w:rsidP="00CA24CF">
      <w:pPr>
        <w:pStyle w:val="Prrafodelista"/>
        <w:widowControl/>
        <w:numPr>
          <w:ilvl w:val="0"/>
          <w:numId w:val="78"/>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Administrativo, sanitario, religioso, residencial, en todas sus formas, docente y cultural.</w:t>
      </w:r>
    </w:p>
    <w:p w14:paraId="2A694CEF" w14:textId="379F48F4" w:rsidR="00DC27E8" w:rsidRPr="00B24A80" w:rsidRDefault="00B96D72" w:rsidP="00CA24CF">
      <w:pPr>
        <w:pStyle w:val="Prrafodelista"/>
        <w:widowControl/>
        <w:numPr>
          <w:ilvl w:val="0"/>
          <w:numId w:val="78"/>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A</w:t>
      </w:r>
      <w:r w:rsidR="007F5505" w:rsidRPr="00B24A80">
        <w:rPr>
          <w:rFonts w:asciiTheme="majorHAnsi" w:eastAsia="Calibri" w:hAnsiTheme="majorHAnsi" w:cstheme="majorHAnsi"/>
          <w:color w:val="000000"/>
          <w:szCs w:val="22"/>
        </w:rPr>
        <w:t xml:space="preserve">gropecuario; de la energía; de la hidráulica; minero; de telecomunicaciones (referido a la ingeniería de las telecomunicaciones y eléctrico); del transporte </w:t>
      </w:r>
      <w:r w:rsidRPr="00B24A80">
        <w:rPr>
          <w:rFonts w:asciiTheme="majorHAnsi" w:eastAsia="Calibri" w:hAnsiTheme="majorHAnsi" w:cstheme="majorHAnsi"/>
          <w:color w:val="000000"/>
          <w:szCs w:val="22"/>
        </w:rPr>
        <w:t>terrestre</w:t>
      </w:r>
      <w:r w:rsidR="007F5505" w:rsidRPr="00B24A80">
        <w:rPr>
          <w:rFonts w:asciiTheme="majorHAnsi" w:eastAsia="Calibri" w:hAnsiTheme="majorHAnsi" w:cstheme="majorHAnsi"/>
          <w:color w:val="000000"/>
          <w:szCs w:val="22"/>
        </w:rPr>
        <w:t>; forestal; industrial; de la ingeniería de saneamiento e higiene.</w:t>
      </w:r>
    </w:p>
    <w:p w14:paraId="24B9289E" w14:textId="77777777" w:rsidR="00DC27E8" w:rsidRPr="00B24A80" w:rsidRDefault="007F5505">
      <w:pPr>
        <w:widowControl/>
        <w:tabs>
          <w:tab w:val="left" w:pos="546"/>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Todas las demás edificaciones cuyos usos no estén expresamente relacionados en los grupos anteriores.</w:t>
      </w:r>
    </w:p>
    <w:p w14:paraId="6E580D49" w14:textId="77777777" w:rsidR="00DC27E8" w:rsidRPr="00B24A80" w:rsidRDefault="007F5505" w:rsidP="009F132D">
      <w:pPr>
        <w:widowControl/>
        <w:numPr>
          <w:ilvl w:val="0"/>
          <w:numId w:val="11"/>
        </w:numPr>
        <w:pBdr>
          <w:top w:val="nil"/>
          <w:left w:val="nil"/>
          <w:bottom w:val="nil"/>
          <w:right w:val="nil"/>
          <w:between w:val="nil"/>
        </w:pBdr>
        <w:tabs>
          <w:tab w:val="left" w:pos="546"/>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Tendrán la consideración de edificación a los efectos de lo dispuesto en este Capítulo, y requerirán un proyecto según lo establecido en este artículo, las siguientes obras:</w:t>
      </w:r>
    </w:p>
    <w:p w14:paraId="48703650" w14:textId="77777777" w:rsidR="00F91BB6" w:rsidRPr="00B24A80" w:rsidRDefault="007F5505" w:rsidP="00CA24CF">
      <w:pPr>
        <w:pStyle w:val="Prrafodelista"/>
        <w:widowControl/>
        <w:numPr>
          <w:ilvl w:val="0"/>
          <w:numId w:val="79"/>
        </w:numPr>
        <w:pBdr>
          <w:top w:val="nil"/>
          <w:left w:val="nil"/>
          <w:bottom w:val="nil"/>
          <w:right w:val="nil"/>
          <w:between w:val="nil"/>
        </w:pBdr>
        <w:tabs>
          <w:tab w:val="left" w:pos="670"/>
        </w:tabs>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Obras de edificación de nueva construcción (obras menores), excepto aquellas de relativa sencillez arquitectónica y cuyo uso no sea permanente ni de carácter residencial. </w:t>
      </w:r>
    </w:p>
    <w:p w14:paraId="63975863" w14:textId="77777777" w:rsidR="00F91BB6" w:rsidRPr="00B24A80" w:rsidRDefault="007F5505" w:rsidP="00CA24CF">
      <w:pPr>
        <w:pStyle w:val="Prrafodelista"/>
        <w:widowControl/>
        <w:numPr>
          <w:ilvl w:val="0"/>
          <w:numId w:val="79"/>
        </w:numPr>
        <w:pBdr>
          <w:top w:val="nil"/>
          <w:left w:val="nil"/>
          <w:bottom w:val="nil"/>
          <w:right w:val="nil"/>
          <w:between w:val="nil"/>
        </w:pBdr>
        <w:tabs>
          <w:tab w:val="left" w:pos="670"/>
        </w:tabs>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Obras de ampliación, adecuación, remodelación, rehabilitación, restauración, etc., que alteren la configuración arquitectónica de las edificaciones, entendiendo las que tengan carácter de intervención total o las parciales que produzcan una variación esencial de la composición general exterior, la volumetría, o el conjunto del sistema estructural, o tengan por objeto cambiar los usos característicos de la edificación.</w:t>
      </w:r>
    </w:p>
    <w:p w14:paraId="5F540A85" w14:textId="0664C99E" w:rsidR="00DC27E8" w:rsidRPr="00B24A80" w:rsidRDefault="007F5505" w:rsidP="00CA24CF">
      <w:pPr>
        <w:pStyle w:val="Prrafodelista"/>
        <w:widowControl/>
        <w:numPr>
          <w:ilvl w:val="0"/>
          <w:numId w:val="79"/>
        </w:numPr>
        <w:pBdr>
          <w:top w:val="nil"/>
          <w:left w:val="nil"/>
          <w:bottom w:val="nil"/>
          <w:right w:val="nil"/>
          <w:between w:val="nil"/>
        </w:pBdr>
        <w:tabs>
          <w:tab w:val="left" w:pos="670"/>
        </w:tabs>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Obras que tengan el carácter de intervención total en edificaciones catalogadas o inventariadas por el Patrimonio Cultural, que dispongan de algún tipo de protección de carácter ambiental o histórico – cultural, reguladas a través de normas específicas; y aquellas otras de carácter parcial que afecten a los elementos o partes que son motivo de protección.</w:t>
      </w:r>
    </w:p>
    <w:p w14:paraId="36246AE8" w14:textId="77777777" w:rsidR="00DC27E8" w:rsidRPr="00B24A80" w:rsidRDefault="007F5505" w:rsidP="009F132D">
      <w:pPr>
        <w:widowControl/>
        <w:numPr>
          <w:ilvl w:val="0"/>
          <w:numId w:val="11"/>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 consideran comprendidas en las edificaciones: las instalaciones, el equipamiento comunal, así como todo mobiliario urbano que permanezca adscrito al edificio o a la urbanización.</w:t>
      </w:r>
    </w:p>
    <w:p w14:paraId="05639131" w14:textId="741EA30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color w:val="000000"/>
          <w:szCs w:val="22"/>
        </w:rPr>
        <w:t>Estarán sujetos a las disposiciones de esta Ordenanza los propietarios y los técnicos responsables de toda edificación, urbanización o lotización que existan, o que se levanten posteriormente, se remodelen, reestructuren o modifiquen en cualquier forma,</w:t>
      </w:r>
      <w:r w:rsidRPr="00B24A80">
        <w:rPr>
          <w:rFonts w:asciiTheme="majorHAnsi" w:eastAsia="Calibri" w:hAnsiTheme="majorHAnsi" w:cstheme="majorHAnsi"/>
          <w:szCs w:val="22"/>
        </w:rPr>
        <w:t xml:space="preserve"> </w:t>
      </w:r>
      <w:r w:rsidRPr="00B24A80">
        <w:rPr>
          <w:rFonts w:asciiTheme="majorHAnsi" w:eastAsia="Calibri" w:hAnsiTheme="majorHAnsi" w:cstheme="majorHAnsi"/>
          <w:color w:val="000000"/>
          <w:szCs w:val="22"/>
        </w:rPr>
        <w:t>dentro del perímetro urbano de la ciudad, de las cabeceras parroquiales</w:t>
      </w:r>
      <w:r w:rsidR="001F69F4"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ubicadas en el territorio, las que serán determinadas y detalladas para cada caso.</w:t>
      </w:r>
      <w:bookmarkStart w:id="183" w:name="_heading=h.1opuj5n" w:colFirst="0" w:colLast="0"/>
      <w:bookmarkEnd w:id="183"/>
    </w:p>
    <w:p w14:paraId="560D7B0B" w14:textId="1AC6CDBB" w:rsidR="00DC27E8" w:rsidRPr="00B24A80" w:rsidRDefault="007F5505" w:rsidP="008E28D4">
      <w:pPr>
        <w:pStyle w:val="Ttulo3"/>
        <w:rPr>
          <w:rFonts w:cstheme="majorHAnsi"/>
          <w:sz w:val="22"/>
          <w:szCs w:val="22"/>
        </w:rPr>
      </w:pPr>
      <w:bookmarkStart w:id="184" w:name="_heading=h.48pi1tg" w:colFirst="0" w:colLast="0"/>
      <w:bookmarkStart w:id="185" w:name="_Toc65711702"/>
      <w:bookmarkStart w:id="186" w:name="_Toc81085656"/>
      <w:bookmarkStart w:id="187" w:name="_Toc181374094"/>
      <w:bookmarkEnd w:id="184"/>
      <w:r w:rsidRPr="00B24A80">
        <w:rPr>
          <w:rFonts w:cstheme="majorHAnsi"/>
          <w:sz w:val="22"/>
          <w:szCs w:val="22"/>
        </w:rPr>
        <w:t>CAPÍTULO I</w:t>
      </w:r>
      <w:bookmarkStart w:id="188" w:name="_heading=h.2nusc19" w:colFirst="0" w:colLast="0"/>
      <w:bookmarkEnd w:id="188"/>
      <w:r w:rsidR="0014534A" w:rsidRPr="00B24A80">
        <w:rPr>
          <w:rFonts w:cstheme="majorHAnsi"/>
          <w:sz w:val="22"/>
          <w:szCs w:val="22"/>
        </w:rPr>
        <w:t>V</w:t>
      </w:r>
      <w:r w:rsidR="008E28D4" w:rsidRPr="00B24A80">
        <w:rPr>
          <w:rFonts w:cstheme="majorHAnsi"/>
          <w:sz w:val="22"/>
          <w:szCs w:val="22"/>
        </w:rPr>
        <w:br/>
      </w:r>
      <w:r w:rsidRPr="00B24A80">
        <w:rPr>
          <w:rFonts w:cstheme="majorHAnsi"/>
          <w:sz w:val="22"/>
          <w:szCs w:val="22"/>
        </w:rPr>
        <w:t>De las exigencias técnicas y administrativas</w:t>
      </w:r>
      <w:bookmarkEnd w:id="185"/>
      <w:bookmarkEnd w:id="186"/>
      <w:bookmarkEnd w:id="187"/>
    </w:p>
    <w:p w14:paraId="724BFBEA" w14:textId="4EB11DEC" w:rsidR="00DC27E8" w:rsidRPr="00B24A80" w:rsidRDefault="00EB5C24" w:rsidP="008E28D4">
      <w:pPr>
        <w:pStyle w:val="Ttulo4"/>
        <w:rPr>
          <w:rFonts w:cstheme="majorHAnsi"/>
          <w:sz w:val="22"/>
          <w:szCs w:val="22"/>
        </w:rPr>
      </w:pPr>
      <w:bookmarkStart w:id="189" w:name="_heading=h.1302m92" w:colFirst="0" w:colLast="0"/>
      <w:bookmarkStart w:id="190" w:name="_Toc81085657"/>
      <w:bookmarkStart w:id="191" w:name="_Toc181374095"/>
      <w:bookmarkEnd w:id="189"/>
      <w:r w:rsidRPr="00B24A80">
        <w:rPr>
          <w:rFonts w:cstheme="majorHAnsi"/>
          <w:sz w:val="22"/>
          <w:szCs w:val="22"/>
        </w:rPr>
        <w:t>SECCIÓN</w:t>
      </w:r>
      <w:r w:rsidR="007F5505" w:rsidRPr="00B24A80">
        <w:rPr>
          <w:rFonts w:cstheme="majorHAnsi"/>
          <w:sz w:val="22"/>
          <w:szCs w:val="22"/>
        </w:rPr>
        <w:t xml:space="preserve"> I</w:t>
      </w:r>
      <w:bookmarkStart w:id="192" w:name="_heading=h.3mzq4wv" w:colFirst="0" w:colLast="0"/>
      <w:bookmarkEnd w:id="192"/>
      <w:r w:rsidR="008E28D4" w:rsidRPr="00B24A80">
        <w:rPr>
          <w:rFonts w:cstheme="majorHAnsi"/>
          <w:sz w:val="22"/>
          <w:szCs w:val="22"/>
        </w:rPr>
        <w:br/>
      </w:r>
      <w:r w:rsidR="007F5505" w:rsidRPr="00B24A80">
        <w:rPr>
          <w:rFonts w:cstheme="majorHAnsi"/>
          <w:sz w:val="22"/>
          <w:szCs w:val="22"/>
        </w:rPr>
        <w:t>Relativos a funcionalidad seguridad y habitabilidad</w:t>
      </w:r>
      <w:bookmarkEnd w:id="190"/>
      <w:bookmarkEnd w:id="191"/>
    </w:p>
    <w:p w14:paraId="680C418F" w14:textId="7322183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Requisitos básicos. -</w:t>
      </w:r>
      <w:r w:rsidRPr="00B24A80">
        <w:rPr>
          <w:rFonts w:asciiTheme="majorHAnsi" w:eastAsia="Calibri" w:hAnsiTheme="majorHAnsi" w:cstheme="majorHAnsi"/>
          <w:color w:val="000000"/>
          <w:szCs w:val="22"/>
        </w:rPr>
        <w:t xml:space="preserve"> Con el fin de garantizar la seguridad de las personas, el bienestar de la sociedad y la protección del medio ambiente, las urbanizaciones y las edificaciones deberán planificarse, construirse, mantenerse y conservarse </w:t>
      </w:r>
      <w:r w:rsidR="003B0E4D" w:rsidRPr="00B24A80">
        <w:rPr>
          <w:rFonts w:asciiTheme="majorHAnsi" w:eastAsia="Calibri" w:hAnsiTheme="majorHAnsi" w:cstheme="majorHAnsi"/>
          <w:color w:val="000000"/>
          <w:szCs w:val="22"/>
        </w:rPr>
        <w:t>de acuerdo con</w:t>
      </w:r>
      <w:r w:rsidRPr="00B24A80">
        <w:rPr>
          <w:rFonts w:asciiTheme="majorHAnsi" w:eastAsia="Calibri" w:hAnsiTheme="majorHAnsi" w:cstheme="majorHAnsi"/>
          <w:color w:val="000000"/>
          <w:szCs w:val="22"/>
        </w:rPr>
        <w:t xml:space="preserve"> la presente Ordenanza.</w:t>
      </w:r>
    </w:p>
    <w:p w14:paraId="393BE709" w14:textId="77777777" w:rsidR="00DC27E8" w:rsidRPr="00B24A80" w:rsidRDefault="007F5505" w:rsidP="009F132D">
      <w:pPr>
        <w:widowControl/>
        <w:numPr>
          <w:ilvl w:val="0"/>
          <w:numId w:val="33"/>
        </w:numPr>
        <w:pBdr>
          <w:top w:val="nil"/>
          <w:left w:val="nil"/>
          <w:bottom w:val="nil"/>
          <w:right w:val="nil"/>
          <w:between w:val="nil"/>
        </w:pBdr>
        <w:tabs>
          <w:tab w:val="left" w:pos="670"/>
        </w:tabs>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Relativos a la funcionalidad:</w:t>
      </w:r>
    </w:p>
    <w:p w14:paraId="4A1B272D" w14:textId="77777777" w:rsidR="00DC27E8" w:rsidRPr="00B24A80" w:rsidRDefault="007F5505">
      <w:pPr>
        <w:spacing w:after="240" w:line="276" w:lineRule="auto"/>
        <w:ind w:left="720"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a.1) Que la disposición y la utilización de las dimensiones de los espacios; así como la distribución de las instalaciones faciliten la adecuada realización de las diferentes funciones previstas en una obra.</w:t>
      </w:r>
    </w:p>
    <w:p w14:paraId="0EBABA33" w14:textId="77777777" w:rsidR="00DC27E8" w:rsidRPr="00B24A80" w:rsidRDefault="007F5505">
      <w:pPr>
        <w:spacing w:after="240" w:line="276" w:lineRule="auto"/>
        <w:ind w:left="720"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a.2) Accesibilidad, que permita a las personas con movilidad y comunicación reducida, el acceso y la circulación por la obra en los términos previstos en su normativa específica.</w:t>
      </w:r>
    </w:p>
    <w:p w14:paraId="2C85E9A1" w14:textId="77777777" w:rsidR="00DC27E8" w:rsidRPr="00B24A80" w:rsidRDefault="007F5505">
      <w:pPr>
        <w:spacing w:after="240" w:line="276" w:lineRule="auto"/>
        <w:ind w:left="720"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a.3) Acceso a los servicios de telecomunicaciones, audiovisuales y de información de acuerdo con lo establecido en su normativa específica.</w:t>
      </w:r>
    </w:p>
    <w:p w14:paraId="28609AAF" w14:textId="77777777" w:rsidR="00DC27E8" w:rsidRPr="00B24A80" w:rsidRDefault="007F5505" w:rsidP="009F132D">
      <w:pPr>
        <w:widowControl/>
        <w:numPr>
          <w:ilvl w:val="0"/>
          <w:numId w:val="33"/>
        </w:numPr>
        <w:pBdr>
          <w:top w:val="nil"/>
          <w:left w:val="nil"/>
          <w:bottom w:val="nil"/>
          <w:right w:val="nil"/>
          <w:between w:val="nil"/>
        </w:pBdr>
        <w:tabs>
          <w:tab w:val="left" w:pos="670"/>
        </w:tabs>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Relativos a la seguridad:</w:t>
      </w:r>
    </w:p>
    <w:p w14:paraId="1D1AF335" w14:textId="77777777" w:rsidR="00DC27E8" w:rsidRPr="00B24A80" w:rsidRDefault="007F5505">
      <w:pPr>
        <w:spacing w:after="240" w:line="276" w:lineRule="auto"/>
        <w:ind w:left="720"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b.1) Seguridad estructural, de tal forma que no se produzcan en la obra, o partes de la misma, daños que tengan su origen o afecten a la cimentación, elementos estructurales, mamposterías, muros de carga u otros elementos que comprometan directamente la resistencia mecánica y la estabilidad de la edificación.</w:t>
      </w:r>
    </w:p>
    <w:p w14:paraId="2DF1049B" w14:textId="77777777" w:rsidR="00DC27E8" w:rsidRPr="00B24A80" w:rsidRDefault="007F5505">
      <w:pPr>
        <w:spacing w:after="240" w:line="276" w:lineRule="auto"/>
        <w:ind w:left="720" w:right="42"/>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b.2) </w:t>
      </w:r>
      <w:r w:rsidRPr="00B24A80">
        <w:rPr>
          <w:rFonts w:asciiTheme="majorHAnsi" w:eastAsia="Calibri" w:hAnsiTheme="majorHAnsi" w:cstheme="majorHAnsi"/>
          <w:color w:val="000000"/>
          <w:sz w:val="22"/>
          <w:szCs w:val="22"/>
        </w:rPr>
        <w:t>Seguridad en caso de siniestro, de tal forma que sus ocupantes puedan desalojar la edificación en condiciones seguras, se pueda limitar la extensión del siniestro dentro de la propia obra y de los colindantes; y, se permita la actuación de los equipos de extinción y rescate.</w:t>
      </w:r>
    </w:p>
    <w:p w14:paraId="124A8BAC" w14:textId="77777777" w:rsidR="00DC27E8" w:rsidRPr="00B24A80" w:rsidRDefault="007F5505">
      <w:pPr>
        <w:spacing w:after="240" w:line="276" w:lineRule="auto"/>
        <w:ind w:left="720" w:right="42"/>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b.3) </w:t>
      </w:r>
      <w:r w:rsidRPr="00B24A80">
        <w:rPr>
          <w:rFonts w:asciiTheme="majorHAnsi" w:eastAsia="Calibri" w:hAnsiTheme="majorHAnsi" w:cstheme="majorHAnsi"/>
          <w:color w:val="000000"/>
          <w:sz w:val="22"/>
          <w:szCs w:val="22"/>
        </w:rPr>
        <w:t>Seguridad de utilización, de tal forma que el uso normal de la edificación no permita riesgo de accidentes para las personas.</w:t>
      </w:r>
    </w:p>
    <w:p w14:paraId="50DD0566" w14:textId="3640A0A7" w:rsidR="00DC27E8" w:rsidRPr="00B24A80" w:rsidRDefault="007F5505" w:rsidP="009F132D">
      <w:pPr>
        <w:numPr>
          <w:ilvl w:val="0"/>
          <w:numId w:val="33"/>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Relativos a la habitabilidad:</w:t>
      </w:r>
    </w:p>
    <w:p w14:paraId="4A24F192" w14:textId="77777777" w:rsidR="00DC27E8" w:rsidRPr="00B24A80" w:rsidRDefault="007F5505">
      <w:pPr>
        <w:spacing w:after="240" w:line="276" w:lineRule="auto"/>
        <w:ind w:left="720" w:right="42"/>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c.1) </w:t>
      </w:r>
      <w:r w:rsidRPr="00B24A80">
        <w:rPr>
          <w:rFonts w:asciiTheme="majorHAnsi" w:eastAsia="Calibri" w:hAnsiTheme="majorHAnsi" w:cstheme="majorHAnsi"/>
          <w:color w:val="000000"/>
          <w:sz w:val="22"/>
          <w:szCs w:val="22"/>
        </w:rPr>
        <w:t>Higiene, salud, y protección del medio ambiente: Que tenga condiciones aceptables de salubridad y descontaminación en el ambiente interior de la edificación y que no deteriore el medio ambiente en su entorno inmediato.</w:t>
      </w:r>
    </w:p>
    <w:p w14:paraId="3D6A4AF4" w14:textId="77777777" w:rsidR="00F439D9" w:rsidRPr="00B24A80" w:rsidRDefault="00F439D9" w:rsidP="00F439D9">
      <w:pPr>
        <w:spacing w:after="240" w:line="276" w:lineRule="auto"/>
        <w:ind w:left="720" w:right="42"/>
        <w:rPr>
          <w:rFonts w:asciiTheme="majorHAnsi" w:eastAsia="Calibri" w:hAnsiTheme="majorHAnsi" w:cstheme="majorHAnsi"/>
          <w:sz w:val="22"/>
          <w:szCs w:val="22"/>
        </w:rPr>
      </w:pPr>
      <w:r w:rsidRPr="00B24A80">
        <w:rPr>
          <w:rFonts w:asciiTheme="majorHAnsi" w:eastAsia="Calibri" w:hAnsiTheme="majorHAnsi" w:cstheme="majorHAnsi"/>
          <w:sz w:val="22"/>
          <w:szCs w:val="22"/>
        </w:rPr>
        <w:t>c.2) Protección contra el ruido: Que el ruido percibido no ponga en peligro la salud de las personas y les permita realizar satisfactoriamente sus actividades.</w:t>
      </w:r>
    </w:p>
    <w:p w14:paraId="31CA594B" w14:textId="77777777" w:rsidR="00F439D9" w:rsidRPr="00B24A80" w:rsidRDefault="00F439D9" w:rsidP="00F439D9">
      <w:pPr>
        <w:spacing w:after="240" w:line="276" w:lineRule="auto"/>
        <w:ind w:left="720" w:right="42"/>
        <w:rPr>
          <w:rFonts w:asciiTheme="majorHAnsi" w:eastAsia="Calibri" w:hAnsiTheme="majorHAnsi" w:cstheme="majorHAnsi"/>
          <w:sz w:val="22"/>
          <w:szCs w:val="22"/>
        </w:rPr>
      </w:pPr>
      <w:r w:rsidRPr="00B24A80">
        <w:rPr>
          <w:rFonts w:asciiTheme="majorHAnsi" w:eastAsia="Calibri" w:hAnsiTheme="majorHAnsi" w:cstheme="majorHAnsi"/>
          <w:sz w:val="22"/>
          <w:szCs w:val="22"/>
        </w:rPr>
        <w:t>c.3) Ahorro de energía y aislamiento térmico: Que se consiga un uso racional de la energía necesaria para la adecuada utilización del edificio.</w:t>
      </w:r>
    </w:p>
    <w:p w14:paraId="20467B4B" w14:textId="3AD0663E" w:rsidR="00DC27E8" w:rsidRPr="00B24A80" w:rsidRDefault="00F439D9" w:rsidP="00F439D9">
      <w:pPr>
        <w:spacing w:after="240" w:line="276" w:lineRule="auto"/>
        <w:ind w:left="720" w:right="42"/>
        <w:rPr>
          <w:rFonts w:asciiTheme="majorHAnsi" w:eastAsia="Calibri" w:hAnsiTheme="majorHAnsi" w:cstheme="majorHAnsi"/>
          <w:color w:val="000000"/>
          <w:sz w:val="22"/>
          <w:szCs w:val="22"/>
        </w:rPr>
      </w:pPr>
      <w:r w:rsidRPr="00B24A80">
        <w:rPr>
          <w:rFonts w:asciiTheme="majorHAnsi" w:eastAsia="Calibri" w:hAnsiTheme="majorHAnsi" w:cstheme="majorHAnsi"/>
          <w:sz w:val="22"/>
          <w:szCs w:val="22"/>
        </w:rPr>
        <w:t>c.4) Otros aspectos funcionales de los elementos constructivos o de las instalaciones que permitan un uso satisfactorio del edificio</w:t>
      </w:r>
      <w:r w:rsidR="007F5505" w:rsidRPr="00B24A80">
        <w:rPr>
          <w:rFonts w:asciiTheme="majorHAnsi" w:eastAsia="Calibri" w:hAnsiTheme="majorHAnsi" w:cstheme="majorHAnsi"/>
          <w:color w:val="000000"/>
          <w:sz w:val="22"/>
          <w:szCs w:val="22"/>
        </w:rPr>
        <w:t>.</w:t>
      </w:r>
    </w:p>
    <w:p w14:paraId="285525B7" w14:textId="71925E64" w:rsidR="00DC27E8" w:rsidRPr="00B24A80" w:rsidRDefault="00EB5C24" w:rsidP="008E28D4">
      <w:pPr>
        <w:pStyle w:val="Ttulo4"/>
        <w:rPr>
          <w:rFonts w:cstheme="majorHAnsi"/>
          <w:sz w:val="22"/>
          <w:szCs w:val="22"/>
        </w:rPr>
      </w:pPr>
      <w:bookmarkStart w:id="193" w:name="_heading=h.2250f4o" w:colFirst="0" w:colLast="0"/>
      <w:bookmarkStart w:id="194" w:name="_Toc81085658"/>
      <w:bookmarkStart w:id="195" w:name="_Toc181374096"/>
      <w:bookmarkEnd w:id="193"/>
      <w:r w:rsidRPr="00B24A80">
        <w:rPr>
          <w:rFonts w:cstheme="majorHAnsi"/>
          <w:sz w:val="22"/>
          <w:szCs w:val="22"/>
        </w:rPr>
        <w:lastRenderedPageBreak/>
        <w:t>SECCIÓN</w:t>
      </w:r>
      <w:r w:rsidR="007F5505" w:rsidRPr="00B24A80">
        <w:rPr>
          <w:rFonts w:cstheme="majorHAnsi"/>
          <w:sz w:val="22"/>
          <w:szCs w:val="22"/>
        </w:rPr>
        <w:t xml:space="preserve"> II</w:t>
      </w:r>
      <w:bookmarkStart w:id="196" w:name="_heading=h.haapch" w:colFirst="0" w:colLast="0"/>
      <w:bookmarkEnd w:id="196"/>
      <w:r w:rsidR="008E28D4" w:rsidRPr="00B24A80">
        <w:rPr>
          <w:rFonts w:cstheme="majorHAnsi"/>
          <w:sz w:val="22"/>
          <w:szCs w:val="22"/>
        </w:rPr>
        <w:br/>
      </w:r>
      <w:r w:rsidR="007F5505" w:rsidRPr="00B24A80">
        <w:rPr>
          <w:rFonts w:cstheme="majorHAnsi"/>
          <w:sz w:val="22"/>
          <w:szCs w:val="22"/>
        </w:rPr>
        <w:t>Exigencias administrativas</w:t>
      </w:r>
      <w:bookmarkEnd w:id="194"/>
      <w:bookmarkEnd w:id="195"/>
    </w:p>
    <w:p w14:paraId="30218C4D" w14:textId="2C692DBA" w:rsidR="00851AC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Informe Predial de Regulaciones de Uso del Suelo - IPRUS</w:t>
      </w:r>
      <w:r w:rsidRPr="00B24A80">
        <w:rPr>
          <w:rFonts w:asciiTheme="majorHAnsi" w:eastAsia="Calibri" w:hAnsiTheme="majorHAnsi" w:cstheme="majorHAnsi"/>
          <w:b/>
          <w:color w:val="000000"/>
          <w:szCs w:val="22"/>
        </w:rPr>
        <w:t>.-</w:t>
      </w:r>
      <w:r w:rsidRPr="00B24A80">
        <w:rPr>
          <w:rFonts w:asciiTheme="majorHAnsi" w:eastAsia="Calibri" w:hAnsiTheme="majorHAnsi" w:cstheme="majorHAnsi"/>
          <w:color w:val="000000"/>
          <w:szCs w:val="22"/>
        </w:rPr>
        <w:t xml:space="preserve"> </w:t>
      </w:r>
      <w:r w:rsidR="00F439D9" w:rsidRPr="00B24A80">
        <w:rPr>
          <w:rFonts w:asciiTheme="majorHAnsi" w:eastAsia="Calibri" w:hAnsiTheme="majorHAnsi" w:cstheme="majorHAnsi"/>
          <w:color w:val="000000"/>
          <w:szCs w:val="22"/>
        </w:rPr>
        <w:t xml:space="preserve">Toda persona natural o jurídica que desee planificar una edificación, subdividir o fraccionar, urbanizar, realizar un cerramiento, o realizar otro tipo de intervención en su predio o edificio que requería de la aprobación del GADMCJS, deberá previamente acudir a la Dirección de Gestión de Planificación a solicitar la concesión del informe IPRUS </w:t>
      </w:r>
      <w:r w:rsidR="00503933" w:rsidRPr="00B24A80">
        <w:rPr>
          <w:rFonts w:asciiTheme="majorHAnsi" w:eastAsia="Calibri" w:hAnsiTheme="majorHAnsi" w:cstheme="majorHAnsi"/>
          <w:color w:val="000000"/>
          <w:szCs w:val="22"/>
        </w:rPr>
        <w:t xml:space="preserve"> (Anexo 1- Formulario IPRUS) </w:t>
      </w:r>
      <w:r w:rsidR="00F439D9" w:rsidRPr="00B24A80">
        <w:rPr>
          <w:rFonts w:asciiTheme="majorHAnsi" w:eastAsia="Calibri" w:hAnsiTheme="majorHAnsi" w:cstheme="majorHAnsi"/>
          <w:color w:val="000000"/>
          <w:szCs w:val="22"/>
        </w:rPr>
        <w:t>, solicitud que ingresar</w:t>
      </w:r>
      <w:r w:rsidR="00851AC8" w:rsidRPr="00B24A80">
        <w:rPr>
          <w:rFonts w:asciiTheme="majorHAnsi" w:eastAsia="Calibri" w:hAnsiTheme="majorHAnsi" w:cstheme="majorHAnsi"/>
          <w:color w:val="000000"/>
          <w:szCs w:val="22"/>
        </w:rPr>
        <w:t>á con los siguientes requisitos:</w:t>
      </w:r>
    </w:p>
    <w:p w14:paraId="061236CF" w14:textId="615EB840" w:rsidR="004501B7" w:rsidRPr="00B24A80" w:rsidRDefault="004501B7" w:rsidP="00D77E1C">
      <w:pPr>
        <w:pStyle w:val="Prrafodelista"/>
        <w:widowControl/>
        <w:numPr>
          <w:ilvl w:val="3"/>
          <w:numId w:val="11"/>
        </w:numPr>
        <w:tabs>
          <w:tab w:val="left" w:pos="851"/>
        </w:tabs>
        <w:spacing w:after="240" w:line="276" w:lineRule="auto"/>
        <w:ind w:left="709"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w:t>
      </w:r>
      <w:r w:rsidR="00F439D9" w:rsidRPr="00B24A80">
        <w:rPr>
          <w:rFonts w:asciiTheme="majorHAnsi" w:eastAsia="Calibri" w:hAnsiTheme="majorHAnsi" w:cstheme="majorHAnsi"/>
          <w:color w:val="000000"/>
          <w:szCs w:val="22"/>
        </w:rPr>
        <w:t>specie valorad</w:t>
      </w:r>
      <w:r w:rsidRPr="00B24A80">
        <w:rPr>
          <w:rFonts w:asciiTheme="majorHAnsi" w:eastAsia="Calibri" w:hAnsiTheme="majorHAnsi" w:cstheme="majorHAnsi"/>
          <w:color w:val="000000"/>
          <w:szCs w:val="22"/>
        </w:rPr>
        <w:t>a, con la firma del propietario</w:t>
      </w:r>
      <w:r w:rsidR="00380935">
        <w:rPr>
          <w:rFonts w:asciiTheme="majorHAnsi" w:eastAsia="Calibri" w:hAnsiTheme="majorHAnsi" w:cstheme="majorHAnsi"/>
          <w:color w:val="000000"/>
          <w:szCs w:val="22"/>
        </w:rPr>
        <w:t xml:space="preserve"> y/o representante legal</w:t>
      </w:r>
    </w:p>
    <w:p w14:paraId="39568FC5" w14:textId="77777777" w:rsidR="004501B7" w:rsidRPr="003B0E4D" w:rsidRDefault="004501B7" w:rsidP="00D77E1C">
      <w:pPr>
        <w:pStyle w:val="Prrafodelista"/>
        <w:widowControl/>
        <w:numPr>
          <w:ilvl w:val="3"/>
          <w:numId w:val="11"/>
        </w:numPr>
        <w:tabs>
          <w:tab w:val="left" w:pos="851"/>
        </w:tabs>
        <w:spacing w:after="240" w:line="276" w:lineRule="auto"/>
        <w:ind w:left="709" w:right="-100"/>
        <w:rPr>
          <w:rFonts w:asciiTheme="majorHAnsi" w:eastAsia="Calibri" w:hAnsiTheme="majorHAnsi" w:cstheme="majorHAnsi"/>
          <w:szCs w:val="22"/>
        </w:rPr>
      </w:pPr>
      <w:r w:rsidRPr="003B0E4D">
        <w:rPr>
          <w:rFonts w:asciiTheme="majorHAnsi" w:eastAsia="Calibri" w:hAnsiTheme="majorHAnsi" w:cstheme="majorHAnsi"/>
          <w:szCs w:val="22"/>
        </w:rPr>
        <w:t xml:space="preserve"> C</w:t>
      </w:r>
      <w:r w:rsidR="00F439D9" w:rsidRPr="003B0E4D">
        <w:rPr>
          <w:rFonts w:asciiTheme="majorHAnsi" w:eastAsia="Calibri" w:hAnsiTheme="majorHAnsi" w:cstheme="majorHAnsi"/>
          <w:szCs w:val="22"/>
        </w:rPr>
        <w:t xml:space="preserve">ertificado </w:t>
      </w:r>
      <w:r w:rsidRPr="003B0E4D">
        <w:rPr>
          <w:rFonts w:asciiTheme="majorHAnsi" w:eastAsia="Calibri" w:hAnsiTheme="majorHAnsi" w:cstheme="majorHAnsi"/>
          <w:szCs w:val="22"/>
        </w:rPr>
        <w:t>de no adeudar al GAD Municipal.</w:t>
      </w:r>
    </w:p>
    <w:p w14:paraId="38A7DF0D" w14:textId="7E078A95" w:rsidR="004501B7" w:rsidRPr="003B0E4D" w:rsidRDefault="00A84907" w:rsidP="00D77E1C">
      <w:pPr>
        <w:pStyle w:val="Prrafodelista"/>
        <w:widowControl/>
        <w:numPr>
          <w:ilvl w:val="3"/>
          <w:numId w:val="11"/>
        </w:numPr>
        <w:tabs>
          <w:tab w:val="left" w:pos="851"/>
        </w:tabs>
        <w:spacing w:after="240" w:line="276" w:lineRule="auto"/>
        <w:ind w:left="709" w:right="-100"/>
        <w:rPr>
          <w:rFonts w:asciiTheme="majorHAnsi" w:eastAsia="Calibri" w:hAnsiTheme="majorHAnsi" w:cstheme="majorHAnsi"/>
          <w:szCs w:val="22"/>
        </w:rPr>
      </w:pPr>
      <w:r w:rsidRPr="003B0E4D">
        <w:rPr>
          <w:rFonts w:asciiTheme="majorHAnsi" w:eastAsia="Calibri" w:hAnsiTheme="majorHAnsi" w:cstheme="majorHAnsi"/>
          <w:szCs w:val="22"/>
        </w:rPr>
        <w:t xml:space="preserve">Verificación de datos en el </w:t>
      </w:r>
      <w:r w:rsidR="00A752FE" w:rsidRPr="003B0E4D">
        <w:rPr>
          <w:rFonts w:asciiTheme="majorHAnsi" w:eastAsia="Calibri" w:hAnsiTheme="majorHAnsi" w:cstheme="majorHAnsi"/>
          <w:szCs w:val="22"/>
        </w:rPr>
        <w:t>sistema.</w:t>
      </w:r>
    </w:p>
    <w:p w14:paraId="65A37EEE" w14:textId="702113FE" w:rsidR="004501B7" w:rsidRPr="003B0E4D" w:rsidRDefault="004501B7" w:rsidP="00D77E1C">
      <w:pPr>
        <w:pStyle w:val="Prrafodelista"/>
        <w:widowControl/>
        <w:numPr>
          <w:ilvl w:val="3"/>
          <w:numId w:val="11"/>
        </w:numPr>
        <w:tabs>
          <w:tab w:val="left" w:pos="851"/>
        </w:tabs>
        <w:spacing w:after="240" w:line="276" w:lineRule="auto"/>
        <w:ind w:left="709" w:right="-100"/>
        <w:rPr>
          <w:rFonts w:asciiTheme="majorHAnsi" w:eastAsia="Calibri" w:hAnsiTheme="majorHAnsi" w:cstheme="majorHAnsi"/>
          <w:szCs w:val="22"/>
        </w:rPr>
      </w:pPr>
      <w:r w:rsidRPr="003B0E4D">
        <w:rPr>
          <w:rFonts w:asciiTheme="majorHAnsi" w:eastAsia="Calibri" w:hAnsiTheme="majorHAnsi" w:cstheme="majorHAnsi"/>
          <w:szCs w:val="22"/>
        </w:rPr>
        <w:t>U</w:t>
      </w:r>
      <w:r w:rsidR="00F439D9" w:rsidRPr="003B0E4D">
        <w:rPr>
          <w:rFonts w:asciiTheme="majorHAnsi" w:eastAsia="Calibri" w:hAnsiTheme="majorHAnsi" w:cstheme="majorHAnsi"/>
          <w:szCs w:val="22"/>
        </w:rPr>
        <w:t>na copia de las escrituras</w:t>
      </w:r>
      <w:r w:rsidR="002E18CC" w:rsidRPr="003B0E4D">
        <w:rPr>
          <w:rFonts w:asciiTheme="majorHAnsi" w:eastAsia="Calibri" w:hAnsiTheme="majorHAnsi" w:cstheme="majorHAnsi"/>
          <w:szCs w:val="22"/>
        </w:rPr>
        <w:t xml:space="preserve"> </w:t>
      </w:r>
      <w:r w:rsidR="00F439D9" w:rsidRPr="003B0E4D">
        <w:rPr>
          <w:rFonts w:asciiTheme="majorHAnsi" w:eastAsia="Calibri" w:hAnsiTheme="majorHAnsi" w:cstheme="majorHAnsi"/>
          <w:szCs w:val="22"/>
        </w:rPr>
        <w:t>debidamente inscritas en el Registro de la Propiedad</w:t>
      </w:r>
      <w:r w:rsidR="002E18CC" w:rsidRPr="003B0E4D">
        <w:rPr>
          <w:rFonts w:asciiTheme="majorHAnsi" w:eastAsia="Calibri" w:hAnsiTheme="majorHAnsi" w:cstheme="majorHAnsi"/>
          <w:szCs w:val="22"/>
        </w:rPr>
        <w:t xml:space="preserve"> y certificado por fedatario administrativo</w:t>
      </w:r>
      <w:r w:rsidR="00F50C1C" w:rsidRPr="003B0E4D">
        <w:rPr>
          <w:rFonts w:asciiTheme="majorHAnsi" w:eastAsia="Calibri" w:hAnsiTheme="majorHAnsi" w:cstheme="majorHAnsi"/>
          <w:szCs w:val="22"/>
        </w:rPr>
        <w:t xml:space="preserve"> cuando corresponda</w:t>
      </w:r>
      <w:r w:rsidR="002E18CC" w:rsidRPr="003B0E4D">
        <w:rPr>
          <w:rFonts w:asciiTheme="majorHAnsi" w:eastAsia="Calibri" w:hAnsiTheme="majorHAnsi" w:cstheme="majorHAnsi"/>
          <w:szCs w:val="22"/>
        </w:rPr>
        <w:t>,</w:t>
      </w:r>
    </w:p>
    <w:p w14:paraId="7FA78777" w14:textId="30848E95" w:rsidR="004501B7" w:rsidRPr="003B0E4D" w:rsidRDefault="00F439D9" w:rsidP="00D77E1C">
      <w:pPr>
        <w:pStyle w:val="Prrafodelista"/>
        <w:widowControl/>
        <w:numPr>
          <w:ilvl w:val="3"/>
          <w:numId w:val="11"/>
        </w:numPr>
        <w:tabs>
          <w:tab w:val="left" w:pos="851"/>
        </w:tabs>
        <w:spacing w:after="240" w:line="276" w:lineRule="auto"/>
        <w:ind w:left="709" w:right="-100"/>
        <w:rPr>
          <w:rFonts w:asciiTheme="majorHAnsi" w:eastAsia="Calibri" w:hAnsiTheme="majorHAnsi" w:cstheme="majorHAnsi"/>
          <w:szCs w:val="22"/>
        </w:rPr>
      </w:pPr>
      <w:r w:rsidRPr="003B0E4D">
        <w:rPr>
          <w:rFonts w:asciiTheme="majorHAnsi" w:eastAsia="Calibri" w:hAnsiTheme="majorHAnsi" w:cstheme="majorHAnsi"/>
          <w:szCs w:val="22"/>
        </w:rPr>
        <w:t xml:space="preserve"> Certificado actualizado del Registro de la Propiedad en original o certificado por fedatario administrativo</w:t>
      </w:r>
      <w:r w:rsidR="00F50C1C" w:rsidRPr="003B0E4D">
        <w:rPr>
          <w:rFonts w:asciiTheme="majorHAnsi" w:eastAsia="Calibri" w:hAnsiTheme="majorHAnsi" w:cstheme="majorHAnsi"/>
          <w:szCs w:val="22"/>
        </w:rPr>
        <w:t xml:space="preserve"> cuando corresponda</w:t>
      </w:r>
      <w:r w:rsidR="004501B7" w:rsidRPr="003B0E4D">
        <w:rPr>
          <w:rFonts w:asciiTheme="majorHAnsi" w:eastAsia="Calibri" w:hAnsiTheme="majorHAnsi" w:cstheme="majorHAnsi"/>
          <w:szCs w:val="22"/>
        </w:rPr>
        <w:t>,</w:t>
      </w:r>
    </w:p>
    <w:p w14:paraId="6594B213" w14:textId="5DFADCB1" w:rsidR="00DC27E8" w:rsidRPr="003B0E4D" w:rsidRDefault="004501B7" w:rsidP="004501B7">
      <w:pPr>
        <w:widowControl/>
        <w:tabs>
          <w:tab w:val="left" w:pos="851"/>
        </w:tabs>
        <w:spacing w:after="240" w:line="276" w:lineRule="auto"/>
        <w:ind w:right="-100"/>
        <w:rPr>
          <w:rFonts w:asciiTheme="majorHAnsi" w:eastAsia="Calibri" w:hAnsiTheme="majorHAnsi" w:cstheme="majorHAnsi"/>
          <w:sz w:val="22"/>
          <w:szCs w:val="22"/>
        </w:rPr>
      </w:pPr>
      <w:r w:rsidRPr="003B0E4D">
        <w:rPr>
          <w:rFonts w:asciiTheme="majorHAnsi" w:eastAsia="Calibri" w:hAnsiTheme="majorHAnsi" w:cstheme="majorHAnsi"/>
          <w:sz w:val="22"/>
          <w:szCs w:val="22"/>
        </w:rPr>
        <w:t>U</w:t>
      </w:r>
      <w:r w:rsidR="00F439D9" w:rsidRPr="003B0E4D">
        <w:rPr>
          <w:rFonts w:asciiTheme="majorHAnsi" w:eastAsia="Calibri" w:hAnsiTheme="majorHAnsi" w:cstheme="majorHAnsi"/>
          <w:sz w:val="22"/>
          <w:szCs w:val="22"/>
        </w:rPr>
        <w:t>n técnico del GADM del cantón La Joya de los Sachas realizará la inspección del predio, verificando que esté conforme a la información predial que tenga en su base de datos y proceder a dejar constancia de la observación pertinente</w:t>
      </w:r>
      <w:r w:rsidR="00E66352" w:rsidRPr="003B0E4D">
        <w:rPr>
          <w:rFonts w:asciiTheme="majorHAnsi" w:eastAsia="Calibri" w:hAnsiTheme="majorHAnsi" w:cstheme="majorHAnsi"/>
          <w:sz w:val="22"/>
          <w:szCs w:val="22"/>
        </w:rPr>
        <w:t xml:space="preserve">, además en caso de existir particularidades </w:t>
      </w:r>
      <w:r w:rsidR="00B25C64" w:rsidRPr="003B0E4D">
        <w:rPr>
          <w:rFonts w:asciiTheme="majorHAnsi" w:eastAsia="Calibri" w:hAnsiTheme="majorHAnsi" w:cstheme="majorHAnsi"/>
          <w:sz w:val="22"/>
          <w:szCs w:val="22"/>
        </w:rPr>
        <w:t>en temas de riesgos o ambientales se emitirán los informes pertinentes con las restricciones</w:t>
      </w:r>
      <w:r w:rsidR="004B68FD" w:rsidRPr="003B0E4D">
        <w:rPr>
          <w:rFonts w:asciiTheme="majorHAnsi" w:eastAsia="Calibri" w:hAnsiTheme="majorHAnsi" w:cstheme="majorHAnsi"/>
          <w:sz w:val="22"/>
          <w:szCs w:val="22"/>
        </w:rPr>
        <w:t xml:space="preserve"> necesarias del caso.</w:t>
      </w:r>
    </w:p>
    <w:p w14:paraId="16A19405" w14:textId="77777777" w:rsidR="000422FA" w:rsidRPr="00B24A80" w:rsidRDefault="000422FA" w:rsidP="000422F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4805F84" w14:textId="2F54824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Análisis de la petición. -</w:t>
      </w:r>
      <w:r w:rsidRPr="00B24A80">
        <w:rPr>
          <w:rFonts w:asciiTheme="majorHAnsi" w:eastAsia="Calibri" w:hAnsiTheme="majorHAnsi" w:cstheme="majorHAnsi"/>
          <w:color w:val="000000"/>
          <w:szCs w:val="22"/>
        </w:rPr>
        <w:t xml:space="preserve"> Recibida la petición, y para otorgar </w:t>
      </w:r>
      <w:r w:rsidR="002A6307" w:rsidRPr="00B24A80">
        <w:rPr>
          <w:rFonts w:asciiTheme="majorHAnsi" w:eastAsia="Calibri" w:hAnsiTheme="majorHAnsi" w:cstheme="majorHAnsi"/>
          <w:color w:val="000000"/>
          <w:szCs w:val="22"/>
        </w:rPr>
        <w:t>el IPRUS</w:t>
      </w:r>
      <w:r w:rsidRPr="00B24A80">
        <w:rPr>
          <w:rFonts w:asciiTheme="majorHAnsi" w:eastAsia="Calibri" w:hAnsiTheme="majorHAnsi" w:cstheme="majorHAnsi"/>
          <w:color w:val="000000"/>
          <w:szCs w:val="22"/>
        </w:rPr>
        <w:t xml:space="preserve">, la </w:t>
      </w:r>
      <w:r w:rsidR="00D01697" w:rsidRPr="00B24A80">
        <w:rPr>
          <w:rFonts w:asciiTheme="majorHAnsi" w:eastAsia="Calibri" w:hAnsiTheme="majorHAnsi" w:cstheme="majorHAnsi"/>
          <w:color w:val="000000"/>
          <w:szCs w:val="22"/>
        </w:rPr>
        <w:t>Dirección de Gestión</w:t>
      </w:r>
      <w:r w:rsidR="000422FA" w:rsidRPr="00B24A80">
        <w:rPr>
          <w:rFonts w:asciiTheme="majorHAnsi" w:eastAsia="Calibri" w:hAnsiTheme="majorHAnsi" w:cstheme="majorHAnsi"/>
          <w:color w:val="000000"/>
          <w:szCs w:val="22"/>
        </w:rPr>
        <w:t xml:space="preserve"> de</w:t>
      </w:r>
      <w:r w:rsidR="00D01697" w:rsidRPr="00B24A80">
        <w:rPr>
          <w:rFonts w:asciiTheme="majorHAnsi" w:eastAsia="Calibri" w:hAnsiTheme="majorHAnsi" w:cstheme="majorHAnsi"/>
          <w:color w:val="000000"/>
          <w:szCs w:val="22"/>
        </w:rPr>
        <w:t xml:space="preserve"> Planificación</w:t>
      </w:r>
      <w:r w:rsidRPr="00B24A80">
        <w:rPr>
          <w:rFonts w:asciiTheme="majorHAnsi" w:eastAsia="Calibri" w:hAnsiTheme="majorHAnsi" w:cstheme="majorHAnsi"/>
          <w:color w:val="000000"/>
          <w:szCs w:val="22"/>
        </w:rPr>
        <w:t>, analizará su finalidad y de acuerdo a ella se atenderá de la siguiente forma:</w:t>
      </w:r>
    </w:p>
    <w:p w14:paraId="1BDD11EA" w14:textId="4854EA06" w:rsidR="00DC27E8" w:rsidRPr="00B24A80" w:rsidRDefault="00AD5DA4" w:rsidP="009F132D">
      <w:pPr>
        <w:numPr>
          <w:ilvl w:val="0"/>
          <w:numId w:val="22"/>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Para edificaciones: Se verificará que el sector cuente con las obras básicas y el servicio de cobertura de Agua Potable y saneamiento</w:t>
      </w:r>
      <w:r w:rsidR="007F5505" w:rsidRPr="00B24A80">
        <w:rPr>
          <w:rFonts w:asciiTheme="majorHAnsi" w:eastAsia="Calibri" w:hAnsiTheme="majorHAnsi" w:cstheme="majorHAnsi"/>
          <w:color w:val="000000"/>
          <w:sz w:val="22"/>
          <w:szCs w:val="22"/>
        </w:rPr>
        <w:t>.</w:t>
      </w:r>
    </w:p>
    <w:p w14:paraId="0B04F203" w14:textId="77777777" w:rsidR="00DC27E8" w:rsidRPr="00B24A80" w:rsidRDefault="007F5505" w:rsidP="009F132D">
      <w:pPr>
        <w:numPr>
          <w:ilvl w:val="0"/>
          <w:numId w:val="22"/>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Para cerramiento: Se verificará que la calle se encuentre abierta de acuerdo a las directrices municipales en general o al proyecto urbanístico en particular. Cuando no existan bordillos el certificado detallará cotas y niveles del proyecto vial.</w:t>
      </w:r>
    </w:p>
    <w:p w14:paraId="6E6E5920" w14:textId="310D47AB" w:rsidR="00AD5DA4" w:rsidRPr="00B24A80" w:rsidRDefault="00AD5DA4" w:rsidP="00AD5DA4">
      <w:pPr>
        <w:pStyle w:val="Prrafodelista"/>
        <w:numPr>
          <w:ilvl w:val="0"/>
          <w:numId w:val="22"/>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Para urbanizaciones,</w:t>
      </w:r>
      <w:r w:rsidR="003B0E4D">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subdivisiones o cualquier otra forma de fraccionamiento: Se concederá según el caso de conformidad a lo que determina el presente instrumento normativo.</w:t>
      </w:r>
    </w:p>
    <w:p w14:paraId="5A390471" w14:textId="79C728D3" w:rsidR="00DC27E8" w:rsidRPr="00FC3770" w:rsidRDefault="007F5505" w:rsidP="000422FA">
      <w:pPr>
        <w:numPr>
          <w:ilvl w:val="0"/>
          <w:numId w:val="22"/>
        </w:numPr>
        <w:pBdr>
          <w:top w:val="nil"/>
          <w:left w:val="nil"/>
          <w:bottom w:val="nil"/>
          <w:right w:val="nil"/>
          <w:between w:val="nil"/>
        </w:pBdr>
        <w:spacing w:line="276" w:lineRule="auto"/>
        <w:ind w:right="42"/>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Las certificaciones</w:t>
      </w:r>
      <w:r w:rsidR="000422FA" w:rsidRPr="00B24A80">
        <w:rPr>
          <w:rFonts w:asciiTheme="majorHAnsi" w:eastAsia="Calibri" w:hAnsiTheme="majorHAnsi" w:cstheme="majorHAnsi"/>
          <w:color w:val="000000"/>
          <w:sz w:val="22"/>
          <w:szCs w:val="22"/>
        </w:rPr>
        <w:t xml:space="preserve"> de la Dirección de Gestión de</w:t>
      </w:r>
      <w:r w:rsidRPr="00B24A80">
        <w:rPr>
          <w:rFonts w:asciiTheme="majorHAnsi" w:eastAsia="Calibri" w:hAnsiTheme="majorHAnsi" w:cstheme="majorHAnsi"/>
          <w:color w:val="000000"/>
          <w:sz w:val="22"/>
          <w:szCs w:val="22"/>
        </w:rPr>
        <w:t xml:space="preserve"> Agua Potable y </w:t>
      </w:r>
      <w:r w:rsidR="00994928" w:rsidRPr="00B24A80">
        <w:rPr>
          <w:rFonts w:asciiTheme="majorHAnsi" w:eastAsia="Calibri" w:hAnsiTheme="majorHAnsi" w:cstheme="majorHAnsi"/>
          <w:color w:val="000000"/>
          <w:sz w:val="22"/>
          <w:szCs w:val="22"/>
        </w:rPr>
        <w:t>Alcantarillado</w:t>
      </w:r>
      <w:r w:rsidRPr="00B24A80">
        <w:rPr>
          <w:rFonts w:asciiTheme="majorHAnsi" w:eastAsia="Calibri" w:hAnsiTheme="majorHAnsi" w:cstheme="majorHAnsi"/>
          <w:color w:val="000000"/>
          <w:sz w:val="22"/>
          <w:szCs w:val="22"/>
        </w:rPr>
        <w:t xml:space="preserve"> deberán ser emitidas </w:t>
      </w:r>
      <w:r w:rsidRPr="00FC3770">
        <w:rPr>
          <w:rFonts w:asciiTheme="majorHAnsi" w:eastAsia="Calibri" w:hAnsiTheme="majorHAnsi" w:cstheme="majorHAnsi"/>
          <w:sz w:val="22"/>
          <w:szCs w:val="22"/>
        </w:rPr>
        <w:t>en un plazo máximo de 72 horas a partir de la fecha de recepción.</w:t>
      </w:r>
    </w:p>
    <w:p w14:paraId="586C3C84" w14:textId="6EACE209" w:rsidR="00DC27E8" w:rsidRPr="00B24A80" w:rsidRDefault="007F5505" w:rsidP="009F132D">
      <w:pPr>
        <w:numPr>
          <w:ilvl w:val="0"/>
          <w:numId w:val="22"/>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El Informe Predial de Regulaciones de Uso del Suelo - IPRUS será tramitado en la </w:t>
      </w:r>
      <w:r w:rsidR="00D01697" w:rsidRPr="00B24A80">
        <w:rPr>
          <w:rFonts w:asciiTheme="majorHAnsi" w:eastAsia="Calibri" w:hAnsiTheme="majorHAnsi" w:cstheme="majorHAnsi"/>
          <w:color w:val="000000"/>
          <w:sz w:val="22"/>
          <w:szCs w:val="22"/>
        </w:rPr>
        <w:t>Dirección de Gestión</w:t>
      </w:r>
      <w:r w:rsidR="000422FA" w:rsidRPr="00B24A80">
        <w:rPr>
          <w:rFonts w:asciiTheme="majorHAnsi" w:eastAsia="Calibri" w:hAnsiTheme="majorHAnsi" w:cstheme="majorHAnsi"/>
          <w:color w:val="000000"/>
          <w:sz w:val="22"/>
          <w:szCs w:val="22"/>
        </w:rPr>
        <w:t xml:space="preserve"> de</w:t>
      </w:r>
      <w:r w:rsidR="00D01697" w:rsidRPr="00B24A80">
        <w:rPr>
          <w:rFonts w:asciiTheme="majorHAnsi" w:eastAsia="Calibri" w:hAnsiTheme="majorHAnsi" w:cstheme="majorHAnsi"/>
          <w:color w:val="000000"/>
          <w:sz w:val="22"/>
          <w:szCs w:val="22"/>
        </w:rPr>
        <w:t xml:space="preserve"> Planificación</w:t>
      </w:r>
      <w:r w:rsidRPr="00B24A80">
        <w:rPr>
          <w:rFonts w:asciiTheme="majorHAnsi" w:eastAsia="Calibri" w:hAnsiTheme="majorHAnsi" w:cstheme="majorHAnsi"/>
          <w:color w:val="000000"/>
          <w:sz w:val="22"/>
          <w:szCs w:val="22"/>
        </w:rPr>
        <w:t>, en un plazo máximo de</w:t>
      </w:r>
      <w:r w:rsidR="000422FA" w:rsidRPr="00B24A80">
        <w:rPr>
          <w:rFonts w:asciiTheme="majorHAnsi" w:eastAsia="Calibri" w:hAnsiTheme="majorHAnsi" w:cstheme="majorHAnsi"/>
          <w:color w:val="000000"/>
          <w:sz w:val="22"/>
          <w:szCs w:val="22"/>
        </w:rPr>
        <w:t xml:space="preserve"> ocho</w:t>
      </w:r>
      <w:r w:rsidRPr="00B24A80">
        <w:rPr>
          <w:rFonts w:asciiTheme="majorHAnsi" w:eastAsia="Calibri" w:hAnsiTheme="majorHAnsi" w:cstheme="majorHAnsi"/>
          <w:color w:val="000000"/>
          <w:sz w:val="22"/>
          <w:szCs w:val="22"/>
        </w:rPr>
        <w:t xml:space="preserve"> </w:t>
      </w:r>
      <w:r w:rsidR="00B723ED" w:rsidRPr="00B24A80">
        <w:rPr>
          <w:rFonts w:asciiTheme="majorHAnsi" w:eastAsia="Calibri" w:hAnsiTheme="majorHAnsi" w:cstheme="majorHAnsi"/>
          <w:color w:val="000000"/>
          <w:sz w:val="22"/>
          <w:szCs w:val="22"/>
        </w:rPr>
        <w:t>días</w:t>
      </w:r>
      <w:r w:rsidR="0062682F">
        <w:rPr>
          <w:rFonts w:asciiTheme="majorHAnsi" w:eastAsia="Calibri" w:hAnsiTheme="majorHAnsi" w:cstheme="majorHAnsi"/>
          <w:color w:val="000000"/>
          <w:sz w:val="22"/>
          <w:szCs w:val="22"/>
        </w:rPr>
        <w:t>.</w:t>
      </w:r>
    </w:p>
    <w:p w14:paraId="4B5A6925" w14:textId="03418571" w:rsidR="00DC27E8" w:rsidRPr="00B24A80" w:rsidRDefault="007F5505" w:rsidP="009F132D">
      <w:pPr>
        <w:numPr>
          <w:ilvl w:val="0"/>
          <w:numId w:val="22"/>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Para el caso de las Parroquias Rurales, el </w:t>
      </w:r>
      <w:r w:rsidR="00AD5DA4" w:rsidRPr="00B24A80">
        <w:rPr>
          <w:rFonts w:asciiTheme="majorHAnsi" w:eastAsia="Calibri" w:hAnsiTheme="majorHAnsi" w:cstheme="majorHAnsi"/>
          <w:color w:val="000000"/>
          <w:sz w:val="22"/>
          <w:szCs w:val="22"/>
        </w:rPr>
        <w:t>plazo</w:t>
      </w:r>
      <w:r w:rsidRPr="00B24A80">
        <w:rPr>
          <w:rFonts w:asciiTheme="majorHAnsi" w:eastAsia="Calibri" w:hAnsiTheme="majorHAnsi" w:cstheme="majorHAnsi"/>
          <w:color w:val="000000"/>
          <w:sz w:val="22"/>
          <w:szCs w:val="22"/>
        </w:rPr>
        <w:t xml:space="preserve"> será máximo de </w:t>
      </w:r>
      <w:r w:rsidR="0062682F" w:rsidRPr="003B0E4D">
        <w:rPr>
          <w:rFonts w:asciiTheme="majorHAnsi" w:eastAsia="Calibri" w:hAnsiTheme="majorHAnsi" w:cstheme="majorHAnsi"/>
          <w:sz w:val="22"/>
          <w:szCs w:val="22"/>
        </w:rPr>
        <w:t xml:space="preserve">quince </w:t>
      </w:r>
      <w:r w:rsidRPr="00B24A80">
        <w:rPr>
          <w:rFonts w:asciiTheme="majorHAnsi" w:eastAsia="Calibri" w:hAnsiTheme="majorHAnsi" w:cstheme="majorHAnsi"/>
          <w:color w:val="000000"/>
          <w:sz w:val="22"/>
          <w:szCs w:val="22"/>
        </w:rPr>
        <w:t>días</w:t>
      </w:r>
      <w:r w:rsidR="0062682F">
        <w:rPr>
          <w:rFonts w:asciiTheme="majorHAnsi" w:eastAsia="Calibri" w:hAnsiTheme="majorHAnsi" w:cstheme="majorHAnsi"/>
          <w:color w:val="000000"/>
          <w:sz w:val="22"/>
          <w:szCs w:val="22"/>
        </w:rPr>
        <w:t>.</w:t>
      </w:r>
    </w:p>
    <w:p w14:paraId="66809E6F" w14:textId="459A76B6" w:rsidR="00DC27E8" w:rsidRPr="00B24A80" w:rsidRDefault="00AD5DA4" w:rsidP="009F132D">
      <w:pPr>
        <w:numPr>
          <w:ilvl w:val="0"/>
          <w:numId w:val="22"/>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En caso de incumplimiento de los plazos contemplados en este artículo será sancionado </w:t>
      </w:r>
      <w:r w:rsidR="00054598" w:rsidRPr="00B24A80">
        <w:rPr>
          <w:rFonts w:asciiTheme="majorHAnsi" w:eastAsia="Calibri" w:hAnsiTheme="majorHAnsi" w:cstheme="majorHAnsi"/>
          <w:color w:val="000000"/>
          <w:sz w:val="22"/>
          <w:szCs w:val="22"/>
        </w:rPr>
        <w:t>de acuerdo con</w:t>
      </w:r>
      <w:r w:rsidRPr="00B24A80">
        <w:rPr>
          <w:rFonts w:asciiTheme="majorHAnsi" w:eastAsia="Calibri" w:hAnsiTheme="majorHAnsi" w:cstheme="majorHAnsi"/>
          <w:color w:val="000000"/>
          <w:sz w:val="22"/>
          <w:szCs w:val="22"/>
        </w:rPr>
        <w:t xml:space="preserve"> la lo que prevea la normativa municipal vigente correspondiente, de ser </w:t>
      </w:r>
      <w:r w:rsidRPr="00B24A80">
        <w:rPr>
          <w:rFonts w:asciiTheme="majorHAnsi" w:eastAsia="Calibri" w:hAnsiTheme="majorHAnsi" w:cstheme="majorHAnsi"/>
          <w:color w:val="000000"/>
          <w:sz w:val="22"/>
          <w:szCs w:val="22"/>
        </w:rPr>
        <w:lastRenderedPageBreak/>
        <w:t>el caso</w:t>
      </w:r>
      <w:r w:rsidR="007F5505" w:rsidRPr="00B24A80">
        <w:rPr>
          <w:rFonts w:asciiTheme="majorHAnsi" w:eastAsia="Calibri" w:hAnsiTheme="majorHAnsi" w:cstheme="majorHAnsi"/>
          <w:color w:val="000000"/>
          <w:sz w:val="22"/>
          <w:szCs w:val="22"/>
        </w:rPr>
        <w:t>.</w:t>
      </w:r>
    </w:p>
    <w:p w14:paraId="029A3B0C" w14:textId="2EB8E2C5" w:rsidR="00C619EB" w:rsidRDefault="00F439D9" w:rsidP="008E28D4">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Esta verificación permitirá, </w:t>
      </w:r>
      <w:r w:rsidRPr="008B2827">
        <w:rPr>
          <w:rFonts w:asciiTheme="majorHAnsi" w:eastAsia="Calibri" w:hAnsiTheme="majorHAnsi" w:cstheme="majorHAnsi"/>
          <w:sz w:val="22"/>
          <w:szCs w:val="22"/>
        </w:rPr>
        <w:t xml:space="preserve">sin más trámite, </w:t>
      </w:r>
      <w:r w:rsidR="00100B20" w:rsidRPr="008B2827">
        <w:rPr>
          <w:rFonts w:asciiTheme="majorHAnsi" w:eastAsia="Calibri" w:hAnsiTheme="majorHAnsi" w:cstheme="majorHAnsi"/>
          <w:sz w:val="22"/>
          <w:szCs w:val="22"/>
        </w:rPr>
        <w:t xml:space="preserve">la autorización </w:t>
      </w:r>
      <w:r w:rsidRPr="008B2827">
        <w:rPr>
          <w:rFonts w:asciiTheme="majorHAnsi" w:eastAsia="Calibri" w:hAnsiTheme="majorHAnsi" w:cstheme="majorHAnsi"/>
          <w:sz w:val="22"/>
          <w:szCs w:val="22"/>
        </w:rPr>
        <w:t>del IPRUS</w:t>
      </w:r>
      <w:r w:rsidR="00100B20" w:rsidRPr="008B2827">
        <w:rPr>
          <w:rFonts w:asciiTheme="majorHAnsi" w:eastAsia="Calibri" w:hAnsiTheme="majorHAnsi" w:cstheme="majorHAnsi"/>
          <w:sz w:val="22"/>
          <w:szCs w:val="22"/>
        </w:rPr>
        <w:t xml:space="preserve">, </w:t>
      </w:r>
      <w:r w:rsidRPr="008B2827">
        <w:rPr>
          <w:rFonts w:asciiTheme="majorHAnsi" w:eastAsia="Calibri" w:hAnsiTheme="majorHAnsi" w:cstheme="majorHAnsi"/>
          <w:sz w:val="22"/>
          <w:szCs w:val="22"/>
        </w:rPr>
        <w:t>en el que se hará constar: Propietario o posesionario del predio</w:t>
      </w:r>
      <w:r w:rsidR="00356355" w:rsidRPr="008B2827">
        <w:rPr>
          <w:rFonts w:asciiTheme="majorHAnsi" w:eastAsia="Calibri" w:hAnsiTheme="majorHAnsi" w:cstheme="majorHAnsi"/>
          <w:sz w:val="22"/>
          <w:szCs w:val="22"/>
        </w:rPr>
        <w:t xml:space="preserve"> (comprobado en el  certificado Registro de la Propiedad)</w:t>
      </w:r>
      <w:r w:rsidRPr="008B2827">
        <w:rPr>
          <w:rFonts w:asciiTheme="majorHAnsi" w:eastAsia="Calibri" w:hAnsiTheme="majorHAnsi" w:cstheme="majorHAnsi"/>
          <w:sz w:val="22"/>
          <w:szCs w:val="22"/>
        </w:rPr>
        <w:t>, donde consten, datos del predio ( Número de predio, clave catastral, situación legal Unipropiedad o en derecho</w:t>
      </w:r>
      <w:r w:rsidR="00A95E7F" w:rsidRPr="008B2827">
        <w:rPr>
          <w:rFonts w:asciiTheme="majorHAnsi" w:eastAsia="Calibri" w:hAnsiTheme="majorHAnsi" w:cstheme="majorHAnsi"/>
          <w:sz w:val="22"/>
          <w:szCs w:val="22"/>
        </w:rPr>
        <w:t xml:space="preserve"> de acuerdo con el</w:t>
      </w:r>
      <w:r w:rsidRPr="008B2827">
        <w:rPr>
          <w:rFonts w:asciiTheme="majorHAnsi" w:eastAsia="Calibri" w:hAnsiTheme="majorHAnsi" w:cstheme="majorHAnsi"/>
          <w:sz w:val="22"/>
          <w:szCs w:val="22"/>
        </w:rPr>
        <w:t xml:space="preserve"> comodato, arrendamiento</w:t>
      </w:r>
      <w:r w:rsidR="00356355" w:rsidRPr="008B2827">
        <w:rPr>
          <w:rFonts w:asciiTheme="majorHAnsi" w:eastAsia="Calibri" w:hAnsiTheme="majorHAnsi" w:cstheme="majorHAnsi"/>
          <w:sz w:val="22"/>
          <w:szCs w:val="22"/>
        </w:rPr>
        <w:t>, usufructo</w:t>
      </w:r>
      <w:r w:rsidR="001E776F" w:rsidRPr="008B2827">
        <w:rPr>
          <w:rFonts w:asciiTheme="majorHAnsi" w:eastAsia="Calibri" w:hAnsiTheme="majorHAnsi" w:cstheme="majorHAnsi"/>
          <w:sz w:val="22"/>
          <w:szCs w:val="22"/>
        </w:rPr>
        <w:t xml:space="preserve"> y otros</w:t>
      </w:r>
      <w:r w:rsidRPr="008B2827">
        <w:rPr>
          <w:rFonts w:asciiTheme="majorHAnsi" w:eastAsia="Calibri" w:hAnsiTheme="majorHAnsi" w:cstheme="majorHAnsi"/>
          <w:sz w:val="22"/>
          <w:szCs w:val="22"/>
        </w:rPr>
        <w:t xml:space="preserve">), área según escritura, área gráfica, frente lote, </w:t>
      </w:r>
      <w:r w:rsidR="008F5B92" w:rsidRPr="008B2827">
        <w:rPr>
          <w:rFonts w:asciiTheme="majorHAnsi" w:eastAsia="Calibri" w:hAnsiTheme="majorHAnsi" w:cstheme="majorHAnsi"/>
          <w:sz w:val="22"/>
          <w:szCs w:val="22"/>
        </w:rPr>
        <w:t>excedentes o diferencias de áreas,</w:t>
      </w:r>
      <w:r w:rsidRPr="008B2827">
        <w:rPr>
          <w:rFonts w:asciiTheme="majorHAnsi" w:eastAsia="Calibri" w:hAnsiTheme="majorHAnsi" w:cstheme="majorHAnsi"/>
          <w:sz w:val="22"/>
          <w:szCs w:val="22"/>
        </w:rPr>
        <w:t>; Ubicación</w:t>
      </w:r>
      <w:r w:rsidRPr="00B24A80">
        <w:rPr>
          <w:rFonts w:asciiTheme="majorHAnsi" w:eastAsia="Calibri" w:hAnsiTheme="majorHAnsi" w:cstheme="majorHAnsi"/>
          <w:color w:val="000000"/>
          <w:sz w:val="22"/>
          <w:szCs w:val="22"/>
        </w:rPr>
        <w:t>; Áreas de Construcción; Regulaciones municipales (Zonificación, Clasificación del Suelo , Subclasificación del Suelo,  Tratamiento, Uso del Suelo General, Usos del Suelo Específicos, Compatibilidades de uso, Retiros frontales, laterales y posteriores, Frente Mínimo, Predio Mínimo, COS, COST, Edificabilidad altura y número de pisos), Afectaciones como  Vial (de ser el caso), Riesgos Naturales (de ser el caso), Hídrica (de ser el caso), Ambiental (de ser el caso), Servidumbres de paso (infraestructura eléctrica, petrolera, minera, de telecomunicaciones, entre otras – de ser el caso), obras de infraestructuras; y otras necesarias para la realización de un proyecto urbano arquitectónico, de acuerdo al Plan de Uso y Gestión del Suelo vigente</w:t>
      </w:r>
      <w:r w:rsidR="007F5505" w:rsidRPr="00B24A80">
        <w:rPr>
          <w:rFonts w:asciiTheme="majorHAnsi" w:eastAsia="Calibri" w:hAnsiTheme="majorHAnsi" w:cstheme="majorHAnsi"/>
          <w:color w:val="000000"/>
          <w:sz w:val="22"/>
          <w:szCs w:val="22"/>
        </w:rPr>
        <w:t>.</w:t>
      </w:r>
      <w:bookmarkStart w:id="197" w:name="_heading=h.319y80a" w:colFirst="0" w:colLast="0"/>
      <w:bookmarkEnd w:id="197"/>
    </w:p>
    <w:p w14:paraId="46550B5F" w14:textId="1F3232EB" w:rsidR="00FB64E3" w:rsidRPr="00FB64E3" w:rsidRDefault="00FB64E3" w:rsidP="00FB64E3">
      <w:pPr>
        <w:pStyle w:val="Ttulo3"/>
        <w:rPr>
          <w:rFonts w:cstheme="majorHAnsi"/>
          <w:sz w:val="22"/>
          <w:szCs w:val="22"/>
        </w:rPr>
      </w:pPr>
      <w:bookmarkStart w:id="198" w:name="_Toc181374097"/>
      <w:r w:rsidRPr="00B24A80">
        <w:rPr>
          <w:rFonts w:cstheme="majorHAnsi"/>
          <w:sz w:val="22"/>
          <w:szCs w:val="22"/>
        </w:rPr>
        <w:t xml:space="preserve">CAPÍTULO </w:t>
      </w:r>
      <w:r>
        <w:rPr>
          <w:rFonts w:cstheme="majorHAnsi"/>
          <w:sz w:val="22"/>
          <w:szCs w:val="22"/>
        </w:rPr>
        <w:t>V</w:t>
      </w:r>
      <w:r w:rsidRPr="00B24A80">
        <w:rPr>
          <w:rFonts w:cstheme="majorHAnsi"/>
          <w:sz w:val="22"/>
          <w:szCs w:val="22"/>
        </w:rPr>
        <w:br/>
      </w:r>
      <w:r>
        <w:rPr>
          <w:rFonts w:cstheme="majorHAnsi"/>
          <w:sz w:val="22"/>
          <w:szCs w:val="22"/>
        </w:rPr>
        <w:t>Fraccionamiento de suelos</w:t>
      </w:r>
      <w:bookmarkEnd w:id="198"/>
    </w:p>
    <w:p w14:paraId="7B548E64" w14:textId="3DEABD45" w:rsidR="0033509B" w:rsidRPr="00D60391" w:rsidRDefault="0033509B" w:rsidP="00D60391">
      <w:pPr>
        <w:pStyle w:val="Prrafodelista"/>
        <w:widowControl/>
        <w:numPr>
          <w:ilvl w:val="0"/>
          <w:numId w:val="114"/>
        </w:numPr>
        <w:tabs>
          <w:tab w:val="left" w:pos="851"/>
        </w:tabs>
        <w:spacing w:after="240" w:line="276" w:lineRule="auto"/>
        <w:ind w:left="0" w:right="42" w:firstLine="0"/>
        <w:rPr>
          <w:rFonts w:asciiTheme="majorHAnsi" w:eastAsia="Calibri" w:hAnsiTheme="majorHAnsi" w:cstheme="majorHAnsi"/>
          <w:color w:val="000000"/>
          <w:szCs w:val="22"/>
        </w:rPr>
      </w:pPr>
      <w:r w:rsidRPr="00093D3E">
        <w:rPr>
          <w:rFonts w:asciiTheme="majorHAnsi" w:eastAsia="Calibri" w:hAnsiTheme="majorHAnsi" w:cstheme="majorHAnsi"/>
          <w:b/>
          <w:bCs/>
          <w:color w:val="000000"/>
          <w:szCs w:val="22"/>
        </w:rPr>
        <w:t xml:space="preserve">Fraccionamiento, partición o </w:t>
      </w:r>
      <w:r w:rsidR="008B008E">
        <w:rPr>
          <w:rFonts w:asciiTheme="majorHAnsi" w:eastAsia="Calibri" w:hAnsiTheme="majorHAnsi" w:cstheme="majorHAnsi"/>
          <w:b/>
          <w:bCs/>
          <w:color w:val="000000"/>
          <w:szCs w:val="22"/>
        </w:rPr>
        <w:t>urbanización</w:t>
      </w:r>
      <w:r w:rsidRPr="00093D3E">
        <w:rPr>
          <w:rFonts w:asciiTheme="majorHAnsi" w:eastAsia="Calibri" w:hAnsiTheme="majorHAnsi" w:cstheme="majorHAnsi"/>
          <w:b/>
          <w:bCs/>
          <w:color w:val="000000"/>
          <w:szCs w:val="22"/>
        </w:rPr>
        <w:t xml:space="preserve">. -  </w:t>
      </w:r>
      <w:r w:rsidRPr="00D60391">
        <w:rPr>
          <w:rFonts w:asciiTheme="majorHAnsi" w:eastAsia="Calibri" w:hAnsiTheme="majorHAnsi" w:cstheme="majorHAnsi"/>
          <w:color w:val="000000"/>
          <w:szCs w:val="22"/>
        </w:rPr>
        <w:t xml:space="preserve">El fraccionamiento, la partición o la </w:t>
      </w:r>
      <w:r w:rsidR="008B008E">
        <w:rPr>
          <w:rFonts w:asciiTheme="majorHAnsi" w:eastAsia="Calibri" w:hAnsiTheme="majorHAnsi" w:cstheme="majorHAnsi"/>
          <w:color w:val="000000"/>
          <w:szCs w:val="22"/>
        </w:rPr>
        <w:t>urbanización</w:t>
      </w:r>
      <w:r w:rsidRPr="00D60391">
        <w:rPr>
          <w:rFonts w:asciiTheme="majorHAnsi" w:eastAsia="Calibri" w:hAnsiTheme="majorHAnsi" w:cstheme="majorHAnsi"/>
          <w:color w:val="000000"/>
          <w:szCs w:val="22"/>
        </w:rPr>
        <w:t xml:space="preserve"> son procesos mediante los cuales un predio se subdivide en varios, por iniciativa pública o privada. Se podrá llevar a cabo mediante un plan parcial y unidades de actuación urbanística. En el caso que se haga sin una unidad de actuación urbanística se aplicará lo dispuesto en el Código Orgánico de Organización Territorial, Autonomía y Descentralización. </w:t>
      </w:r>
    </w:p>
    <w:p w14:paraId="11C0B19F" w14:textId="3ED27F65" w:rsidR="0033509B" w:rsidRDefault="0033509B" w:rsidP="0033509B">
      <w:pPr>
        <w:spacing w:after="240" w:line="276" w:lineRule="auto"/>
        <w:ind w:right="42"/>
        <w:rPr>
          <w:rFonts w:asciiTheme="majorHAnsi" w:eastAsia="Calibri" w:hAnsiTheme="majorHAnsi" w:cstheme="majorHAnsi"/>
          <w:color w:val="000000"/>
          <w:sz w:val="22"/>
          <w:szCs w:val="22"/>
        </w:rPr>
      </w:pPr>
      <w:r w:rsidRPr="0033509B">
        <w:rPr>
          <w:rFonts w:asciiTheme="majorHAnsi" w:eastAsia="Calibri" w:hAnsiTheme="majorHAnsi" w:cstheme="majorHAnsi"/>
          <w:color w:val="000000"/>
          <w:sz w:val="22"/>
          <w:szCs w:val="22"/>
        </w:rPr>
        <w:t>El Gobierno Autónomo Descentralizado Municipal, en cualquier división o</w:t>
      </w:r>
      <w:r>
        <w:rPr>
          <w:rFonts w:asciiTheme="majorHAnsi" w:eastAsia="Calibri" w:hAnsiTheme="majorHAnsi" w:cstheme="majorHAnsi"/>
          <w:color w:val="000000"/>
          <w:sz w:val="22"/>
          <w:szCs w:val="22"/>
        </w:rPr>
        <w:t xml:space="preserve"> </w:t>
      </w:r>
      <w:r w:rsidRPr="0033509B">
        <w:rPr>
          <w:rFonts w:asciiTheme="majorHAnsi" w:eastAsia="Calibri" w:hAnsiTheme="majorHAnsi" w:cstheme="majorHAnsi"/>
          <w:color w:val="000000"/>
          <w:sz w:val="22"/>
          <w:szCs w:val="22"/>
        </w:rPr>
        <w:t>fraccionamiento de suelo rural de expansión urbana o suelo urbano, exigirá que el</w:t>
      </w:r>
      <w:r>
        <w:rPr>
          <w:rFonts w:asciiTheme="majorHAnsi" w:eastAsia="Calibri" w:hAnsiTheme="majorHAnsi" w:cstheme="majorHAnsi"/>
          <w:color w:val="000000"/>
          <w:sz w:val="22"/>
          <w:szCs w:val="22"/>
        </w:rPr>
        <w:t xml:space="preserve"> </w:t>
      </w:r>
      <w:r w:rsidRPr="0033509B">
        <w:rPr>
          <w:rFonts w:asciiTheme="majorHAnsi" w:eastAsia="Calibri" w:hAnsiTheme="majorHAnsi" w:cstheme="majorHAnsi"/>
          <w:color w:val="000000"/>
          <w:sz w:val="22"/>
          <w:szCs w:val="22"/>
        </w:rPr>
        <w:t>propietario dote a los predios resultantes de infraestructura básica y vías de acceso,</w:t>
      </w:r>
      <w:r>
        <w:rPr>
          <w:rFonts w:asciiTheme="majorHAnsi" w:eastAsia="Calibri" w:hAnsiTheme="majorHAnsi" w:cstheme="majorHAnsi"/>
          <w:color w:val="000000"/>
          <w:sz w:val="22"/>
          <w:szCs w:val="22"/>
        </w:rPr>
        <w:t xml:space="preserve"> </w:t>
      </w:r>
      <w:r w:rsidRPr="0033509B">
        <w:rPr>
          <w:rFonts w:asciiTheme="majorHAnsi" w:eastAsia="Calibri" w:hAnsiTheme="majorHAnsi" w:cstheme="majorHAnsi"/>
          <w:color w:val="000000"/>
          <w:sz w:val="22"/>
          <w:szCs w:val="22"/>
        </w:rPr>
        <w:t>los que serán entregados al Gobierno Autónomo Descentralizado Municipal. Según</w:t>
      </w:r>
      <w:r>
        <w:rPr>
          <w:rFonts w:asciiTheme="majorHAnsi" w:eastAsia="Calibri" w:hAnsiTheme="majorHAnsi" w:cstheme="majorHAnsi"/>
          <w:color w:val="000000"/>
          <w:sz w:val="22"/>
          <w:szCs w:val="22"/>
        </w:rPr>
        <w:t xml:space="preserve"> </w:t>
      </w:r>
      <w:r w:rsidRPr="0033509B">
        <w:rPr>
          <w:rFonts w:asciiTheme="majorHAnsi" w:eastAsia="Calibri" w:hAnsiTheme="majorHAnsi" w:cstheme="majorHAnsi"/>
          <w:color w:val="000000"/>
          <w:sz w:val="22"/>
          <w:szCs w:val="22"/>
        </w:rPr>
        <w:t>el caso, se aplicará el régimen de propiedad horizontal y demás normas de</w:t>
      </w:r>
      <w:r w:rsidR="00CC7F76">
        <w:rPr>
          <w:rFonts w:asciiTheme="majorHAnsi" w:eastAsia="Calibri" w:hAnsiTheme="majorHAnsi" w:cstheme="majorHAnsi"/>
          <w:color w:val="000000"/>
          <w:sz w:val="22"/>
          <w:szCs w:val="22"/>
        </w:rPr>
        <w:t xml:space="preserve"> </w:t>
      </w:r>
      <w:r w:rsidRPr="0033509B">
        <w:rPr>
          <w:rFonts w:asciiTheme="majorHAnsi" w:eastAsia="Calibri" w:hAnsiTheme="majorHAnsi" w:cstheme="majorHAnsi"/>
          <w:color w:val="000000"/>
          <w:sz w:val="22"/>
          <w:szCs w:val="22"/>
        </w:rPr>
        <w:t>convivencia existentes para el efecto, que se regularán mediante las normas</w:t>
      </w:r>
      <w:r>
        <w:rPr>
          <w:rFonts w:asciiTheme="majorHAnsi" w:eastAsia="Calibri" w:hAnsiTheme="majorHAnsi" w:cstheme="majorHAnsi"/>
          <w:color w:val="000000"/>
          <w:sz w:val="22"/>
          <w:szCs w:val="22"/>
        </w:rPr>
        <w:t xml:space="preserve"> </w:t>
      </w:r>
      <w:r w:rsidRPr="0033509B">
        <w:rPr>
          <w:rFonts w:asciiTheme="majorHAnsi" w:eastAsia="Calibri" w:hAnsiTheme="majorHAnsi" w:cstheme="majorHAnsi"/>
          <w:color w:val="000000"/>
          <w:sz w:val="22"/>
          <w:szCs w:val="22"/>
        </w:rPr>
        <w:t>vigentes y la presente ordenanza.</w:t>
      </w:r>
    </w:p>
    <w:p w14:paraId="69627C86" w14:textId="5174E096" w:rsidR="00AB1F33" w:rsidRPr="00AB1F33" w:rsidRDefault="00AB1F33" w:rsidP="00AB1F33">
      <w:pPr>
        <w:pStyle w:val="Ttulo3"/>
        <w:rPr>
          <w:rFonts w:cstheme="majorHAnsi"/>
          <w:sz w:val="22"/>
          <w:szCs w:val="22"/>
        </w:rPr>
      </w:pPr>
      <w:bookmarkStart w:id="199" w:name="_Toc181374098"/>
      <w:r>
        <w:rPr>
          <w:rFonts w:cstheme="majorHAnsi"/>
          <w:sz w:val="22"/>
          <w:szCs w:val="22"/>
        </w:rPr>
        <w:t>SECCIÓN I</w:t>
      </w:r>
      <w:r w:rsidRPr="00B24A80">
        <w:rPr>
          <w:rFonts w:cstheme="majorHAnsi"/>
          <w:sz w:val="22"/>
          <w:szCs w:val="22"/>
        </w:rPr>
        <w:br/>
      </w:r>
      <w:r>
        <w:rPr>
          <w:rFonts w:cstheme="majorHAnsi"/>
          <w:sz w:val="22"/>
          <w:szCs w:val="22"/>
        </w:rPr>
        <w:t>Fraccionamiento en suelo urbano</w:t>
      </w:r>
      <w:bookmarkEnd w:id="199"/>
    </w:p>
    <w:p w14:paraId="5C12785D" w14:textId="17077A26" w:rsidR="00664232" w:rsidRPr="004C1D1A" w:rsidRDefault="008B008E" w:rsidP="00664232">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Pr>
          <w:rFonts w:asciiTheme="majorHAnsi" w:eastAsia="Calibri" w:hAnsiTheme="majorHAnsi" w:cstheme="majorHAnsi"/>
          <w:b/>
          <w:color w:val="000000"/>
          <w:szCs w:val="22"/>
        </w:rPr>
        <w:t>Urbanización</w:t>
      </w:r>
      <w:r w:rsidR="00621D82">
        <w:rPr>
          <w:rFonts w:asciiTheme="majorHAnsi" w:eastAsia="Calibri" w:hAnsiTheme="majorHAnsi" w:cstheme="majorHAnsi"/>
          <w:b/>
          <w:color w:val="000000"/>
          <w:szCs w:val="22"/>
        </w:rPr>
        <w:t xml:space="preserve"> </w:t>
      </w:r>
      <w:r w:rsidR="00621D82" w:rsidRPr="00AB2DE3">
        <w:rPr>
          <w:rFonts w:asciiTheme="majorHAnsi" w:eastAsia="Calibri" w:hAnsiTheme="majorHAnsi" w:cstheme="majorHAnsi"/>
          <w:b/>
          <w:szCs w:val="22"/>
        </w:rPr>
        <w:t>o fraccionamiento</w:t>
      </w:r>
      <w:r w:rsidR="007F5505" w:rsidRPr="00AB2DE3">
        <w:rPr>
          <w:rFonts w:asciiTheme="majorHAnsi" w:eastAsia="Calibri" w:hAnsiTheme="majorHAnsi" w:cstheme="majorHAnsi"/>
          <w:b/>
          <w:szCs w:val="22"/>
        </w:rPr>
        <w:t xml:space="preserve"> de </w:t>
      </w:r>
      <w:r w:rsidR="007F5505" w:rsidRPr="00B24A80">
        <w:rPr>
          <w:rFonts w:asciiTheme="majorHAnsi" w:eastAsia="Calibri" w:hAnsiTheme="majorHAnsi" w:cstheme="majorHAnsi"/>
          <w:b/>
          <w:color w:val="000000"/>
          <w:szCs w:val="22"/>
        </w:rPr>
        <w:t>dos a diez predios. -</w:t>
      </w:r>
      <w:r w:rsidR="007F5505" w:rsidRPr="00B24A80">
        <w:rPr>
          <w:rFonts w:asciiTheme="majorHAnsi" w:eastAsia="Calibri" w:hAnsiTheme="majorHAnsi" w:cstheme="majorHAnsi"/>
          <w:color w:val="000000"/>
          <w:szCs w:val="22"/>
        </w:rPr>
        <w:t xml:space="preserve"> Se considera </w:t>
      </w:r>
      <w:r>
        <w:rPr>
          <w:rFonts w:asciiTheme="majorHAnsi" w:eastAsia="Calibri" w:hAnsiTheme="majorHAnsi" w:cstheme="majorHAnsi"/>
          <w:color w:val="000000"/>
          <w:szCs w:val="22"/>
        </w:rPr>
        <w:t>urbanización</w:t>
      </w:r>
      <w:r w:rsidR="007F5505" w:rsidRPr="00B24A80">
        <w:rPr>
          <w:rFonts w:asciiTheme="majorHAnsi" w:eastAsia="Calibri" w:hAnsiTheme="majorHAnsi" w:cstheme="majorHAnsi"/>
          <w:color w:val="000000"/>
          <w:szCs w:val="22"/>
        </w:rPr>
        <w:t xml:space="preserve"> a la división de un terreno en el rango de dos a diez predios con frente o acceso a alguna vía pública existente o en proyecto. Se exigirá que el propietario dote a los predios resultantes de infraestructura básica y vías de acceso, los que serán entregados al GADM</w:t>
      </w:r>
      <w:r w:rsidR="007B7882" w:rsidRPr="00B24A80">
        <w:rPr>
          <w:rFonts w:asciiTheme="majorHAnsi" w:eastAsia="Calibri" w:hAnsiTheme="majorHAnsi" w:cstheme="majorHAnsi"/>
          <w:color w:val="000000"/>
          <w:szCs w:val="22"/>
        </w:rPr>
        <w:t xml:space="preserve"> del </w:t>
      </w:r>
      <w:r w:rsidR="00CD4F27" w:rsidRPr="00B24A80">
        <w:rPr>
          <w:rFonts w:asciiTheme="majorHAnsi" w:eastAsia="Calibri" w:hAnsiTheme="majorHAnsi" w:cstheme="majorHAnsi"/>
          <w:color w:val="000000"/>
          <w:szCs w:val="22"/>
        </w:rPr>
        <w:t>cantón La Joya de los Sachas</w:t>
      </w:r>
      <w:r w:rsidR="004E7D47" w:rsidRPr="00B24A80">
        <w:rPr>
          <w:rFonts w:asciiTheme="majorHAnsi" w:eastAsia="Calibri" w:hAnsiTheme="majorHAnsi" w:cstheme="majorHAnsi"/>
          <w:color w:val="000000"/>
          <w:szCs w:val="22"/>
        </w:rPr>
        <w:t>.</w:t>
      </w:r>
    </w:p>
    <w:p w14:paraId="3189933C" w14:textId="0FBC168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4C1D1A">
        <w:rPr>
          <w:rFonts w:asciiTheme="majorHAnsi" w:eastAsia="Calibri" w:hAnsiTheme="majorHAnsi" w:cstheme="majorHAnsi"/>
          <w:b/>
          <w:szCs w:val="22"/>
        </w:rPr>
        <w:t xml:space="preserve">De los requisitos para la autorización de la </w:t>
      </w:r>
      <w:r w:rsidR="008B008E" w:rsidRPr="004C1D1A">
        <w:rPr>
          <w:rFonts w:asciiTheme="majorHAnsi" w:eastAsia="Calibri" w:hAnsiTheme="majorHAnsi" w:cstheme="majorHAnsi"/>
          <w:b/>
          <w:szCs w:val="22"/>
        </w:rPr>
        <w:t>urbanización</w:t>
      </w:r>
      <w:r w:rsidR="002F1D53" w:rsidRPr="004C1D1A">
        <w:rPr>
          <w:rFonts w:asciiTheme="majorHAnsi" w:eastAsia="Calibri" w:hAnsiTheme="majorHAnsi" w:cstheme="majorHAnsi"/>
          <w:b/>
          <w:szCs w:val="22"/>
        </w:rPr>
        <w:t xml:space="preserve"> o fraccionamiento</w:t>
      </w:r>
      <w:r w:rsidRPr="004C1D1A">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 xml:space="preserve">de dos a diez </w:t>
      </w:r>
      <w:r w:rsidR="00B723ED" w:rsidRPr="00B24A80">
        <w:rPr>
          <w:rFonts w:asciiTheme="majorHAnsi" w:eastAsia="Calibri" w:hAnsiTheme="majorHAnsi" w:cstheme="majorHAnsi"/>
          <w:b/>
          <w:color w:val="000000"/>
          <w:szCs w:val="22"/>
        </w:rPr>
        <w:t>predios. -</w:t>
      </w:r>
      <w:r w:rsidRPr="00B24A80">
        <w:rPr>
          <w:rFonts w:asciiTheme="majorHAnsi" w:eastAsia="Calibri" w:hAnsiTheme="majorHAnsi" w:cstheme="majorHAnsi"/>
          <w:color w:val="000000"/>
          <w:szCs w:val="22"/>
        </w:rPr>
        <w:t xml:space="preserve"> Será responsabilidad del solicitante presentar los siguientes documentos para iniciar el trámite para la autorización de la </w:t>
      </w:r>
      <w:r w:rsidR="008B008E">
        <w:rPr>
          <w:rFonts w:asciiTheme="majorHAnsi" w:eastAsia="Calibri" w:hAnsiTheme="majorHAnsi" w:cstheme="majorHAnsi"/>
          <w:color w:val="000000"/>
          <w:szCs w:val="22"/>
        </w:rPr>
        <w:t>urbanización</w:t>
      </w:r>
      <w:r w:rsidRPr="00B24A80">
        <w:rPr>
          <w:rFonts w:asciiTheme="majorHAnsi" w:eastAsia="Calibri" w:hAnsiTheme="majorHAnsi" w:cstheme="majorHAnsi"/>
          <w:color w:val="000000"/>
          <w:szCs w:val="22"/>
        </w:rPr>
        <w:t>:</w:t>
      </w:r>
    </w:p>
    <w:p w14:paraId="05E2205E" w14:textId="422E6817" w:rsidR="00DC27E8" w:rsidRPr="00B24A80" w:rsidRDefault="007F5505" w:rsidP="009F132D">
      <w:pPr>
        <w:pStyle w:val="Prrafodelista"/>
        <w:widowControl/>
        <w:numPr>
          <w:ilvl w:val="0"/>
          <w:numId w:val="56"/>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Solicitud suscrita por el propietario, de acuerdo al formato establecido por el GADM</w:t>
      </w:r>
      <w:r w:rsidR="004E7D47" w:rsidRPr="00B24A80">
        <w:rPr>
          <w:rFonts w:asciiTheme="majorHAnsi" w:eastAsia="Calibri" w:hAnsiTheme="majorHAnsi" w:cstheme="majorHAnsi"/>
          <w:color w:val="000000"/>
          <w:szCs w:val="22"/>
        </w:rPr>
        <w:t xml:space="preserve"> </w:t>
      </w:r>
      <w:r w:rsidR="007B7882" w:rsidRPr="00B24A80">
        <w:rPr>
          <w:rFonts w:asciiTheme="majorHAnsi" w:eastAsia="Calibri" w:hAnsiTheme="majorHAnsi" w:cstheme="majorHAnsi"/>
          <w:color w:val="000000"/>
          <w:szCs w:val="22"/>
        </w:rPr>
        <w:t xml:space="preserve">del </w:t>
      </w:r>
      <w:r w:rsidR="00CD4F27" w:rsidRPr="00B24A80">
        <w:rPr>
          <w:rFonts w:asciiTheme="majorHAnsi" w:eastAsia="Calibri" w:hAnsiTheme="majorHAnsi" w:cstheme="majorHAnsi"/>
          <w:color w:val="000000"/>
          <w:szCs w:val="22"/>
        </w:rPr>
        <w:t>cantón La Joya de los Sachas</w:t>
      </w:r>
      <w:r w:rsidRPr="00B24A80">
        <w:rPr>
          <w:rFonts w:asciiTheme="majorHAnsi" w:eastAsia="Calibri" w:hAnsiTheme="majorHAnsi" w:cstheme="majorHAnsi"/>
          <w:color w:val="000000"/>
          <w:szCs w:val="22"/>
        </w:rPr>
        <w:t>.</w:t>
      </w:r>
    </w:p>
    <w:p w14:paraId="64B22B72" w14:textId="13CB1061" w:rsidR="00B21151" w:rsidRPr="00B24A80" w:rsidRDefault="007F5505" w:rsidP="009F132D">
      <w:pPr>
        <w:pStyle w:val="Prrafodelista"/>
        <w:widowControl/>
        <w:numPr>
          <w:ilvl w:val="0"/>
          <w:numId w:val="56"/>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En caso de que el trámite lo realice un tercero, presentará la autorización del propietario y su cédula de ciudadanía y certificado de votación.</w:t>
      </w:r>
    </w:p>
    <w:p w14:paraId="75EC577D" w14:textId="77777777" w:rsidR="00B21151" w:rsidRPr="00B24A80" w:rsidRDefault="007F5505" w:rsidP="009F132D">
      <w:pPr>
        <w:pStyle w:val="Prrafodelista"/>
        <w:widowControl/>
        <w:numPr>
          <w:ilvl w:val="0"/>
          <w:numId w:val="56"/>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Informe Predial de Regulaciones de Uso del Suelo - IPRUS actualizado.</w:t>
      </w:r>
    </w:p>
    <w:p w14:paraId="200D27FF" w14:textId="3D8E3FB4" w:rsidR="00B21151" w:rsidRPr="00B24A80" w:rsidRDefault="007F5505" w:rsidP="009F132D">
      <w:pPr>
        <w:pStyle w:val="Prrafodelista"/>
        <w:widowControl/>
        <w:numPr>
          <w:ilvl w:val="0"/>
          <w:numId w:val="56"/>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Copia de escritura del inmueble inscrita en el Registro de la Propiedad y Certificado de gravámenes actualizado.</w:t>
      </w:r>
    </w:p>
    <w:p w14:paraId="37B6977A" w14:textId="308D0A93" w:rsidR="00B21151" w:rsidRPr="00B24A80" w:rsidRDefault="007F5505" w:rsidP="009F132D">
      <w:pPr>
        <w:pStyle w:val="Prrafodelista"/>
        <w:widowControl/>
        <w:numPr>
          <w:ilvl w:val="0"/>
          <w:numId w:val="56"/>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Planos (</w:t>
      </w:r>
      <w:r w:rsidR="0072404A" w:rsidRPr="00043348">
        <w:rPr>
          <w:rFonts w:asciiTheme="majorHAnsi" w:eastAsia="Calibri" w:hAnsiTheme="majorHAnsi" w:cstheme="majorHAnsi"/>
          <w:szCs w:val="22"/>
        </w:rPr>
        <w:t xml:space="preserve">tres </w:t>
      </w:r>
      <w:r w:rsidRPr="00B24A80">
        <w:rPr>
          <w:rFonts w:asciiTheme="majorHAnsi" w:eastAsia="Calibri" w:hAnsiTheme="majorHAnsi" w:cstheme="majorHAnsi"/>
          <w:color w:val="000000"/>
          <w:szCs w:val="22"/>
        </w:rPr>
        <w:t xml:space="preserve">en físico y en digital en formato </w:t>
      </w:r>
      <w:r w:rsidR="00083E97" w:rsidRPr="00B24A80">
        <w:rPr>
          <w:rFonts w:asciiTheme="majorHAnsi" w:eastAsia="Calibri" w:hAnsiTheme="majorHAnsi" w:cstheme="majorHAnsi"/>
          <w:i/>
          <w:iCs/>
          <w:color w:val="000000"/>
          <w:szCs w:val="22"/>
        </w:rPr>
        <w:t>DWG</w:t>
      </w:r>
      <w:r w:rsidRPr="00B24A80">
        <w:rPr>
          <w:rFonts w:asciiTheme="majorHAnsi" w:eastAsia="Calibri" w:hAnsiTheme="majorHAnsi" w:cstheme="majorHAnsi"/>
          <w:color w:val="000000"/>
          <w:szCs w:val="22"/>
        </w:rPr>
        <w:t xml:space="preserve"> georreferenciados) con la firma y datos del propietario (nombre y número de cédula) y del profesional competente (nombre, número de cédula y registro </w:t>
      </w:r>
      <w:r w:rsidRPr="00B24A80">
        <w:rPr>
          <w:rFonts w:asciiTheme="majorHAnsi" w:eastAsia="Calibri" w:hAnsiTheme="majorHAnsi" w:cstheme="majorHAnsi"/>
          <w:i/>
          <w:color w:val="000000"/>
          <w:szCs w:val="22"/>
        </w:rPr>
        <w:t>Senescyt</w:t>
      </w:r>
      <w:r w:rsidRPr="00B24A80">
        <w:rPr>
          <w:rFonts w:asciiTheme="majorHAnsi" w:eastAsia="Calibri" w:hAnsiTheme="majorHAnsi" w:cstheme="majorHAnsi"/>
          <w:color w:val="000000"/>
          <w:szCs w:val="22"/>
        </w:rPr>
        <w:t>). Los planos deberán estar elaborados en conformidad con la normativa urbanística y demás normativa vigente.</w:t>
      </w:r>
    </w:p>
    <w:p w14:paraId="2A380FB5" w14:textId="5057DFAB" w:rsidR="00DC27E8" w:rsidRPr="00B24A80" w:rsidRDefault="007F5505" w:rsidP="009F132D">
      <w:pPr>
        <w:pStyle w:val="Prrafodelista"/>
        <w:widowControl/>
        <w:numPr>
          <w:ilvl w:val="0"/>
          <w:numId w:val="56"/>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propuesta de </w:t>
      </w:r>
      <w:r w:rsidR="008B008E">
        <w:rPr>
          <w:rFonts w:asciiTheme="majorHAnsi" w:eastAsia="Calibri" w:hAnsiTheme="majorHAnsi" w:cstheme="majorHAnsi"/>
          <w:color w:val="000000"/>
          <w:szCs w:val="22"/>
        </w:rPr>
        <w:t>urbanización</w:t>
      </w:r>
      <w:r w:rsidRPr="00B24A80">
        <w:rPr>
          <w:rFonts w:asciiTheme="majorHAnsi" w:eastAsia="Calibri" w:hAnsiTheme="majorHAnsi" w:cstheme="majorHAnsi"/>
          <w:color w:val="000000"/>
          <w:szCs w:val="22"/>
        </w:rPr>
        <w:t xml:space="preserve"> se graficará sobre el plano topográfico georreferenciado, deberán incluir:</w:t>
      </w:r>
    </w:p>
    <w:p w14:paraId="1662A834" w14:textId="77777777" w:rsidR="00C11260" w:rsidRPr="00B24A80" w:rsidRDefault="00C11260" w:rsidP="00C11260">
      <w:pPr>
        <w:pStyle w:val="Prrafodelista"/>
        <w:widowControl/>
        <w:pBdr>
          <w:top w:val="nil"/>
          <w:left w:val="nil"/>
          <w:bottom w:val="nil"/>
          <w:right w:val="nil"/>
          <w:between w:val="nil"/>
        </w:pBdr>
        <w:spacing w:line="276" w:lineRule="auto"/>
        <w:ind w:right="-100"/>
        <w:rPr>
          <w:rFonts w:asciiTheme="majorHAnsi" w:eastAsia="Calibri" w:hAnsiTheme="majorHAnsi" w:cstheme="majorHAnsi"/>
          <w:color w:val="000000"/>
          <w:szCs w:val="22"/>
        </w:rPr>
      </w:pPr>
    </w:p>
    <w:p w14:paraId="43BF57EA" w14:textId="79AC177D" w:rsidR="00DC27E8" w:rsidRPr="00B24A80" w:rsidRDefault="007F5505" w:rsidP="00CA24CF">
      <w:pPr>
        <w:pStyle w:val="Prrafodelista"/>
        <w:widowControl/>
        <w:numPr>
          <w:ilvl w:val="0"/>
          <w:numId w:val="61"/>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Ubicación a escala;</w:t>
      </w:r>
    </w:p>
    <w:p w14:paraId="1E9C7896" w14:textId="25AC1168" w:rsidR="00DC27E8" w:rsidRPr="00B24A80" w:rsidRDefault="007F5505" w:rsidP="00CA24CF">
      <w:pPr>
        <w:pStyle w:val="Prrafodelista"/>
        <w:widowControl/>
        <w:numPr>
          <w:ilvl w:val="0"/>
          <w:numId w:val="61"/>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Delimitación exacta de los linderos del predio y especificación de los colindantes.</w:t>
      </w:r>
    </w:p>
    <w:p w14:paraId="73CADE64" w14:textId="70BB3FE4" w:rsidR="00DC27E8" w:rsidRPr="00B24A80" w:rsidRDefault="007F5505" w:rsidP="00CA24CF">
      <w:pPr>
        <w:pStyle w:val="Prrafodelista"/>
        <w:widowControl/>
        <w:numPr>
          <w:ilvl w:val="0"/>
          <w:numId w:val="61"/>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Propuesta de la división del predio;</w:t>
      </w:r>
    </w:p>
    <w:p w14:paraId="48C2A29B" w14:textId="6A30338C" w:rsidR="00DC27E8" w:rsidRPr="00B24A80" w:rsidRDefault="007F5505" w:rsidP="00CA24CF">
      <w:pPr>
        <w:pStyle w:val="Prrafodelista"/>
        <w:widowControl/>
        <w:numPr>
          <w:ilvl w:val="0"/>
          <w:numId w:val="61"/>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Cortes del terreno para identificar pendientes, ríos, quebradas, etc.;</w:t>
      </w:r>
    </w:p>
    <w:p w14:paraId="6DE4ECF2" w14:textId="4E289967" w:rsidR="00DC27E8" w:rsidRPr="00B24A80" w:rsidRDefault="007F5505" w:rsidP="00CA24CF">
      <w:pPr>
        <w:pStyle w:val="Prrafodelista"/>
        <w:widowControl/>
        <w:numPr>
          <w:ilvl w:val="0"/>
          <w:numId w:val="61"/>
        </w:numPr>
        <w:pBdr>
          <w:top w:val="nil"/>
          <w:left w:val="nil"/>
          <w:bottom w:val="nil"/>
          <w:right w:val="nil"/>
          <w:between w:val="nil"/>
        </w:pBdr>
        <w:spacing w:line="276" w:lineRule="auto"/>
        <w:ind w:right="-10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Cuadro de datos conteniendo superficies y porcentajes del área total del predio a urbanizar, área útil, área de vías y aceras, área de afectación, área de protección, área verde pública, listado total de predios con numeración continua, áreas y linderos; y,</w:t>
      </w:r>
    </w:p>
    <w:p w14:paraId="42F6496D" w14:textId="77777777" w:rsidR="00173232" w:rsidRPr="00173232" w:rsidRDefault="00173232" w:rsidP="00173232">
      <w:pPr>
        <w:widowControl/>
        <w:pBdr>
          <w:top w:val="nil"/>
          <w:left w:val="nil"/>
          <w:bottom w:val="nil"/>
          <w:right w:val="nil"/>
          <w:between w:val="nil"/>
        </w:pBdr>
        <w:spacing w:line="276" w:lineRule="auto"/>
        <w:ind w:right="-100"/>
        <w:rPr>
          <w:rFonts w:asciiTheme="majorHAnsi" w:eastAsia="Calibri" w:hAnsiTheme="majorHAnsi" w:cstheme="majorHAnsi"/>
          <w:color w:val="FF0000"/>
          <w:szCs w:val="22"/>
        </w:rPr>
      </w:pPr>
    </w:p>
    <w:p w14:paraId="45661A53" w14:textId="35DEA46F" w:rsidR="00D34C87" w:rsidRPr="0066452F" w:rsidRDefault="007F5505" w:rsidP="0066452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De la autorización de la </w:t>
      </w:r>
      <w:r w:rsidR="008B008E">
        <w:rPr>
          <w:rFonts w:asciiTheme="majorHAnsi" w:eastAsia="Calibri" w:hAnsiTheme="majorHAnsi" w:cstheme="majorHAnsi"/>
          <w:b/>
          <w:color w:val="000000"/>
          <w:szCs w:val="22"/>
        </w:rPr>
        <w:t>urbanización</w:t>
      </w:r>
      <w:r w:rsidRPr="00B24A80">
        <w:rPr>
          <w:rFonts w:asciiTheme="majorHAnsi" w:eastAsia="Calibri" w:hAnsiTheme="majorHAnsi" w:cstheme="majorHAnsi"/>
          <w:b/>
          <w:color w:val="000000"/>
          <w:szCs w:val="22"/>
        </w:rPr>
        <w:t xml:space="preserve"> de dos a diez predios. -</w:t>
      </w:r>
      <w:r w:rsidRPr="00B24A80">
        <w:rPr>
          <w:rFonts w:asciiTheme="majorHAnsi" w:eastAsia="Calibri" w:hAnsiTheme="majorHAnsi" w:cstheme="majorHAnsi"/>
          <w:color w:val="000000"/>
          <w:szCs w:val="22"/>
        </w:rPr>
        <w:t xml:space="preserve"> Previo a otorgar la autorización de la </w:t>
      </w:r>
      <w:r w:rsidR="008B008E">
        <w:rPr>
          <w:rFonts w:asciiTheme="majorHAnsi" w:eastAsia="Calibri" w:hAnsiTheme="majorHAnsi" w:cstheme="majorHAnsi"/>
          <w:color w:val="000000"/>
          <w:szCs w:val="22"/>
        </w:rPr>
        <w:t>urbanización</w:t>
      </w:r>
      <w:r w:rsidRPr="00B24A80">
        <w:rPr>
          <w:rFonts w:asciiTheme="majorHAnsi" w:eastAsia="Calibri" w:hAnsiTheme="majorHAnsi" w:cstheme="majorHAnsi"/>
          <w:color w:val="000000"/>
          <w:szCs w:val="22"/>
        </w:rPr>
        <w:t xml:space="preserve">, el </w:t>
      </w:r>
      <w:r w:rsidR="006E0959" w:rsidRPr="00B24A80">
        <w:rPr>
          <w:rFonts w:asciiTheme="majorHAnsi" w:eastAsia="Calibri" w:hAnsiTheme="majorHAnsi" w:cstheme="majorHAnsi"/>
          <w:color w:val="000000"/>
          <w:szCs w:val="22"/>
        </w:rPr>
        <w:t>GADM del cantón La Joya de los Sachas</w:t>
      </w:r>
      <w:r w:rsidRPr="00B24A80">
        <w:rPr>
          <w:rFonts w:asciiTheme="majorHAnsi" w:eastAsia="Calibri" w:hAnsiTheme="majorHAnsi" w:cstheme="majorHAnsi"/>
          <w:color w:val="000000"/>
          <w:szCs w:val="22"/>
        </w:rPr>
        <w:t xml:space="preserve"> deberá emitir un informe favorable, en el que se hace constar el cumplimiento con las determinaciones del PUGS y demás normas vigentes. En caso de que se programe la ejecución de vías, la autorización emitida, habilita para iniciar los procesos de construcción de obras de infraestructura, con el compromiso de cumplir con la presentación de informes de avance y las respectivas recepciones de obras de infraestructura otorgadas por la entidad co</w:t>
      </w:r>
      <w:r w:rsidR="007644F6" w:rsidRPr="00B24A80">
        <w:rPr>
          <w:rFonts w:asciiTheme="majorHAnsi" w:eastAsia="Calibri" w:hAnsiTheme="majorHAnsi" w:cstheme="majorHAnsi"/>
          <w:color w:val="000000"/>
          <w:szCs w:val="22"/>
        </w:rPr>
        <w:t>mpetente del GADM</w:t>
      </w:r>
      <w:r w:rsidR="004E7D47" w:rsidRPr="00B24A80">
        <w:rPr>
          <w:rFonts w:asciiTheme="majorHAnsi" w:eastAsia="Calibri" w:hAnsiTheme="majorHAnsi" w:cstheme="majorHAnsi"/>
          <w:color w:val="000000"/>
          <w:szCs w:val="22"/>
        </w:rPr>
        <w:t xml:space="preserve"> de</w:t>
      </w:r>
      <w:r w:rsidR="00664232" w:rsidRPr="00B24A80">
        <w:rPr>
          <w:rFonts w:asciiTheme="majorHAnsi" w:eastAsia="Calibri" w:hAnsiTheme="majorHAnsi" w:cstheme="majorHAnsi"/>
          <w:color w:val="000000"/>
          <w:szCs w:val="22"/>
        </w:rPr>
        <w:t>l cantón de</w:t>
      </w:r>
      <w:r w:rsidR="004E7D47" w:rsidRPr="00B24A80">
        <w:rPr>
          <w:rFonts w:asciiTheme="majorHAnsi" w:eastAsia="Calibri" w:hAnsiTheme="majorHAnsi" w:cstheme="majorHAnsi"/>
          <w:color w:val="000000"/>
          <w:szCs w:val="22"/>
        </w:rPr>
        <w:t xml:space="preserve"> </w:t>
      </w:r>
      <w:r w:rsidR="00E30701" w:rsidRPr="00B24A80">
        <w:rPr>
          <w:rFonts w:asciiTheme="majorHAnsi" w:eastAsia="Calibri" w:hAnsiTheme="majorHAnsi" w:cstheme="majorHAnsi"/>
          <w:color w:val="000000"/>
          <w:szCs w:val="22"/>
        </w:rPr>
        <w:t>La Joya de los Sachas</w:t>
      </w:r>
      <w:r w:rsidR="007644F6" w:rsidRPr="00B24A80">
        <w:rPr>
          <w:rFonts w:asciiTheme="majorHAnsi" w:eastAsia="Calibri" w:hAnsiTheme="majorHAnsi" w:cstheme="majorHAnsi"/>
          <w:color w:val="000000"/>
          <w:szCs w:val="22"/>
        </w:rPr>
        <w:t>, no se podrá  realizar el traspaso de  dominio de cada uno de los lotes</w:t>
      </w:r>
      <w:r w:rsidR="007C2807" w:rsidRPr="00B24A80">
        <w:rPr>
          <w:rFonts w:asciiTheme="majorHAnsi" w:eastAsia="Calibri" w:hAnsiTheme="majorHAnsi" w:cstheme="majorHAnsi"/>
          <w:color w:val="000000"/>
          <w:szCs w:val="22"/>
        </w:rPr>
        <w:t xml:space="preserve"> a terceros,</w:t>
      </w:r>
      <w:r w:rsidR="007644F6" w:rsidRPr="00B24A80">
        <w:rPr>
          <w:rFonts w:asciiTheme="majorHAnsi" w:eastAsia="Calibri" w:hAnsiTheme="majorHAnsi" w:cstheme="majorHAnsi"/>
          <w:color w:val="000000"/>
          <w:szCs w:val="22"/>
        </w:rPr>
        <w:t xml:space="preserve">  mientras no se concluya con la  apertura y dotación de servicios básicos donde </w:t>
      </w:r>
      <w:r w:rsidR="00D34C87" w:rsidRPr="00B24A80">
        <w:rPr>
          <w:rFonts w:asciiTheme="majorHAnsi" w:eastAsia="Calibri" w:hAnsiTheme="majorHAnsi" w:cstheme="majorHAnsi"/>
          <w:color w:val="000000"/>
          <w:szCs w:val="22"/>
        </w:rPr>
        <w:t>lo requiera.</w:t>
      </w:r>
      <w:r w:rsidR="007644F6" w:rsidRPr="00B24A80">
        <w:rPr>
          <w:rFonts w:asciiTheme="majorHAnsi" w:eastAsia="Calibri" w:hAnsiTheme="majorHAnsi" w:cstheme="majorHAnsi"/>
          <w:color w:val="000000"/>
          <w:szCs w:val="22"/>
        </w:rPr>
        <w:t xml:space="preserve"> </w:t>
      </w:r>
    </w:p>
    <w:p w14:paraId="51D0A07F" w14:textId="7A010061" w:rsidR="007C2807" w:rsidRPr="00B24A80" w:rsidRDefault="00D34C87" w:rsidP="0062472A">
      <w:pPr>
        <w:widowControl/>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Transferencias de dominio de áreas de uso público a favor de las municipalidades, se harán de acuerdo a lo establecido en el artículo 479 del COOTAD.</w:t>
      </w:r>
    </w:p>
    <w:p w14:paraId="008B55D2" w14:textId="05625AD3" w:rsidR="00DC27E8" w:rsidRPr="00590E92" w:rsidRDefault="00C11260" w:rsidP="00590E92">
      <w:pPr>
        <w:widowControl/>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Queda </w:t>
      </w:r>
      <w:r w:rsidR="00823771" w:rsidRPr="00B24A80">
        <w:rPr>
          <w:rFonts w:asciiTheme="majorHAnsi" w:eastAsia="Calibri" w:hAnsiTheme="majorHAnsi" w:cstheme="majorHAnsi"/>
          <w:color w:val="000000"/>
          <w:sz w:val="22"/>
          <w:szCs w:val="22"/>
        </w:rPr>
        <w:t xml:space="preserve">prohibido al mismo propietario realizar subdivisiones o fraccionamientos, de los predios ya aprobados previamente como </w:t>
      </w:r>
      <w:r w:rsidR="008B008E">
        <w:rPr>
          <w:rFonts w:asciiTheme="majorHAnsi" w:eastAsia="Calibri" w:hAnsiTheme="majorHAnsi" w:cstheme="majorHAnsi"/>
          <w:color w:val="000000"/>
          <w:sz w:val="22"/>
          <w:szCs w:val="22"/>
        </w:rPr>
        <w:t>urbanización</w:t>
      </w:r>
      <w:r w:rsidR="00823771" w:rsidRPr="00B24A80">
        <w:rPr>
          <w:rFonts w:asciiTheme="majorHAnsi" w:eastAsia="Calibri" w:hAnsiTheme="majorHAnsi" w:cstheme="majorHAnsi"/>
          <w:color w:val="000000"/>
          <w:sz w:val="22"/>
          <w:szCs w:val="22"/>
        </w:rPr>
        <w:t xml:space="preserve"> hasta 10 predios, </w:t>
      </w:r>
      <w:r w:rsidR="00664232" w:rsidRPr="00B24A80">
        <w:rPr>
          <w:rFonts w:asciiTheme="majorHAnsi" w:eastAsia="Calibri" w:hAnsiTheme="majorHAnsi" w:cstheme="majorHAnsi"/>
          <w:color w:val="000000"/>
          <w:sz w:val="22"/>
          <w:szCs w:val="22"/>
        </w:rPr>
        <w:t xml:space="preserve">de requerir una nueva </w:t>
      </w:r>
      <w:r w:rsidR="008B008E">
        <w:rPr>
          <w:rFonts w:asciiTheme="majorHAnsi" w:eastAsia="Calibri" w:hAnsiTheme="majorHAnsi" w:cstheme="majorHAnsi"/>
          <w:color w:val="000000"/>
          <w:sz w:val="22"/>
          <w:szCs w:val="22"/>
        </w:rPr>
        <w:t>urbanización</w:t>
      </w:r>
      <w:r w:rsidR="00664232" w:rsidRPr="00B24A80">
        <w:rPr>
          <w:rFonts w:asciiTheme="majorHAnsi" w:eastAsia="Calibri" w:hAnsiTheme="majorHAnsi" w:cstheme="majorHAnsi"/>
          <w:color w:val="000000"/>
          <w:sz w:val="22"/>
          <w:szCs w:val="22"/>
        </w:rPr>
        <w:t xml:space="preserve"> </w:t>
      </w:r>
      <w:r w:rsidR="00823771" w:rsidRPr="00B24A80">
        <w:rPr>
          <w:rFonts w:asciiTheme="majorHAnsi" w:eastAsia="Calibri" w:hAnsiTheme="majorHAnsi" w:cstheme="majorHAnsi"/>
          <w:color w:val="000000"/>
          <w:sz w:val="22"/>
          <w:szCs w:val="22"/>
        </w:rPr>
        <w:t xml:space="preserve">a partir de los 10 predios aprobados, estos deberán tramitarse como </w:t>
      </w:r>
      <w:r w:rsidR="00F453DA">
        <w:rPr>
          <w:rFonts w:asciiTheme="majorHAnsi" w:eastAsia="Calibri" w:hAnsiTheme="majorHAnsi" w:cstheme="majorHAnsi"/>
          <w:color w:val="000000"/>
          <w:sz w:val="22"/>
          <w:szCs w:val="22"/>
        </w:rPr>
        <w:t>Urbanización</w:t>
      </w:r>
      <w:r w:rsidR="00823771" w:rsidRPr="00B24A80">
        <w:rPr>
          <w:rFonts w:asciiTheme="majorHAnsi" w:eastAsia="Calibri" w:hAnsiTheme="majorHAnsi" w:cstheme="majorHAnsi"/>
          <w:color w:val="000000"/>
          <w:sz w:val="22"/>
          <w:szCs w:val="22"/>
        </w:rPr>
        <w:t>.</w:t>
      </w:r>
      <w:bookmarkStart w:id="200" w:name="_Toc81085660"/>
      <w:r w:rsidR="008E28D4" w:rsidRPr="00B24A80">
        <w:rPr>
          <w:rFonts w:cstheme="majorHAnsi"/>
          <w:sz w:val="22"/>
          <w:szCs w:val="22"/>
        </w:rPr>
        <w:br/>
      </w:r>
      <w:bookmarkEnd w:id="200"/>
    </w:p>
    <w:p w14:paraId="7C680425" w14:textId="294314C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w:t>
      </w:r>
      <w:r w:rsidR="00F453DA">
        <w:rPr>
          <w:rFonts w:asciiTheme="majorHAnsi" w:hAnsiTheme="majorHAnsi" w:cstheme="majorHAnsi"/>
          <w:b/>
          <w:szCs w:val="22"/>
        </w:rPr>
        <w:t>urbanización</w:t>
      </w:r>
      <w:r w:rsidRPr="00B24A80">
        <w:rPr>
          <w:rFonts w:asciiTheme="majorHAnsi" w:hAnsiTheme="majorHAnsi" w:cstheme="majorHAnsi"/>
          <w:b/>
          <w:szCs w:val="22"/>
        </w:rPr>
        <w:t>. -</w:t>
      </w:r>
      <w:r w:rsidRPr="00B24A80">
        <w:rPr>
          <w:rFonts w:asciiTheme="majorHAnsi" w:hAnsiTheme="majorHAnsi" w:cstheme="majorHAnsi"/>
          <w:szCs w:val="22"/>
        </w:rPr>
        <w:t xml:space="preserve"> Se consideran los fraccionamientos, particiones o subdivisiones de un terreno en más de diez predios, con dotación de obras de infraestructura, las mismas que se sujetarán a las disposiciones de la presente ordenanza. </w:t>
      </w:r>
    </w:p>
    <w:p w14:paraId="5C1A27D6" w14:textId="77777777" w:rsidR="00072568" w:rsidRPr="00B24A80" w:rsidRDefault="00072568">
      <w:pPr>
        <w:widowControl/>
        <w:pBdr>
          <w:top w:val="nil"/>
          <w:left w:val="nil"/>
          <w:bottom w:val="nil"/>
          <w:right w:val="nil"/>
          <w:between w:val="nil"/>
        </w:pBdr>
        <w:spacing w:after="240" w:line="276" w:lineRule="auto"/>
        <w:ind w:right="-100"/>
        <w:rPr>
          <w:rFonts w:asciiTheme="majorHAnsi" w:eastAsia="Calibri" w:hAnsiTheme="majorHAnsi" w:cstheme="majorHAnsi"/>
          <w:b/>
          <w:color w:val="000000"/>
          <w:sz w:val="22"/>
          <w:szCs w:val="22"/>
        </w:rPr>
      </w:pPr>
    </w:p>
    <w:p w14:paraId="258DC0F4" w14:textId="27DC5943" w:rsidR="00DC27E8" w:rsidRPr="00B218CA" w:rsidRDefault="007C1D2E"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18CA">
        <w:rPr>
          <w:rFonts w:asciiTheme="majorHAnsi" w:hAnsiTheme="majorHAnsi" w:cstheme="majorHAnsi"/>
          <w:b/>
          <w:szCs w:val="22"/>
        </w:rPr>
        <w:lastRenderedPageBreak/>
        <w:t xml:space="preserve">Condicionantes </w:t>
      </w:r>
      <w:r w:rsidR="00212710" w:rsidRPr="00B218CA">
        <w:rPr>
          <w:rFonts w:asciiTheme="majorHAnsi" w:hAnsiTheme="majorHAnsi" w:cstheme="majorHAnsi"/>
          <w:b/>
          <w:szCs w:val="22"/>
        </w:rPr>
        <w:t xml:space="preserve">físicas del </w:t>
      </w:r>
      <w:r w:rsidR="00B218CA" w:rsidRPr="00B218CA">
        <w:rPr>
          <w:rFonts w:asciiTheme="majorHAnsi" w:hAnsiTheme="majorHAnsi" w:cstheme="majorHAnsi"/>
          <w:b/>
          <w:szCs w:val="22"/>
        </w:rPr>
        <w:t>predio.</w:t>
      </w:r>
      <w:r w:rsidR="007F5505" w:rsidRPr="00B218CA">
        <w:rPr>
          <w:rFonts w:asciiTheme="majorHAnsi" w:hAnsiTheme="majorHAnsi" w:cstheme="majorHAnsi"/>
          <w:b/>
          <w:szCs w:val="22"/>
        </w:rPr>
        <w:t xml:space="preserve"> -</w:t>
      </w:r>
      <w:r w:rsidR="007F5505" w:rsidRPr="00B218CA">
        <w:rPr>
          <w:rFonts w:asciiTheme="majorHAnsi" w:hAnsiTheme="majorHAnsi" w:cstheme="majorHAnsi"/>
          <w:szCs w:val="22"/>
        </w:rPr>
        <w:t xml:space="preserve"> Los predios en los que se proyecte realizar la </w:t>
      </w:r>
      <w:r w:rsidR="00F453DA" w:rsidRPr="00B218CA">
        <w:rPr>
          <w:rFonts w:asciiTheme="majorHAnsi" w:hAnsiTheme="majorHAnsi" w:cstheme="majorHAnsi"/>
          <w:szCs w:val="22"/>
        </w:rPr>
        <w:t>urbanización</w:t>
      </w:r>
      <w:r w:rsidR="007F5505" w:rsidRPr="00B218CA">
        <w:rPr>
          <w:rFonts w:asciiTheme="majorHAnsi" w:hAnsiTheme="majorHAnsi" w:cstheme="majorHAnsi"/>
          <w:szCs w:val="22"/>
        </w:rPr>
        <w:t xml:space="preserve">, deberán cumplir con los siguientes requisitos como mínimo: </w:t>
      </w:r>
    </w:p>
    <w:p w14:paraId="4A302010" w14:textId="5BA7913C"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El predio debe estar localizado dentro del límite del suelo urbano determinada en el PUGS del cantón </w:t>
      </w:r>
      <w:r w:rsidR="00E30701" w:rsidRPr="00B24A80">
        <w:rPr>
          <w:rFonts w:asciiTheme="majorHAnsi" w:eastAsia="Calibri" w:hAnsiTheme="majorHAnsi" w:cstheme="majorHAnsi"/>
          <w:color w:val="000000"/>
          <w:szCs w:val="22"/>
        </w:rPr>
        <w:t>La Joya de los Sachas</w:t>
      </w:r>
      <w:r w:rsidRPr="00B24A80">
        <w:rPr>
          <w:rFonts w:asciiTheme="majorHAnsi" w:hAnsiTheme="majorHAnsi" w:cstheme="majorHAnsi"/>
          <w:szCs w:val="22"/>
        </w:rPr>
        <w:t>; y, la propuesta deberá guardar correspondencia con la normativa urbanística vigente;</w:t>
      </w:r>
      <w:r w:rsidR="006C6B25" w:rsidRPr="00B24A80">
        <w:rPr>
          <w:rFonts w:asciiTheme="majorHAnsi" w:hAnsiTheme="majorHAnsi" w:cstheme="majorHAnsi"/>
          <w:szCs w:val="22"/>
        </w:rPr>
        <w:t xml:space="preserve"> o encontrarse ubicada en uno de </w:t>
      </w:r>
      <w:r w:rsidR="006D2464" w:rsidRPr="00B24A80">
        <w:rPr>
          <w:rFonts w:asciiTheme="majorHAnsi" w:hAnsiTheme="majorHAnsi" w:cstheme="majorHAnsi"/>
          <w:szCs w:val="22"/>
        </w:rPr>
        <w:t xml:space="preserve">los </w:t>
      </w:r>
      <w:r w:rsidR="00AD68BB" w:rsidRPr="00B24A80">
        <w:rPr>
          <w:rFonts w:asciiTheme="majorHAnsi" w:hAnsiTheme="majorHAnsi" w:cstheme="majorHAnsi"/>
          <w:szCs w:val="22"/>
        </w:rPr>
        <w:t xml:space="preserve">Polígonos </w:t>
      </w:r>
      <w:r w:rsidR="001B5EDF">
        <w:rPr>
          <w:rFonts w:asciiTheme="majorHAnsi" w:hAnsiTheme="majorHAnsi" w:cstheme="majorHAnsi"/>
          <w:szCs w:val="22"/>
        </w:rPr>
        <w:t>d</w:t>
      </w:r>
      <w:r w:rsidR="00AD68BB" w:rsidRPr="00B24A80">
        <w:rPr>
          <w:rFonts w:asciiTheme="majorHAnsi" w:hAnsiTheme="majorHAnsi" w:cstheme="majorHAnsi"/>
          <w:szCs w:val="22"/>
        </w:rPr>
        <w:t>e Intervención Territorial-</w:t>
      </w:r>
      <w:r w:rsidR="006D2464" w:rsidRPr="00B24A80">
        <w:rPr>
          <w:rFonts w:asciiTheme="majorHAnsi" w:hAnsiTheme="majorHAnsi" w:cstheme="majorHAnsi"/>
          <w:szCs w:val="22"/>
        </w:rPr>
        <w:t>PIT</w:t>
      </w:r>
      <w:r w:rsidR="00AD68BB" w:rsidRPr="00B24A80">
        <w:rPr>
          <w:rFonts w:asciiTheme="majorHAnsi" w:hAnsiTheme="majorHAnsi" w:cstheme="majorHAnsi"/>
          <w:szCs w:val="22"/>
        </w:rPr>
        <w:t xml:space="preserve"> del suelo urbano.</w:t>
      </w:r>
      <w:r w:rsidR="006C6B25" w:rsidRPr="00B24A80">
        <w:rPr>
          <w:rFonts w:asciiTheme="majorHAnsi" w:hAnsiTheme="majorHAnsi" w:cstheme="majorHAnsi"/>
          <w:szCs w:val="22"/>
        </w:rPr>
        <w:t xml:space="preserve"> </w:t>
      </w:r>
    </w:p>
    <w:p w14:paraId="334AF455" w14:textId="11AAB326"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El </w:t>
      </w:r>
      <w:r w:rsidRPr="00AF57CE">
        <w:rPr>
          <w:rFonts w:asciiTheme="majorHAnsi" w:hAnsiTheme="majorHAnsi" w:cstheme="majorHAnsi"/>
          <w:szCs w:val="22"/>
        </w:rPr>
        <w:t>predio debe contar con un acceso directo mediante una vía pública aprobada</w:t>
      </w:r>
      <w:r w:rsidR="002905F8" w:rsidRPr="00AF57CE">
        <w:rPr>
          <w:rFonts w:asciiTheme="majorHAnsi" w:hAnsiTheme="majorHAnsi" w:cstheme="majorHAnsi"/>
          <w:szCs w:val="22"/>
        </w:rPr>
        <w:t xml:space="preserve"> o en proyección</w:t>
      </w:r>
      <w:r w:rsidRPr="00B24A80">
        <w:rPr>
          <w:rFonts w:asciiTheme="majorHAnsi" w:hAnsiTheme="majorHAnsi" w:cstheme="majorHAnsi"/>
          <w:szCs w:val="22"/>
        </w:rPr>
        <w:t>;</w:t>
      </w:r>
    </w:p>
    <w:p w14:paraId="5D8C37A5" w14:textId="69FF4BA5"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Contar con la posibilidad de proveerse de los sistemas públicos de soporte existentes o de asegurar la provisión de estos servicios mediante los trabajos necesarios; </w:t>
      </w:r>
    </w:p>
    <w:p w14:paraId="673F9BD1" w14:textId="32AE3EC8"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Respetar la f</w:t>
      </w:r>
      <w:r w:rsidR="00D34C87" w:rsidRPr="00B24A80">
        <w:rPr>
          <w:rFonts w:asciiTheme="majorHAnsi" w:hAnsiTheme="majorHAnsi" w:cstheme="majorHAnsi"/>
          <w:szCs w:val="22"/>
        </w:rPr>
        <w:t>r</w:t>
      </w:r>
      <w:r w:rsidRPr="00B24A80">
        <w:rPr>
          <w:rFonts w:asciiTheme="majorHAnsi" w:hAnsiTheme="majorHAnsi" w:cstheme="majorHAnsi"/>
          <w:szCs w:val="22"/>
        </w:rPr>
        <w:t>a</w:t>
      </w:r>
      <w:r w:rsidR="00D34C87" w:rsidRPr="00B24A80">
        <w:rPr>
          <w:rFonts w:asciiTheme="majorHAnsi" w:hAnsiTheme="majorHAnsi" w:cstheme="majorHAnsi"/>
          <w:szCs w:val="22"/>
        </w:rPr>
        <w:t>n</w:t>
      </w:r>
      <w:r w:rsidRPr="00B24A80">
        <w:rPr>
          <w:rFonts w:asciiTheme="majorHAnsi" w:hAnsiTheme="majorHAnsi" w:cstheme="majorHAnsi"/>
          <w:szCs w:val="22"/>
        </w:rPr>
        <w:t>ja de protección de las riberas de los ríos, y las distancias mínimas hacia los bordes de quebradas y taludes, conforme la normativa técnica expedida por el GADM</w:t>
      </w:r>
      <w:r w:rsidR="004E7D47" w:rsidRPr="00B24A80">
        <w:rPr>
          <w:rFonts w:asciiTheme="majorHAnsi" w:hAnsiTheme="majorHAnsi" w:cstheme="majorHAnsi"/>
          <w:szCs w:val="22"/>
        </w:rPr>
        <w:t xml:space="preserve"> de</w:t>
      </w:r>
      <w:r w:rsidR="00CA755F" w:rsidRPr="00B24A80">
        <w:rPr>
          <w:rFonts w:asciiTheme="majorHAnsi" w:hAnsiTheme="majorHAnsi" w:cstheme="majorHAnsi"/>
          <w:szCs w:val="22"/>
        </w:rPr>
        <w:t xml:space="preserve">l </w:t>
      </w:r>
      <w:r w:rsidR="00CD4F27" w:rsidRPr="00B24A80">
        <w:rPr>
          <w:rFonts w:asciiTheme="majorHAnsi" w:hAnsiTheme="majorHAnsi" w:cstheme="majorHAnsi"/>
          <w:szCs w:val="22"/>
        </w:rPr>
        <w:t>cantón La Joya de los Sachas</w:t>
      </w:r>
      <w:r w:rsidRPr="00B24A80">
        <w:rPr>
          <w:rFonts w:asciiTheme="majorHAnsi" w:hAnsiTheme="majorHAnsi" w:cstheme="majorHAnsi"/>
          <w:szCs w:val="22"/>
        </w:rPr>
        <w:t>;</w:t>
      </w:r>
    </w:p>
    <w:p w14:paraId="0E4989D4" w14:textId="61AB45FC"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No ubicarse en áreas de </w:t>
      </w:r>
      <w:r w:rsidR="001D3D2B" w:rsidRPr="00AF57CE">
        <w:rPr>
          <w:rFonts w:asciiTheme="majorHAnsi" w:hAnsiTheme="majorHAnsi" w:cstheme="majorHAnsi"/>
          <w:szCs w:val="22"/>
        </w:rPr>
        <w:t xml:space="preserve">alto </w:t>
      </w:r>
      <w:r w:rsidRPr="00B24A80">
        <w:rPr>
          <w:rFonts w:asciiTheme="majorHAnsi" w:hAnsiTheme="majorHAnsi" w:cstheme="majorHAnsi"/>
          <w:szCs w:val="22"/>
        </w:rPr>
        <w:t>riesgo</w:t>
      </w:r>
      <w:r w:rsidR="00D3560D">
        <w:rPr>
          <w:rFonts w:asciiTheme="majorHAnsi" w:hAnsiTheme="majorHAnsi" w:cstheme="majorHAnsi"/>
          <w:szCs w:val="22"/>
        </w:rPr>
        <w:t xml:space="preserve"> hidrometeorológico</w:t>
      </w:r>
      <w:r w:rsidR="00014458">
        <w:rPr>
          <w:rFonts w:asciiTheme="majorHAnsi" w:hAnsiTheme="majorHAnsi" w:cstheme="majorHAnsi"/>
          <w:szCs w:val="22"/>
        </w:rPr>
        <w:t xml:space="preserve">, </w:t>
      </w:r>
      <w:r w:rsidR="00D3560D">
        <w:rPr>
          <w:rFonts w:asciiTheme="majorHAnsi" w:hAnsiTheme="majorHAnsi" w:cstheme="majorHAnsi"/>
          <w:szCs w:val="22"/>
        </w:rPr>
        <w:t>geomorfológico</w:t>
      </w:r>
      <w:r w:rsidR="00014458">
        <w:rPr>
          <w:rFonts w:asciiTheme="majorHAnsi" w:hAnsiTheme="majorHAnsi" w:cstheme="majorHAnsi"/>
          <w:szCs w:val="22"/>
        </w:rPr>
        <w:t xml:space="preserve"> y/o ambientales</w:t>
      </w:r>
      <w:r w:rsidR="00ED0F24">
        <w:rPr>
          <w:rFonts w:asciiTheme="majorHAnsi" w:hAnsiTheme="majorHAnsi" w:cstheme="majorHAnsi"/>
          <w:szCs w:val="22"/>
        </w:rPr>
        <w:t>.</w:t>
      </w:r>
      <w:r w:rsidR="00D3560D">
        <w:rPr>
          <w:rFonts w:asciiTheme="majorHAnsi" w:hAnsiTheme="majorHAnsi" w:cstheme="majorHAnsi"/>
          <w:szCs w:val="22"/>
        </w:rPr>
        <w:t xml:space="preserve"> </w:t>
      </w:r>
      <w:r w:rsidRPr="00B24A80">
        <w:rPr>
          <w:rFonts w:asciiTheme="majorHAnsi" w:hAnsiTheme="majorHAnsi" w:cstheme="majorHAnsi"/>
          <w:szCs w:val="22"/>
        </w:rPr>
        <w:t xml:space="preserve"> </w:t>
      </w:r>
    </w:p>
    <w:p w14:paraId="363948E2" w14:textId="045A062B"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No formar parte ni estar comprendidos en zonas de preservación natural, protección ecológica o preservación arqueológica cultural u otras especiales, declaradas como tales por los organismos competentes del Estado o por el PUGS; </w:t>
      </w:r>
    </w:p>
    <w:p w14:paraId="4EADC8CA" w14:textId="7CA872B2"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Estar separado de los predios destinados a industrias o depósitos de materiales nocivos para la salud humana, de conformidad con las disposiciones de las leyes correspondientes y de las autoridades competentes;</w:t>
      </w:r>
    </w:p>
    <w:p w14:paraId="7BFCBA2E" w14:textId="30FA14E5"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No formar parte de zonas destinadas a la producción agraria intensiva o a una actividad </w:t>
      </w:r>
      <w:r w:rsidR="00A35002">
        <w:rPr>
          <w:rFonts w:asciiTheme="majorHAnsi" w:hAnsiTheme="majorHAnsi" w:cstheme="majorHAnsi"/>
          <w:szCs w:val="22"/>
        </w:rPr>
        <w:t>rural</w:t>
      </w:r>
      <w:r w:rsidRPr="00B24A80">
        <w:rPr>
          <w:rFonts w:asciiTheme="majorHAnsi" w:hAnsiTheme="majorHAnsi" w:cstheme="majorHAnsi"/>
          <w:szCs w:val="22"/>
        </w:rPr>
        <w:t xml:space="preserve"> calificada como tal por el organismo competente o el PUGS; y, </w:t>
      </w:r>
    </w:p>
    <w:p w14:paraId="297F7DE2" w14:textId="2BEEB5F9" w:rsidR="00DC27E8" w:rsidRPr="00B24A80" w:rsidRDefault="007F5505" w:rsidP="00CA24CF">
      <w:pPr>
        <w:pStyle w:val="Prrafodelista"/>
        <w:widowControl/>
        <w:numPr>
          <w:ilvl w:val="0"/>
          <w:numId w:val="59"/>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Cumplir con las separaciones establecidas en el caso de vecindad a propiedades públicas como carreteras nacionales, canales de riego, instalaciones mili</w:t>
      </w:r>
      <w:r w:rsidR="00C11260" w:rsidRPr="00B24A80">
        <w:rPr>
          <w:rFonts w:asciiTheme="majorHAnsi" w:hAnsiTheme="majorHAnsi" w:cstheme="majorHAnsi"/>
          <w:szCs w:val="22"/>
        </w:rPr>
        <w:t>tares, oleoductos, poliductos, sistema nacional interconectado.</w:t>
      </w:r>
    </w:p>
    <w:p w14:paraId="7FC7E633" w14:textId="77777777" w:rsidR="00C11260" w:rsidRPr="00B24A80" w:rsidRDefault="00C11260" w:rsidP="00C11260">
      <w:pPr>
        <w:pStyle w:val="Prrafodelista"/>
        <w:widowControl/>
        <w:pBdr>
          <w:top w:val="nil"/>
          <w:left w:val="nil"/>
          <w:bottom w:val="nil"/>
          <w:right w:val="nil"/>
          <w:between w:val="nil"/>
        </w:pBdr>
        <w:spacing w:line="276" w:lineRule="auto"/>
        <w:ind w:right="-100"/>
        <w:rPr>
          <w:rFonts w:asciiTheme="majorHAnsi" w:hAnsiTheme="majorHAnsi" w:cstheme="majorHAnsi"/>
          <w:szCs w:val="22"/>
        </w:rPr>
      </w:pPr>
    </w:p>
    <w:p w14:paraId="1B0D14A8" w14:textId="09C25DB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los requisitos físicos. -</w:t>
      </w:r>
      <w:r w:rsidRPr="00B24A80">
        <w:rPr>
          <w:rFonts w:asciiTheme="majorHAnsi" w:hAnsiTheme="majorHAnsi" w:cstheme="majorHAnsi"/>
          <w:szCs w:val="22"/>
        </w:rPr>
        <w:t xml:space="preserve"> Los predios en los que se proyecte realizar la </w:t>
      </w:r>
      <w:r w:rsidR="00F453DA">
        <w:rPr>
          <w:rFonts w:asciiTheme="majorHAnsi" w:hAnsiTheme="majorHAnsi" w:cstheme="majorHAnsi"/>
          <w:szCs w:val="22"/>
        </w:rPr>
        <w:t>urbanización</w:t>
      </w:r>
      <w:r w:rsidRPr="00B24A80">
        <w:rPr>
          <w:rFonts w:asciiTheme="majorHAnsi" w:hAnsiTheme="majorHAnsi" w:cstheme="majorHAnsi"/>
          <w:szCs w:val="22"/>
        </w:rPr>
        <w:t xml:space="preserve"> deberán cumplir con los siguientes requisitos:</w:t>
      </w:r>
    </w:p>
    <w:p w14:paraId="5FDE246E" w14:textId="2FC3D317" w:rsidR="00DC27E8" w:rsidRPr="00B24A80" w:rsidRDefault="007F5505" w:rsidP="00CA24CF">
      <w:pPr>
        <w:pStyle w:val="Prrafodelista"/>
        <w:widowControl/>
        <w:numPr>
          <w:ilvl w:val="0"/>
          <w:numId w:val="60"/>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Estudio geotécnico y mecánica de suelos donde se indique la factibilidad de tener características geológicas y de resistencia mecánica que ofrezcan una seguridad aceptable, de acuerdo con la norma ecuatoriana de la construcción;</w:t>
      </w:r>
    </w:p>
    <w:p w14:paraId="68288107" w14:textId="602C607A" w:rsidR="00DC27E8" w:rsidRPr="00B24A80" w:rsidRDefault="007F5505" w:rsidP="00CA24CF">
      <w:pPr>
        <w:pStyle w:val="Prrafodelista"/>
        <w:widowControl/>
        <w:numPr>
          <w:ilvl w:val="0"/>
          <w:numId w:val="60"/>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Cumplir con la pendiente determinada en el estudio geotécnico y mecánica de suelos, considerando las particularidades del suelo; y,</w:t>
      </w:r>
    </w:p>
    <w:p w14:paraId="74EAC70D" w14:textId="1E29A882" w:rsidR="00DC27E8" w:rsidRPr="00B24A80" w:rsidRDefault="007F5505" w:rsidP="00CA24CF">
      <w:pPr>
        <w:pStyle w:val="Prrafodelista"/>
        <w:widowControl/>
        <w:numPr>
          <w:ilvl w:val="0"/>
          <w:numId w:val="60"/>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Los predios tendrán un trazado perpendicular a las vías, salvo que las características del predio obliguen a otra solución técnica.</w:t>
      </w:r>
    </w:p>
    <w:p w14:paraId="3F3252E0" w14:textId="77777777" w:rsidR="00C11260" w:rsidRPr="00B24A80" w:rsidRDefault="00C11260" w:rsidP="00C11260">
      <w:pPr>
        <w:pStyle w:val="Prrafodelista"/>
        <w:widowControl/>
        <w:pBdr>
          <w:top w:val="nil"/>
          <w:left w:val="nil"/>
          <w:bottom w:val="nil"/>
          <w:right w:val="nil"/>
          <w:between w:val="nil"/>
        </w:pBdr>
        <w:spacing w:line="276" w:lineRule="auto"/>
        <w:ind w:right="-100"/>
        <w:rPr>
          <w:rFonts w:asciiTheme="majorHAnsi" w:hAnsiTheme="majorHAnsi" w:cstheme="majorHAnsi"/>
          <w:szCs w:val="22"/>
        </w:rPr>
      </w:pPr>
    </w:p>
    <w:p w14:paraId="2560035E" w14:textId="56368172" w:rsidR="00AA0A3B" w:rsidRPr="00AA0A3B" w:rsidRDefault="007F5505" w:rsidP="00AA0A3B">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szCs w:val="22"/>
        </w:rPr>
        <w:t xml:space="preserve"> </w:t>
      </w:r>
      <w:r w:rsidRPr="00B24A80">
        <w:rPr>
          <w:rFonts w:asciiTheme="majorHAnsi" w:hAnsiTheme="majorHAnsi" w:cstheme="majorHAnsi"/>
          <w:b/>
          <w:szCs w:val="22"/>
        </w:rPr>
        <w:t>De los sistemas públicos de soporte. -</w:t>
      </w:r>
      <w:r w:rsidRPr="00B24A80">
        <w:rPr>
          <w:rFonts w:asciiTheme="majorHAnsi" w:hAnsiTheme="majorHAnsi" w:cstheme="majorHAnsi"/>
          <w:szCs w:val="22"/>
        </w:rPr>
        <w:t xml:space="preserve"> Los proyectos de urbanización deberán sujetarse a las disposiciones sobre redes de agua potable, alcantarillado, energía eléctrica y telefonía que dispongan los organismos competentes, mediante los informes de factibilidad. Previo a la aprobación de la urbanización se requiere aprobar los proyectos de infraestructura en cada área competente. Es responsabilidad el promotor aprobar los planos de infraestructura</w:t>
      </w:r>
      <w:r w:rsidR="00C11260" w:rsidRPr="00B24A80">
        <w:rPr>
          <w:rFonts w:asciiTheme="majorHAnsi" w:hAnsiTheme="majorHAnsi" w:cstheme="majorHAnsi"/>
          <w:szCs w:val="22"/>
        </w:rPr>
        <w:t xml:space="preserve"> en cada una de las respectivas dependencias</w:t>
      </w:r>
      <w:r w:rsidRPr="00B24A80">
        <w:rPr>
          <w:rFonts w:asciiTheme="majorHAnsi" w:hAnsiTheme="majorHAnsi" w:cstheme="majorHAnsi"/>
          <w:szCs w:val="22"/>
        </w:rPr>
        <w:t xml:space="preserve">. </w:t>
      </w:r>
    </w:p>
    <w:p w14:paraId="6555E3A1" w14:textId="77777777" w:rsidR="00BE0890" w:rsidRPr="00B24A80" w:rsidRDefault="00BE0890" w:rsidP="00BE0890">
      <w:pPr>
        <w:pStyle w:val="Prrafodelista"/>
        <w:widowControl/>
        <w:tabs>
          <w:tab w:val="left" w:pos="851"/>
        </w:tabs>
        <w:spacing w:after="240" w:line="276" w:lineRule="auto"/>
        <w:ind w:left="0" w:right="-100"/>
        <w:rPr>
          <w:rFonts w:asciiTheme="majorHAnsi" w:hAnsiTheme="majorHAnsi" w:cstheme="majorHAnsi"/>
          <w:szCs w:val="22"/>
        </w:rPr>
      </w:pPr>
    </w:p>
    <w:p w14:paraId="3FFF9389" w14:textId="48D7E67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lastRenderedPageBreak/>
        <w:t>Áreas de cesión en fraccionamientos destinadas para áreas verdes, recreativas y equipamiento comunal</w:t>
      </w:r>
      <w:r w:rsidR="00C11260" w:rsidRPr="00B24A80">
        <w:rPr>
          <w:rFonts w:asciiTheme="majorHAnsi" w:hAnsiTheme="majorHAnsi" w:cstheme="majorHAnsi"/>
          <w:szCs w:val="22"/>
        </w:rPr>
        <w:t xml:space="preserve">. - El </w:t>
      </w:r>
      <w:r w:rsidR="006E0959" w:rsidRPr="00B24A80">
        <w:rPr>
          <w:rFonts w:asciiTheme="majorHAnsi" w:hAnsiTheme="majorHAnsi" w:cstheme="majorHAnsi"/>
          <w:szCs w:val="22"/>
        </w:rPr>
        <w:t>GADM del cantón La Joya de los Sachas</w:t>
      </w:r>
      <w:r w:rsidR="00C11260" w:rsidRPr="00B24A80">
        <w:rPr>
          <w:rFonts w:asciiTheme="majorHAnsi" w:hAnsiTheme="majorHAnsi" w:cstheme="majorHAnsi"/>
          <w:szCs w:val="22"/>
        </w:rPr>
        <w:t xml:space="preserve"> </w:t>
      </w:r>
      <w:r w:rsidRPr="00B24A80">
        <w:rPr>
          <w:rFonts w:asciiTheme="majorHAnsi" w:hAnsiTheme="majorHAnsi" w:cstheme="majorHAnsi"/>
          <w:szCs w:val="22"/>
        </w:rPr>
        <w:t>regular</w:t>
      </w:r>
      <w:r w:rsidR="00C11260" w:rsidRPr="00B24A80">
        <w:rPr>
          <w:rFonts w:asciiTheme="majorHAnsi" w:hAnsiTheme="majorHAnsi" w:cstheme="majorHAnsi"/>
          <w:szCs w:val="22"/>
        </w:rPr>
        <w:t>a</w:t>
      </w:r>
      <w:r w:rsidRPr="00B24A80">
        <w:rPr>
          <w:rFonts w:asciiTheme="majorHAnsi" w:hAnsiTheme="majorHAnsi" w:cstheme="majorHAnsi"/>
          <w:szCs w:val="22"/>
        </w:rPr>
        <w:t xml:space="preserve"> mediante ordenanza, las condiciones de la entrega de áreas de cesión destinadas a áreas verdes, recreativas y equipamiento comunal producto de procesos de fraccionamiento por </w:t>
      </w:r>
      <w:r w:rsidR="008B008E">
        <w:rPr>
          <w:rFonts w:asciiTheme="majorHAnsi" w:hAnsiTheme="majorHAnsi" w:cstheme="majorHAnsi"/>
          <w:szCs w:val="22"/>
        </w:rPr>
        <w:t>urbanización</w:t>
      </w:r>
      <w:r w:rsidRPr="00B24A80">
        <w:rPr>
          <w:rFonts w:asciiTheme="majorHAnsi" w:hAnsiTheme="majorHAnsi" w:cstheme="majorHAnsi"/>
          <w:szCs w:val="22"/>
        </w:rPr>
        <w:t xml:space="preserve"> para ser urbanizados. Para dicho efecto se deberán cumplir las siguientes condiciones mínimas: </w:t>
      </w:r>
    </w:p>
    <w:p w14:paraId="4ACBD665" w14:textId="545B5287"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Toda </w:t>
      </w:r>
      <w:r w:rsidR="00F453DA">
        <w:rPr>
          <w:rFonts w:asciiTheme="majorHAnsi" w:hAnsiTheme="majorHAnsi" w:cstheme="majorHAnsi"/>
          <w:szCs w:val="22"/>
        </w:rPr>
        <w:t>urbanización</w:t>
      </w:r>
      <w:r w:rsidRPr="00B24A80">
        <w:rPr>
          <w:rFonts w:asciiTheme="majorHAnsi" w:hAnsiTheme="majorHAnsi" w:cstheme="majorHAnsi"/>
          <w:szCs w:val="22"/>
        </w:rPr>
        <w:t xml:space="preserve"> contemplará áreas verdes, recreativas y equipamiento comunal cuya superficie se determinará en función de las consideraciones establecidas en el COOTAD y la LOOTUGS. No se considerará las vías dentro de las zonas verdes y equipamiento comunal; </w:t>
      </w:r>
    </w:p>
    <w:p w14:paraId="7DF0573D" w14:textId="2CF5B32D" w:rsidR="00DC27E8" w:rsidRPr="00F57393" w:rsidRDefault="007F5505" w:rsidP="00F57393">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La superficie de las áreas verdes, recreativas y comunales será como mínimo el 15% de la superficie útil del predio susceptible de ser urbanizado y se ubicará con frente a una vía pública</w:t>
      </w:r>
      <w:r w:rsidR="002A694E" w:rsidRPr="00B24A80">
        <w:rPr>
          <w:rFonts w:asciiTheme="majorHAnsi" w:hAnsiTheme="majorHAnsi" w:cstheme="majorHAnsi"/>
          <w:szCs w:val="22"/>
        </w:rPr>
        <w:t xml:space="preserve">.  </w:t>
      </w:r>
      <w:r w:rsidRPr="00B24A80">
        <w:rPr>
          <w:rFonts w:asciiTheme="majorHAnsi" w:hAnsiTheme="majorHAnsi" w:cstheme="majorHAnsi"/>
          <w:szCs w:val="22"/>
        </w:rPr>
        <w:t xml:space="preserve">Ninguna zona destinada a este efecto puede ser utilizada para otro uso ni ser objeto de compra-venta </w:t>
      </w:r>
      <w:r w:rsidR="002A694E" w:rsidRPr="00B24A80">
        <w:rPr>
          <w:rFonts w:asciiTheme="majorHAnsi" w:hAnsiTheme="majorHAnsi" w:cstheme="majorHAnsi"/>
          <w:szCs w:val="22"/>
        </w:rPr>
        <w:t>con</w:t>
      </w:r>
      <w:r w:rsidRPr="00B24A80">
        <w:rPr>
          <w:rFonts w:asciiTheme="majorHAnsi" w:hAnsiTheme="majorHAnsi" w:cstheme="majorHAnsi"/>
          <w:szCs w:val="22"/>
        </w:rPr>
        <w:t xml:space="preserve"> partic</w:t>
      </w:r>
      <w:r w:rsidRPr="00AF57CE">
        <w:rPr>
          <w:rFonts w:asciiTheme="majorHAnsi" w:hAnsiTheme="majorHAnsi" w:cstheme="majorHAnsi"/>
          <w:szCs w:val="22"/>
        </w:rPr>
        <w:t xml:space="preserve">ulares; </w:t>
      </w:r>
      <w:r w:rsidR="00F57393" w:rsidRPr="00AF57CE">
        <w:rPr>
          <w:rFonts w:asciiTheme="majorHAnsi" w:hAnsiTheme="majorHAnsi" w:cstheme="majorHAnsi"/>
          <w:szCs w:val="22"/>
        </w:rPr>
        <w:t>así mismo no excederá del 35% del área útil urbanizable del terreno o predio.</w:t>
      </w:r>
    </w:p>
    <w:p w14:paraId="084FABF6" w14:textId="4C75025B"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Deberán tener áreas mínimas que permitan su uso apropiado para recreación activa y/o pasiva; </w:t>
      </w:r>
    </w:p>
    <w:p w14:paraId="7384A5F3" w14:textId="176DE95E"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Deberán ser de dominio y uso público y estar ubicadas de tal manera que permitan el libre acceso y, a distancias apropiadas a pie desde los lotes resultantes del proceso de fraccionamiento; </w:t>
      </w:r>
    </w:p>
    <w:p w14:paraId="42DF5436" w14:textId="5804C794"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Los promotores deberán entregar estas áreas totalmente equipadas y construidas al GADM</w:t>
      </w:r>
      <w:r w:rsidR="004E7D47" w:rsidRPr="00B24A80">
        <w:rPr>
          <w:rFonts w:asciiTheme="majorHAnsi" w:hAnsiTheme="majorHAnsi" w:cstheme="majorHAnsi"/>
          <w:szCs w:val="22"/>
        </w:rPr>
        <w:t xml:space="preserve"> de</w:t>
      </w:r>
      <w:r w:rsidR="00BE0890" w:rsidRPr="00B24A80">
        <w:rPr>
          <w:rFonts w:asciiTheme="majorHAnsi" w:hAnsiTheme="majorHAnsi" w:cstheme="majorHAnsi"/>
          <w:szCs w:val="22"/>
        </w:rPr>
        <w:t>l cantón de</w:t>
      </w:r>
      <w:r w:rsidR="004E7D47" w:rsidRPr="00B24A80">
        <w:rPr>
          <w:rFonts w:asciiTheme="majorHAnsi" w:hAnsiTheme="majorHAnsi" w:cstheme="majorHAnsi"/>
          <w:szCs w:val="22"/>
        </w:rPr>
        <w:t xml:space="preserve"> </w:t>
      </w:r>
      <w:r w:rsidR="00E30701" w:rsidRPr="00B24A80">
        <w:rPr>
          <w:rFonts w:asciiTheme="majorHAnsi" w:eastAsia="Calibri" w:hAnsiTheme="majorHAnsi" w:cstheme="majorHAnsi"/>
          <w:color w:val="000000"/>
          <w:szCs w:val="22"/>
        </w:rPr>
        <w:t>La Joya de los Sachas</w:t>
      </w:r>
      <w:r w:rsidR="004E7D47" w:rsidRPr="00B24A80">
        <w:rPr>
          <w:rFonts w:asciiTheme="majorHAnsi" w:hAnsiTheme="majorHAnsi" w:cstheme="majorHAnsi"/>
          <w:szCs w:val="22"/>
        </w:rPr>
        <w:t xml:space="preserve"> de</w:t>
      </w:r>
      <w:r w:rsidR="00BB2014" w:rsidRPr="00B24A80">
        <w:rPr>
          <w:rFonts w:asciiTheme="majorHAnsi" w:hAnsiTheme="majorHAnsi" w:cstheme="majorHAnsi"/>
          <w:szCs w:val="22"/>
        </w:rPr>
        <w:t xml:space="preserve"> </w:t>
      </w:r>
      <w:r w:rsidRPr="00B24A80">
        <w:rPr>
          <w:rFonts w:asciiTheme="majorHAnsi" w:hAnsiTheme="majorHAnsi" w:cstheme="majorHAnsi"/>
          <w:szCs w:val="22"/>
        </w:rPr>
        <w:t xml:space="preserve">acuerdo a lo estipulado en la normativa nacional y local vigente; </w:t>
      </w:r>
    </w:p>
    <w:p w14:paraId="0CAE7C0E" w14:textId="72E02E4F"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No pueden ser destinadas para espacios verdes, recreativas y equipamiento comunal las áreas afectadas por vías, quebradas, taludes, áreas de protección de riberas de ríos, quebradas y taludes, áreas de protección especial (líneas de alta tensión, oleoductos, poliductos, acueductos, canales de riego, etc.; así como, las vecinas a predios inundables o que presenten pendientes superiores a 30 Grados. Las obras de mitigación de ser el caso se deberán incluir obligatoriamente dentro de las obras de urbanización correspondientes; </w:t>
      </w:r>
    </w:p>
    <w:p w14:paraId="1CD9CFCC" w14:textId="6DFFC334"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Las áreas destinadas a áreas verdes y equipamiento comunal público y servicios deberán ser entrega</w:t>
      </w:r>
      <w:r w:rsidR="002A694E" w:rsidRPr="00B24A80">
        <w:rPr>
          <w:rFonts w:asciiTheme="majorHAnsi" w:hAnsiTheme="majorHAnsi" w:cstheme="majorHAnsi"/>
          <w:szCs w:val="22"/>
        </w:rPr>
        <w:t>da</w:t>
      </w:r>
      <w:r w:rsidRPr="00B24A80">
        <w:rPr>
          <w:rFonts w:asciiTheme="majorHAnsi" w:hAnsiTheme="majorHAnsi" w:cstheme="majorHAnsi"/>
          <w:szCs w:val="22"/>
        </w:rPr>
        <w:t xml:space="preserve">s por los promotores a la Municipalidad totalmente terminadas de acuerdo al proyecto aprobado y previo informe de la entidad competente del </w:t>
      </w:r>
      <w:r w:rsidR="004E7D47" w:rsidRPr="00B24A80">
        <w:rPr>
          <w:rFonts w:asciiTheme="majorHAnsi" w:hAnsiTheme="majorHAnsi" w:cstheme="majorHAnsi"/>
          <w:szCs w:val="22"/>
        </w:rPr>
        <w:t>GADM de</w:t>
      </w:r>
      <w:r w:rsidR="00BE0890" w:rsidRPr="00B24A80">
        <w:rPr>
          <w:rFonts w:asciiTheme="majorHAnsi" w:hAnsiTheme="majorHAnsi" w:cstheme="majorHAnsi"/>
          <w:szCs w:val="22"/>
        </w:rPr>
        <w:t>l cantón de</w:t>
      </w:r>
      <w:r w:rsidR="004E7D47" w:rsidRPr="00B24A80">
        <w:rPr>
          <w:rFonts w:asciiTheme="majorHAnsi" w:hAnsiTheme="majorHAnsi" w:cstheme="majorHAnsi"/>
          <w:szCs w:val="22"/>
        </w:rPr>
        <w:t xml:space="preserve"> </w:t>
      </w:r>
      <w:r w:rsidR="00BE0890" w:rsidRPr="00B24A80">
        <w:rPr>
          <w:rFonts w:asciiTheme="majorHAnsi" w:eastAsia="Calibri" w:hAnsiTheme="majorHAnsi" w:cstheme="majorHAnsi"/>
          <w:color w:val="000000"/>
          <w:szCs w:val="22"/>
        </w:rPr>
        <w:t>l</w:t>
      </w:r>
      <w:r w:rsidR="00E30701" w:rsidRPr="00B24A80">
        <w:rPr>
          <w:rFonts w:asciiTheme="majorHAnsi" w:eastAsia="Calibri" w:hAnsiTheme="majorHAnsi" w:cstheme="majorHAnsi"/>
          <w:color w:val="000000"/>
          <w:szCs w:val="22"/>
        </w:rPr>
        <w:t>a Joya de los Sachas</w:t>
      </w:r>
      <w:r w:rsidRPr="00B24A80">
        <w:rPr>
          <w:rFonts w:asciiTheme="majorHAnsi" w:hAnsiTheme="majorHAnsi" w:cstheme="majorHAnsi"/>
          <w:szCs w:val="22"/>
        </w:rPr>
        <w:t>, de acuerdo a lo estipulado en la normativa nacional y local vigente;</w:t>
      </w:r>
    </w:p>
    <w:p w14:paraId="6B058D1D" w14:textId="3E12B2EF"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El mantenimiento de las áreas comunales es responsabilidad del promotor hasta su entrega oficial al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w:t>
      </w:r>
    </w:p>
    <w:p w14:paraId="4F0380BA" w14:textId="57EC09CC" w:rsidR="00DC27E8" w:rsidRPr="00B24A80" w:rsidRDefault="00C85623"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El Gobierno M</w:t>
      </w:r>
      <w:r w:rsidR="007F5505" w:rsidRPr="00B24A80">
        <w:rPr>
          <w:rFonts w:asciiTheme="majorHAnsi" w:hAnsiTheme="majorHAnsi" w:cstheme="majorHAnsi"/>
          <w:szCs w:val="22"/>
        </w:rPr>
        <w:t xml:space="preserve">unicipal determinó en sus instrumentos de planificación las necesidades de equipamientos públicos, los mismos que podrán ser ubicados dentro de </w:t>
      </w:r>
      <w:r w:rsidR="00763456" w:rsidRPr="00B24A80">
        <w:rPr>
          <w:rFonts w:asciiTheme="majorHAnsi" w:hAnsiTheme="majorHAnsi" w:cstheme="majorHAnsi"/>
          <w:szCs w:val="22"/>
        </w:rPr>
        <w:t>estas</w:t>
      </w:r>
      <w:r w:rsidR="007F5505" w:rsidRPr="00B24A80">
        <w:rPr>
          <w:rFonts w:asciiTheme="majorHAnsi" w:hAnsiTheme="majorHAnsi" w:cstheme="majorHAnsi"/>
          <w:szCs w:val="22"/>
        </w:rPr>
        <w:t xml:space="preserve"> áreas de cesión, para lo cual deberá proporcionar al administrador la información correspondiente y facilitará los procesos de coordinación con las instituciones del caso; y, </w:t>
      </w:r>
    </w:p>
    <w:p w14:paraId="546E4EB0" w14:textId="0D3514E2" w:rsidR="00DC27E8" w:rsidRPr="00B24A80" w:rsidRDefault="007F5505" w:rsidP="009F132D">
      <w:pPr>
        <w:pStyle w:val="Prrafodelista"/>
        <w:widowControl/>
        <w:numPr>
          <w:ilvl w:val="0"/>
          <w:numId w:val="57"/>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Para el mantenimiento adecuado de estos espacios públicos, el GADM</w:t>
      </w:r>
      <w:r w:rsidR="004E7D47" w:rsidRPr="00B24A80">
        <w:rPr>
          <w:rFonts w:asciiTheme="majorHAnsi" w:hAnsiTheme="majorHAnsi" w:cstheme="majorHAnsi"/>
          <w:szCs w:val="22"/>
        </w:rPr>
        <w:t xml:space="preserve"> </w:t>
      </w:r>
      <w:r w:rsidR="00BE0890" w:rsidRPr="00B24A80">
        <w:rPr>
          <w:rFonts w:asciiTheme="majorHAnsi" w:hAnsiTheme="majorHAnsi" w:cstheme="majorHAnsi"/>
          <w:szCs w:val="22"/>
        </w:rPr>
        <w:t xml:space="preserve">del cantón </w:t>
      </w:r>
      <w:r w:rsidR="004E7D47" w:rsidRPr="00B24A80">
        <w:rPr>
          <w:rFonts w:asciiTheme="majorHAnsi" w:hAnsiTheme="majorHAnsi" w:cstheme="majorHAnsi"/>
          <w:szCs w:val="22"/>
        </w:rPr>
        <w:t xml:space="preserve">de </w:t>
      </w:r>
      <w:r w:rsidR="00E30701" w:rsidRPr="00B24A80">
        <w:rPr>
          <w:rFonts w:asciiTheme="majorHAnsi" w:eastAsia="Calibri" w:hAnsiTheme="majorHAnsi" w:cstheme="majorHAnsi"/>
          <w:color w:val="000000"/>
          <w:szCs w:val="22"/>
        </w:rPr>
        <w:t>La Joya de los Sachas</w:t>
      </w:r>
      <w:r w:rsidR="004E7D47" w:rsidRPr="00B24A80">
        <w:rPr>
          <w:rFonts w:asciiTheme="majorHAnsi" w:eastAsia="Calibri" w:hAnsiTheme="majorHAnsi" w:cstheme="majorHAnsi"/>
          <w:color w:val="000000"/>
          <w:szCs w:val="22"/>
        </w:rPr>
        <w:t>,</w:t>
      </w:r>
      <w:r w:rsidRPr="00B24A80">
        <w:rPr>
          <w:rFonts w:asciiTheme="majorHAnsi" w:hAnsiTheme="majorHAnsi" w:cstheme="majorHAnsi"/>
          <w:szCs w:val="22"/>
        </w:rPr>
        <w:t xml:space="preserve"> podrá celebrar acuerdos con organizaciones de vecinos o similares, lo cual no significará en ningún caso la generación ni reconocimiento de derechos de </w:t>
      </w:r>
      <w:r w:rsidRPr="00B24A80">
        <w:rPr>
          <w:rFonts w:asciiTheme="majorHAnsi" w:hAnsiTheme="majorHAnsi" w:cstheme="majorHAnsi"/>
          <w:szCs w:val="22"/>
        </w:rPr>
        <w:lastRenderedPageBreak/>
        <w:t>privados sobre estos bienes públicos, los cuales se mantendrán siempre de libre acceso y propiedad pública según lo determinado en la Ley.</w:t>
      </w:r>
    </w:p>
    <w:p w14:paraId="68C856A1" w14:textId="77777777" w:rsidR="002A694E" w:rsidRPr="00B24A80" w:rsidRDefault="002A694E" w:rsidP="002A694E">
      <w:pPr>
        <w:pStyle w:val="Prrafodelista"/>
        <w:widowControl/>
        <w:pBdr>
          <w:top w:val="nil"/>
          <w:left w:val="nil"/>
          <w:bottom w:val="nil"/>
          <w:right w:val="nil"/>
          <w:between w:val="nil"/>
        </w:pBdr>
        <w:spacing w:line="276" w:lineRule="auto"/>
        <w:ind w:right="-100"/>
        <w:rPr>
          <w:rFonts w:asciiTheme="majorHAnsi" w:hAnsiTheme="majorHAnsi" w:cstheme="majorHAnsi"/>
          <w:szCs w:val="22"/>
        </w:rPr>
      </w:pPr>
    </w:p>
    <w:p w14:paraId="26CD9E17" w14:textId="58100E75" w:rsidR="00DC27E8" w:rsidRPr="00B24A80" w:rsidRDefault="003B596F"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w:t>
      </w:r>
      <w:r w:rsidR="007F5505" w:rsidRPr="00B24A80">
        <w:rPr>
          <w:rFonts w:asciiTheme="majorHAnsi" w:hAnsiTheme="majorHAnsi" w:cstheme="majorHAnsi"/>
          <w:b/>
          <w:szCs w:val="22"/>
        </w:rPr>
        <w:t xml:space="preserve">Del sistema </w:t>
      </w:r>
      <w:r w:rsidRPr="00B24A80">
        <w:rPr>
          <w:rFonts w:asciiTheme="majorHAnsi" w:hAnsiTheme="majorHAnsi" w:cstheme="majorHAnsi"/>
          <w:b/>
          <w:szCs w:val="22"/>
        </w:rPr>
        <w:t>vial. -</w:t>
      </w:r>
      <w:r w:rsidR="007F5505" w:rsidRPr="00B24A80">
        <w:rPr>
          <w:rFonts w:asciiTheme="majorHAnsi" w:hAnsiTheme="majorHAnsi" w:cstheme="majorHAnsi"/>
          <w:szCs w:val="22"/>
        </w:rPr>
        <w:t xml:space="preserve"> En lo referente a la planificación de vías, el proyecto de urbanización, se someterá al cumplimiento de la Norma Ecuatoriana de Construcción, capítulo NEC-HS-AU: Accesibilidad Universal, la Norma Ecuatoriana Vial (NEVI) y las de demás normas nacionales y locales vigentes. </w:t>
      </w:r>
    </w:p>
    <w:tbl>
      <w:tblPr>
        <w:tblW w:w="0" w:type="auto"/>
        <w:tblLook w:val="04A0" w:firstRow="1" w:lastRow="0" w:firstColumn="1" w:lastColumn="0" w:noHBand="0" w:noVBand="1"/>
      </w:tblPr>
      <w:tblGrid>
        <w:gridCol w:w="4073"/>
        <w:gridCol w:w="1898"/>
        <w:gridCol w:w="2507"/>
      </w:tblGrid>
      <w:tr w:rsidR="009626ED" w:rsidRPr="00C822E0" w14:paraId="215FB9A1" w14:textId="77777777" w:rsidTr="009E73C4">
        <w:trPr>
          <w:cantSplit/>
          <w:trHeight w:val="20"/>
        </w:trPr>
        <w:tc>
          <w:tcPr>
            <w:tcW w:w="0" w:type="auto"/>
            <w:gridSpan w:val="3"/>
            <w:tcBorders>
              <w:top w:val="single" w:sz="8" w:space="0" w:color="auto"/>
              <w:left w:val="single" w:sz="8" w:space="0" w:color="auto"/>
              <w:bottom w:val="nil"/>
              <w:right w:val="single" w:sz="8" w:space="0" w:color="000000"/>
            </w:tcBorders>
            <w:shd w:val="clear" w:color="auto" w:fill="A6A6A6" w:themeFill="background1" w:themeFillShade="A6"/>
            <w:noWrap/>
            <w:vAlign w:val="bottom"/>
            <w:hideMark/>
          </w:tcPr>
          <w:p w14:paraId="2DBC06DB"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CLASIFICACION DE VIAS SEGÚN SU DESEMPEÑO</w:t>
            </w:r>
          </w:p>
        </w:tc>
      </w:tr>
      <w:tr w:rsidR="009626ED" w:rsidRPr="00C822E0" w14:paraId="656B0063" w14:textId="77777777" w:rsidTr="009E73C4">
        <w:trPr>
          <w:cantSplit/>
          <w:trHeight w:val="20"/>
        </w:trPr>
        <w:tc>
          <w:tcPr>
            <w:tcW w:w="0" w:type="auto"/>
            <w:tcBorders>
              <w:top w:val="single" w:sz="8" w:space="0" w:color="auto"/>
              <w:left w:val="single" w:sz="8" w:space="0" w:color="auto"/>
              <w:bottom w:val="nil"/>
              <w:right w:val="single" w:sz="4" w:space="0" w:color="auto"/>
            </w:tcBorders>
            <w:shd w:val="clear" w:color="auto" w:fill="A6A6A6" w:themeFill="background1" w:themeFillShade="A6"/>
            <w:noWrap/>
            <w:vAlign w:val="bottom"/>
            <w:hideMark/>
          </w:tcPr>
          <w:p w14:paraId="7061268F"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TIPO</w:t>
            </w:r>
          </w:p>
        </w:tc>
        <w:tc>
          <w:tcPr>
            <w:tcW w:w="0" w:type="auto"/>
            <w:tcBorders>
              <w:top w:val="single" w:sz="8" w:space="0" w:color="auto"/>
              <w:left w:val="nil"/>
              <w:bottom w:val="nil"/>
              <w:right w:val="single" w:sz="4" w:space="0" w:color="auto"/>
            </w:tcBorders>
            <w:shd w:val="clear" w:color="auto" w:fill="A6A6A6" w:themeFill="background1" w:themeFillShade="A6"/>
            <w:vAlign w:val="bottom"/>
            <w:hideMark/>
          </w:tcPr>
          <w:p w14:paraId="5A112A51"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ANCHO TOTAL (m)</w:t>
            </w:r>
          </w:p>
        </w:tc>
        <w:tc>
          <w:tcPr>
            <w:tcW w:w="0" w:type="auto"/>
            <w:tcBorders>
              <w:top w:val="single" w:sz="8" w:space="0" w:color="auto"/>
              <w:left w:val="nil"/>
              <w:bottom w:val="nil"/>
              <w:right w:val="single" w:sz="8" w:space="0" w:color="auto"/>
            </w:tcBorders>
            <w:shd w:val="clear" w:color="auto" w:fill="A6A6A6" w:themeFill="background1" w:themeFillShade="A6"/>
            <w:vAlign w:val="bottom"/>
            <w:hideMark/>
          </w:tcPr>
          <w:p w14:paraId="5F9154B1"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PENDIENTE MAXIMA (%)</w:t>
            </w:r>
          </w:p>
        </w:tc>
      </w:tr>
      <w:tr w:rsidR="009626ED" w:rsidRPr="00C822E0" w14:paraId="27C03634" w14:textId="77777777" w:rsidTr="009E73C4">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FAB9FE" w14:textId="7BC1C24F"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 xml:space="preserve">Camino </w:t>
            </w:r>
            <w:r w:rsidR="00A35002">
              <w:rPr>
                <w:rFonts w:ascii="Times New Roman" w:hAnsi="Times New Roman" w:cs="Times New Roman"/>
                <w:sz w:val="22"/>
                <w:szCs w:val="22"/>
              </w:rPr>
              <w:t>Rural</w:t>
            </w:r>
            <w:r w:rsidRPr="00C822E0">
              <w:rPr>
                <w:rFonts w:ascii="Times New Roman" w:hAnsi="Times New Roman" w:cs="Times New Roman"/>
                <w:sz w:val="22"/>
                <w:szCs w:val="22"/>
              </w:rPr>
              <w:t xml:space="preserve"> / forestal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1BE31EC"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688DECBE"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16</w:t>
            </w:r>
          </w:p>
        </w:tc>
      </w:tr>
      <w:tr w:rsidR="009626ED" w:rsidRPr="00C822E0" w14:paraId="741508D8" w14:textId="77777777" w:rsidTr="009E73C4">
        <w:trPr>
          <w:cantSplit/>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EC2210"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Camino básico</w:t>
            </w:r>
          </w:p>
        </w:tc>
        <w:tc>
          <w:tcPr>
            <w:tcW w:w="0" w:type="auto"/>
            <w:tcBorders>
              <w:top w:val="nil"/>
              <w:left w:val="nil"/>
              <w:bottom w:val="single" w:sz="4" w:space="0" w:color="auto"/>
              <w:right w:val="single" w:sz="4" w:space="0" w:color="auto"/>
            </w:tcBorders>
            <w:shd w:val="clear" w:color="auto" w:fill="auto"/>
            <w:noWrap/>
            <w:vAlign w:val="bottom"/>
            <w:hideMark/>
          </w:tcPr>
          <w:p w14:paraId="64E389FD"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9</w:t>
            </w:r>
          </w:p>
        </w:tc>
        <w:tc>
          <w:tcPr>
            <w:tcW w:w="0" w:type="auto"/>
            <w:tcBorders>
              <w:top w:val="nil"/>
              <w:left w:val="nil"/>
              <w:bottom w:val="single" w:sz="4" w:space="0" w:color="auto"/>
              <w:right w:val="single" w:sz="8" w:space="0" w:color="auto"/>
            </w:tcBorders>
            <w:shd w:val="clear" w:color="auto" w:fill="auto"/>
            <w:noWrap/>
            <w:vAlign w:val="bottom"/>
            <w:hideMark/>
          </w:tcPr>
          <w:p w14:paraId="0831A85F"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14</w:t>
            </w:r>
          </w:p>
        </w:tc>
      </w:tr>
      <w:tr w:rsidR="009626ED" w:rsidRPr="00C822E0" w14:paraId="4CFD432A" w14:textId="77777777" w:rsidTr="009E73C4">
        <w:trPr>
          <w:cantSplit/>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01397B"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Carretera convencional básica</w:t>
            </w:r>
          </w:p>
        </w:tc>
        <w:tc>
          <w:tcPr>
            <w:tcW w:w="0" w:type="auto"/>
            <w:tcBorders>
              <w:top w:val="nil"/>
              <w:left w:val="nil"/>
              <w:bottom w:val="single" w:sz="4" w:space="0" w:color="auto"/>
              <w:right w:val="single" w:sz="4" w:space="0" w:color="auto"/>
            </w:tcBorders>
            <w:shd w:val="clear" w:color="auto" w:fill="auto"/>
            <w:noWrap/>
            <w:vAlign w:val="bottom"/>
            <w:hideMark/>
          </w:tcPr>
          <w:p w14:paraId="58071CFE"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12</w:t>
            </w:r>
          </w:p>
        </w:tc>
        <w:tc>
          <w:tcPr>
            <w:tcW w:w="0" w:type="auto"/>
            <w:tcBorders>
              <w:top w:val="nil"/>
              <w:left w:val="nil"/>
              <w:bottom w:val="single" w:sz="4" w:space="0" w:color="auto"/>
              <w:right w:val="single" w:sz="8" w:space="0" w:color="auto"/>
            </w:tcBorders>
            <w:shd w:val="clear" w:color="auto" w:fill="auto"/>
            <w:noWrap/>
            <w:vAlign w:val="bottom"/>
            <w:hideMark/>
          </w:tcPr>
          <w:p w14:paraId="23F01909"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10</w:t>
            </w:r>
          </w:p>
        </w:tc>
      </w:tr>
      <w:tr w:rsidR="009626ED" w:rsidRPr="00C822E0" w14:paraId="5F27EB34" w14:textId="77777777" w:rsidTr="009E73C4">
        <w:trPr>
          <w:cantSplit/>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B067461"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Carretera de mediana capacidad normal</w:t>
            </w:r>
          </w:p>
        </w:tc>
        <w:tc>
          <w:tcPr>
            <w:tcW w:w="0" w:type="auto"/>
            <w:tcBorders>
              <w:top w:val="nil"/>
              <w:left w:val="nil"/>
              <w:bottom w:val="single" w:sz="4" w:space="0" w:color="auto"/>
              <w:right w:val="single" w:sz="4" w:space="0" w:color="auto"/>
            </w:tcBorders>
            <w:shd w:val="clear" w:color="auto" w:fill="auto"/>
            <w:noWrap/>
            <w:vAlign w:val="bottom"/>
            <w:hideMark/>
          </w:tcPr>
          <w:p w14:paraId="31AB8A13"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14,3</w:t>
            </w:r>
          </w:p>
        </w:tc>
        <w:tc>
          <w:tcPr>
            <w:tcW w:w="0" w:type="auto"/>
            <w:tcBorders>
              <w:top w:val="nil"/>
              <w:left w:val="nil"/>
              <w:bottom w:val="single" w:sz="4" w:space="0" w:color="auto"/>
              <w:right w:val="single" w:sz="8" w:space="0" w:color="auto"/>
            </w:tcBorders>
            <w:shd w:val="clear" w:color="auto" w:fill="auto"/>
            <w:noWrap/>
            <w:vAlign w:val="bottom"/>
            <w:hideMark/>
          </w:tcPr>
          <w:p w14:paraId="1CDCD6C4"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8</w:t>
            </w:r>
          </w:p>
        </w:tc>
      </w:tr>
      <w:tr w:rsidR="009626ED" w:rsidRPr="00C822E0" w14:paraId="3BF57F61" w14:textId="77777777" w:rsidTr="009E73C4">
        <w:trPr>
          <w:cantSplit/>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977071B"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Carretera de mediana capacidad excepcional</w:t>
            </w:r>
          </w:p>
        </w:tc>
        <w:tc>
          <w:tcPr>
            <w:tcW w:w="0" w:type="auto"/>
            <w:tcBorders>
              <w:top w:val="nil"/>
              <w:left w:val="nil"/>
              <w:bottom w:val="single" w:sz="4" w:space="0" w:color="auto"/>
              <w:right w:val="single" w:sz="4" w:space="0" w:color="auto"/>
            </w:tcBorders>
            <w:shd w:val="clear" w:color="auto" w:fill="auto"/>
            <w:noWrap/>
            <w:vAlign w:val="bottom"/>
            <w:hideMark/>
          </w:tcPr>
          <w:p w14:paraId="065848CA"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18</w:t>
            </w:r>
          </w:p>
        </w:tc>
        <w:tc>
          <w:tcPr>
            <w:tcW w:w="0" w:type="auto"/>
            <w:tcBorders>
              <w:top w:val="nil"/>
              <w:left w:val="nil"/>
              <w:bottom w:val="single" w:sz="4" w:space="0" w:color="auto"/>
              <w:right w:val="single" w:sz="8" w:space="0" w:color="auto"/>
            </w:tcBorders>
            <w:shd w:val="clear" w:color="auto" w:fill="auto"/>
            <w:noWrap/>
            <w:vAlign w:val="bottom"/>
            <w:hideMark/>
          </w:tcPr>
          <w:p w14:paraId="03ED26C8"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8</w:t>
            </w:r>
          </w:p>
        </w:tc>
      </w:tr>
      <w:tr w:rsidR="009626ED" w:rsidRPr="00C822E0" w14:paraId="2D1B9649" w14:textId="77777777" w:rsidTr="009E73C4">
        <w:trPr>
          <w:cantSplit/>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42472F8"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Vías de alta capacidad interurbana normal</w:t>
            </w:r>
          </w:p>
        </w:tc>
        <w:tc>
          <w:tcPr>
            <w:tcW w:w="0" w:type="auto"/>
            <w:tcBorders>
              <w:top w:val="nil"/>
              <w:left w:val="nil"/>
              <w:bottom w:val="single" w:sz="4" w:space="0" w:color="auto"/>
              <w:right w:val="single" w:sz="4" w:space="0" w:color="auto"/>
            </w:tcBorders>
            <w:shd w:val="clear" w:color="auto" w:fill="auto"/>
            <w:noWrap/>
            <w:vAlign w:val="bottom"/>
            <w:hideMark/>
          </w:tcPr>
          <w:p w14:paraId="155B7FEB"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26,6</w:t>
            </w:r>
          </w:p>
        </w:tc>
        <w:tc>
          <w:tcPr>
            <w:tcW w:w="0" w:type="auto"/>
            <w:tcBorders>
              <w:top w:val="nil"/>
              <w:left w:val="nil"/>
              <w:bottom w:val="single" w:sz="4" w:space="0" w:color="auto"/>
              <w:right w:val="single" w:sz="8" w:space="0" w:color="auto"/>
            </w:tcBorders>
            <w:shd w:val="clear" w:color="auto" w:fill="auto"/>
            <w:noWrap/>
            <w:vAlign w:val="bottom"/>
            <w:hideMark/>
          </w:tcPr>
          <w:p w14:paraId="72471C75"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6</w:t>
            </w:r>
          </w:p>
        </w:tc>
      </w:tr>
      <w:tr w:rsidR="009626ED" w:rsidRPr="00C822E0" w14:paraId="02FE69DD" w14:textId="77777777" w:rsidTr="009E73C4">
        <w:trPr>
          <w:cantSplit/>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6614A03"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Vías de alta capacidad interurbana excepcional.</w:t>
            </w:r>
          </w:p>
        </w:tc>
        <w:tc>
          <w:tcPr>
            <w:tcW w:w="0" w:type="auto"/>
            <w:tcBorders>
              <w:top w:val="nil"/>
              <w:left w:val="nil"/>
              <w:bottom w:val="single" w:sz="4" w:space="0" w:color="auto"/>
              <w:right w:val="single" w:sz="4" w:space="0" w:color="auto"/>
            </w:tcBorders>
            <w:shd w:val="clear" w:color="auto" w:fill="auto"/>
            <w:noWrap/>
            <w:vAlign w:val="bottom"/>
            <w:hideMark/>
          </w:tcPr>
          <w:p w14:paraId="2D610040"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34,6</w:t>
            </w:r>
          </w:p>
        </w:tc>
        <w:tc>
          <w:tcPr>
            <w:tcW w:w="0" w:type="auto"/>
            <w:tcBorders>
              <w:top w:val="nil"/>
              <w:left w:val="nil"/>
              <w:bottom w:val="single" w:sz="4" w:space="0" w:color="auto"/>
              <w:right w:val="single" w:sz="8" w:space="0" w:color="auto"/>
            </w:tcBorders>
            <w:shd w:val="clear" w:color="auto" w:fill="auto"/>
            <w:noWrap/>
            <w:vAlign w:val="bottom"/>
            <w:hideMark/>
          </w:tcPr>
          <w:p w14:paraId="7D5362B3"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6</w:t>
            </w:r>
          </w:p>
        </w:tc>
      </w:tr>
      <w:tr w:rsidR="009626ED" w:rsidRPr="00C822E0" w14:paraId="1CA655D6" w14:textId="77777777" w:rsidTr="009E73C4">
        <w:trPr>
          <w:cantSplit/>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752FE812" w14:textId="77777777" w:rsidR="009626ED" w:rsidRPr="00C822E0" w:rsidRDefault="009626ED" w:rsidP="000753F8">
            <w:pPr>
              <w:rPr>
                <w:rFonts w:ascii="Times New Roman" w:hAnsi="Times New Roman" w:cs="Times New Roman"/>
                <w:sz w:val="22"/>
                <w:szCs w:val="22"/>
              </w:rPr>
            </w:pPr>
            <w:r w:rsidRPr="00C822E0">
              <w:rPr>
                <w:rFonts w:ascii="Times New Roman" w:hAnsi="Times New Roman" w:cs="Times New Roman"/>
                <w:sz w:val="22"/>
                <w:szCs w:val="22"/>
              </w:rPr>
              <w:t>vías de alta Capacidad Urbana o Periurbana</w:t>
            </w:r>
          </w:p>
        </w:tc>
        <w:tc>
          <w:tcPr>
            <w:tcW w:w="0" w:type="auto"/>
            <w:tcBorders>
              <w:top w:val="nil"/>
              <w:left w:val="nil"/>
              <w:bottom w:val="single" w:sz="8" w:space="0" w:color="auto"/>
              <w:right w:val="single" w:sz="4" w:space="0" w:color="auto"/>
            </w:tcBorders>
            <w:shd w:val="clear" w:color="auto" w:fill="auto"/>
            <w:noWrap/>
            <w:vAlign w:val="bottom"/>
            <w:hideMark/>
          </w:tcPr>
          <w:p w14:paraId="49E701DD"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48,6</w:t>
            </w:r>
          </w:p>
        </w:tc>
        <w:tc>
          <w:tcPr>
            <w:tcW w:w="0" w:type="auto"/>
            <w:tcBorders>
              <w:top w:val="nil"/>
              <w:left w:val="nil"/>
              <w:bottom w:val="single" w:sz="8" w:space="0" w:color="auto"/>
              <w:right w:val="single" w:sz="8" w:space="0" w:color="auto"/>
            </w:tcBorders>
            <w:shd w:val="clear" w:color="auto" w:fill="auto"/>
            <w:noWrap/>
            <w:vAlign w:val="bottom"/>
            <w:hideMark/>
          </w:tcPr>
          <w:p w14:paraId="3E3F477D" w14:textId="77777777" w:rsidR="009626ED" w:rsidRPr="00C822E0" w:rsidRDefault="009626ED" w:rsidP="000753F8">
            <w:pPr>
              <w:jc w:val="center"/>
              <w:rPr>
                <w:rFonts w:ascii="Times New Roman" w:hAnsi="Times New Roman" w:cs="Times New Roman"/>
                <w:sz w:val="22"/>
                <w:szCs w:val="22"/>
              </w:rPr>
            </w:pPr>
            <w:r w:rsidRPr="00C822E0">
              <w:rPr>
                <w:rFonts w:ascii="Times New Roman" w:hAnsi="Times New Roman" w:cs="Times New Roman"/>
                <w:sz w:val="22"/>
                <w:szCs w:val="22"/>
              </w:rPr>
              <w:t>8</w:t>
            </w:r>
          </w:p>
        </w:tc>
      </w:tr>
    </w:tbl>
    <w:p w14:paraId="59A7682B" w14:textId="77777777" w:rsidR="008B1E37" w:rsidRPr="008B1E37" w:rsidRDefault="008B1E37" w:rsidP="008B1E37">
      <w:pPr>
        <w:jc w:val="right"/>
        <w:rPr>
          <w:color w:val="FF0000"/>
          <w:sz w:val="22"/>
          <w:szCs w:val="22"/>
          <w:lang w:val="es-CO"/>
        </w:rPr>
      </w:pPr>
    </w:p>
    <w:p w14:paraId="39369E44" w14:textId="4A000CC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la aprobación de anteproyecto de</w:t>
      </w:r>
      <w:r w:rsidR="004E5C04">
        <w:rPr>
          <w:rFonts w:asciiTheme="majorHAnsi" w:hAnsiTheme="majorHAnsi" w:cstheme="majorHAnsi"/>
          <w:b/>
          <w:szCs w:val="22"/>
        </w:rPr>
        <w:t xml:space="preserve"> </w:t>
      </w:r>
      <w:r w:rsidR="004E5C04" w:rsidRPr="00F41A29">
        <w:rPr>
          <w:rFonts w:asciiTheme="majorHAnsi" w:hAnsiTheme="majorHAnsi" w:cstheme="majorHAnsi"/>
          <w:b/>
          <w:szCs w:val="22"/>
        </w:rPr>
        <w:t>urbanización</w:t>
      </w:r>
      <w:r w:rsidR="007644F6" w:rsidRPr="00B24A80">
        <w:rPr>
          <w:rFonts w:asciiTheme="majorHAnsi" w:hAnsiTheme="majorHAnsi" w:cstheme="majorHAnsi"/>
          <w:b/>
          <w:szCs w:val="22"/>
        </w:rPr>
        <w:t>. -</w:t>
      </w:r>
      <w:r w:rsidRPr="00B24A80">
        <w:rPr>
          <w:rFonts w:asciiTheme="majorHAnsi" w:hAnsiTheme="majorHAnsi" w:cstheme="majorHAnsi"/>
          <w:b/>
          <w:szCs w:val="22"/>
        </w:rPr>
        <w:t xml:space="preserve"> </w:t>
      </w:r>
      <w:r w:rsidRPr="00B24A80">
        <w:rPr>
          <w:rFonts w:asciiTheme="majorHAnsi" w:hAnsiTheme="majorHAnsi" w:cstheme="majorHAnsi"/>
          <w:szCs w:val="22"/>
        </w:rPr>
        <w:t>Será responsabilidad del solicitante, presentar los siguientes documentos para iniciar el trámite:</w:t>
      </w:r>
    </w:p>
    <w:p w14:paraId="7F625C3C" w14:textId="68D5EE87" w:rsidR="00DC27E8" w:rsidRPr="00B24A80" w:rsidRDefault="007F5505" w:rsidP="009F132D">
      <w:pPr>
        <w:pStyle w:val="Prrafodelista"/>
        <w:widowControl/>
        <w:numPr>
          <w:ilvl w:val="0"/>
          <w:numId w:val="58"/>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Solicitud suscrita por el</w:t>
      </w:r>
      <w:r w:rsidR="00387AAD">
        <w:rPr>
          <w:rFonts w:asciiTheme="majorHAnsi" w:hAnsiTheme="majorHAnsi" w:cstheme="majorHAnsi"/>
          <w:szCs w:val="22"/>
        </w:rPr>
        <w:t xml:space="preserve"> o los </w:t>
      </w:r>
      <w:r w:rsidRPr="00B24A80">
        <w:rPr>
          <w:rFonts w:asciiTheme="majorHAnsi" w:hAnsiTheme="majorHAnsi" w:cstheme="majorHAnsi"/>
          <w:szCs w:val="22"/>
        </w:rPr>
        <w:t>propietario</w:t>
      </w:r>
      <w:r w:rsidR="00387AAD">
        <w:rPr>
          <w:rFonts w:asciiTheme="majorHAnsi" w:hAnsiTheme="majorHAnsi" w:cstheme="majorHAnsi"/>
          <w:szCs w:val="22"/>
        </w:rPr>
        <w:t>s</w:t>
      </w:r>
      <w:r w:rsidR="00F41A29">
        <w:rPr>
          <w:rFonts w:asciiTheme="majorHAnsi" w:hAnsiTheme="majorHAnsi" w:cstheme="majorHAnsi"/>
          <w:szCs w:val="22"/>
        </w:rPr>
        <w:t xml:space="preserve"> </w:t>
      </w:r>
      <w:r w:rsidRPr="00B24A80">
        <w:rPr>
          <w:rFonts w:asciiTheme="majorHAnsi" w:hAnsiTheme="majorHAnsi" w:cstheme="majorHAnsi"/>
          <w:szCs w:val="22"/>
        </w:rPr>
        <w:t xml:space="preserve">responsable dirigido al Director de Planificación, de acuerdo al formato establecido por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w:t>
      </w:r>
    </w:p>
    <w:p w14:paraId="7B795936" w14:textId="722CAC4D" w:rsidR="00DC27E8" w:rsidRPr="006674EA" w:rsidRDefault="007F5505" w:rsidP="009F132D">
      <w:pPr>
        <w:pStyle w:val="Prrafodelista"/>
        <w:widowControl/>
        <w:numPr>
          <w:ilvl w:val="0"/>
          <w:numId w:val="58"/>
        </w:numPr>
        <w:pBdr>
          <w:top w:val="nil"/>
          <w:left w:val="nil"/>
          <w:bottom w:val="nil"/>
          <w:right w:val="nil"/>
          <w:between w:val="nil"/>
        </w:pBdr>
        <w:spacing w:line="276" w:lineRule="auto"/>
        <w:ind w:right="-100"/>
        <w:rPr>
          <w:rFonts w:asciiTheme="majorHAnsi" w:hAnsiTheme="majorHAnsi" w:cstheme="majorHAnsi"/>
          <w:szCs w:val="22"/>
        </w:rPr>
      </w:pPr>
      <w:r w:rsidRPr="006674EA">
        <w:rPr>
          <w:rFonts w:asciiTheme="majorHAnsi" w:hAnsiTheme="majorHAnsi" w:cstheme="majorHAnsi"/>
          <w:szCs w:val="22"/>
        </w:rPr>
        <w:t>En caso de que el trámite lo realice un tercero, presentará la autorización del propietario y su cédula de ciudadanía y certificado de votación;</w:t>
      </w:r>
    </w:p>
    <w:p w14:paraId="796070B6" w14:textId="36DAEF19" w:rsidR="00DC27E8" w:rsidRPr="00B24A80" w:rsidRDefault="007F5505" w:rsidP="009F132D">
      <w:pPr>
        <w:pStyle w:val="Prrafodelista"/>
        <w:widowControl/>
        <w:numPr>
          <w:ilvl w:val="0"/>
          <w:numId w:val="58"/>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Copia de escritura del inmueble inscrita en el Registro de la Propiedad y Certificado de gravámenes actualizado;</w:t>
      </w:r>
    </w:p>
    <w:p w14:paraId="03D0FF51" w14:textId="271B9C12" w:rsidR="00DC27E8" w:rsidRPr="00B24A80" w:rsidRDefault="007F5505" w:rsidP="009F132D">
      <w:pPr>
        <w:pStyle w:val="Prrafodelista"/>
        <w:widowControl/>
        <w:numPr>
          <w:ilvl w:val="0"/>
          <w:numId w:val="58"/>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Informe Predial de Regulaciones de Uso del Suelo - IPRUS actualizado; </w:t>
      </w:r>
    </w:p>
    <w:p w14:paraId="03DF6A05" w14:textId="0B5794DC" w:rsidR="00DC27E8" w:rsidRPr="00B24A80" w:rsidRDefault="007F5505" w:rsidP="009F132D">
      <w:pPr>
        <w:pStyle w:val="Prrafodelista"/>
        <w:widowControl/>
        <w:numPr>
          <w:ilvl w:val="0"/>
          <w:numId w:val="58"/>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Plano topográfico del predio en el que conste la ubicación con el sistema vial circundante, la ubicación de accidentes geográficos (ríos, quebradas, taludes, etc.), áreas de afectación especial (líneas de transmisión de energía eléctrica, líneas férreas, oleoductos, acueductos y poliductos, canales de riego, etc.), afectaciones viales, etc.; </w:t>
      </w:r>
    </w:p>
    <w:p w14:paraId="2CF30002" w14:textId="726D5DFA" w:rsidR="0097488C" w:rsidRPr="00B24A80" w:rsidRDefault="007F5505" w:rsidP="009F132D">
      <w:pPr>
        <w:pStyle w:val="Prrafodelista"/>
        <w:widowControl/>
        <w:numPr>
          <w:ilvl w:val="0"/>
          <w:numId w:val="58"/>
        </w:numPr>
        <w:pBdr>
          <w:top w:val="nil"/>
          <w:left w:val="nil"/>
          <w:bottom w:val="nil"/>
          <w:right w:val="nil"/>
          <w:between w:val="nil"/>
        </w:pBdr>
        <w:ind w:right="-100"/>
        <w:rPr>
          <w:rFonts w:asciiTheme="majorHAnsi" w:hAnsiTheme="majorHAnsi" w:cstheme="majorHAnsi"/>
          <w:szCs w:val="22"/>
        </w:rPr>
      </w:pPr>
      <w:r w:rsidRPr="00B24A80">
        <w:rPr>
          <w:rFonts w:asciiTheme="majorHAnsi" w:hAnsiTheme="majorHAnsi" w:cstheme="majorHAnsi"/>
          <w:szCs w:val="22"/>
        </w:rPr>
        <w:t xml:space="preserve">Planos (en físico y en digital en formato </w:t>
      </w:r>
      <w:r w:rsidR="00083E97" w:rsidRPr="00B24A80">
        <w:rPr>
          <w:rFonts w:asciiTheme="majorHAnsi" w:hAnsiTheme="majorHAnsi" w:cstheme="majorHAnsi"/>
          <w:i/>
          <w:iCs/>
          <w:szCs w:val="22"/>
        </w:rPr>
        <w:t>DWG</w:t>
      </w:r>
      <w:r w:rsidRPr="00B24A80">
        <w:rPr>
          <w:rFonts w:asciiTheme="majorHAnsi" w:hAnsiTheme="majorHAnsi" w:cstheme="majorHAnsi"/>
          <w:szCs w:val="22"/>
        </w:rPr>
        <w:t xml:space="preserve"> georreferenciados) con la firma y datos del propietario (nombre y número de cédula) y de los profesionales competentes (nombre, número de cédula y registro Senescyt) en cada especialidad. Los planos deberán estar elaborados en conformidad con la normativa urbanística y demás normativa vigente para el efecto; y, </w:t>
      </w:r>
    </w:p>
    <w:p w14:paraId="6E5736B3" w14:textId="3A314DD2" w:rsidR="003E0BF6" w:rsidRPr="00B24A80" w:rsidRDefault="0097488C" w:rsidP="009F132D">
      <w:pPr>
        <w:pStyle w:val="Prrafodelista"/>
        <w:widowControl/>
        <w:numPr>
          <w:ilvl w:val="0"/>
          <w:numId w:val="58"/>
        </w:numPr>
        <w:pBdr>
          <w:top w:val="nil"/>
          <w:left w:val="nil"/>
          <w:bottom w:val="nil"/>
          <w:right w:val="nil"/>
          <w:between w:val="nil"/>
        </w:pBdr>
        <w:ind w:right="-100"/>
        <w:rPr>
          <w:rFonts w:asciiTheme="majorHAnsi" w:hAnsiTheme="majorHAnsi" w:cstheme="majorHAnsi"/>
          <w:szCs w:val="22"/>
        </w:rPr>
      </w:pPr>
      <w:r w:rsidRPr="00B24A80">
        <w:rPr>
          <w:rFonts w:asciiTheme="majorHAnsi" w:hAnsiTheme="majorHAnsi" w:cstheme="majorHAnsi"/>
          <w:szCs w:val="22"/>
        </w:rPr>
        <w:t>Certificado de factibilidad de servicios básicos</w:t>
      </w:r>
      <w:r w:rsidR="005422FF">
        <w:rPr>
          <w:rFonts w:asciiTheme="majorHAnsi" w:hAnsiTheme="majorHAnsi" w:cstheme="majorHAnsi"/>
          <w:szCs w:val="22"/>
        </w:rPr>
        <w:t xml:space="preserve"> </w:t>
      </w:r>
      <w:r w:rsidR="005422FF" w:rsidRPr="000D6B9B">
        <w:rPr>
          <w:rFonts w:asciiTheme="majorHAnsi" w:hAnsiTheme="majorHAnsi" w:cstheme="majorHAnsi"/>
          <w:szCs w:val="22"/>
        </w:rPr>
        <w:t>y redes de infraestructura</w:t>
      </w:r>
      <w:r w:rsidRPr="00B24A80">
        <w:rPr>
          <w:rFonts w:asciiTheme="majorHAnsi" w:hAnsiTheme="majorHAnsi" w:cstheme="majorHAnsi"/>
          <w:szCs w:val="22"/>
        </w:rPr>
        <w:t xml:space="preserve">, de no contar con la factibilidad de </w:t>
      </w:r>
      <w:r w:rsidR="000D6B9B" w:rsidRPr="00B24A80">
        <w:rPr>
          <w:rFonts w:asciiTheme="majorHAnsi" w:hAnsiTheme="majorHAnsi" w:cstheme="majorHAnsi"/>
          <w:szCs w:val="22"/>
        </w:rPr>
        <w:t>estos</w:t>
      </w:r>
      <w:r w:rsidR="000D6B9B">
        <w:rPr>
          <w:rFonts w:asciiTheme="majorHAnsi" w:hAnsiTheme="majorHAnsi" w:cstheme="majorHAnsi"/>
          <w:szCs w:val="22"/>
        </w:rPr>
        <w:t>,</w:t>
      </w:r>
      <w:r w:rsidRPr="00B24A80">
        <w:rPr>
          <w:rFonts w:asciiTheme="majorHAnsi" w:hAnsiTheme="majorHAnsi" w:cstheme="majorHAnsi"/>
          <w:szCs w:val="22"/>
        </w:rPr>
        <w:t xml:space="preserve"> el propietario propondrá alternativas para su </w:t>
      </w:r>
      <w:r w:rsidR="003E0BF6" w:rsidRPr="00B24A80">
        <w:rPr>
          <w:rFonts w:asciiTheme="majorHAnsi" w:hAnsiTheme="majorHAnsi" w:cstheme="majorHAnsi"/>
          <w:szCs w:val="22"/>
        </w:rPr>
        <w:t>implementación</w:t>
      </w:r>
      <w:r w:rsidRPr="00B24A80">
        <w:rPr>
          <w:rFonts w:asciiTheme="majorHAnsi" w:hAnsiTheme="majorHAnsi" w:cstheme="majorHAnsi"/>
          <w:szCs w:val="22"/>
        </w:rPr>
        <w:t xml:space="preserve"> que serán analizados y </w:t>
      </w:r>
      <w:r w:rsidR="00EB6ED9" w:rsidRPr="00B24A80">
        <w:rPr>
          <w:rFonts w:asciiTheme="majorHAnsi" w:hAnsiTheme="majorHAnsi" w:cstheme="majorHAnsi"/>
          <w:szCs w:val="22"/>
        </w:rPr>
        <w:t>validados por el GADM</w:t>
      </w:r>
      <w:r w:rsidR="004E7D47" w:rsidRPr="00B24A80">
        <w:rPr>
          <w:rFonts w:asciiTheme="majorHAnsi" w:hAnsiTheme="majorHAnsi" w:cstheme="majorHAnsi"/>
          <w:szCs w:val="22"/>
        </w:rPr>
        <w:t xml:space="preserve"> de</w:t>
      </w:r>
      <w:r w:rsidR="00920B1B" w:rsidRPr="00B24A80">
        <w:rPr>
          <w:rFonts w:asciiTheme="majorHAnsi" w:hAnsiTheme="majorHAnsi" w:cstheme="majorHAnsi"/>
          <w:szCs w:val="22"/>
        </w:rPr>
        <w:t xml:space="preserve">l </w:t>
      </w:r>
      <w:r w:rsidR="00CD4F27" w:rsidRPr="00B24A80">
        <w:rPr>
          <w:rFonts w:asciiTheme="majorHAnsi" w:hAnsiTheme="majorHAnsi" w:cstheme="majorHAnsi"/>
          <w:szCs w:val="22"/>
        </w:rPr>
        <w:t>cantón La Joya de los Sachas</w:t>
      </w:r>
      <w:r w:rsidRPr="00B24A80">
        <w:rPr>
          <w:rFonts w:asciiTheme="majorHAnsi" w:hAnsiTheme="majorHAnsi" w:cstheme="majorHAnsi"/>
          <w:szCs w:val="22"/>
        </w:rPr>
        <w:t>.</w:t>
      </w:r>
    </w:p>
    <w:p w14:paraId="4DD60455" w14:textId="598906D5" w:rsidR="002A694E" w:rsidRDefault="00325885" w:rsidP="009F132D">
      <w:pPr>
        <w:pStyle w:val="Prrafodelista"/>
        <w:widowControl/>
        <w:numPr>
          <w:ilvl w:val="0"/>
          <w:numId w:val="58"/>
        </w:numPr>
        <w:pBdr>
          <w:top w:val="nil"/>
          <w:left w:val="nil"/>
          <w:bottom w:val="nil"/>
          <w:right w:val="nil"/>
          <w:between w:val="nil"/>
        </w:pBdr>
        <w:ind w:right="-100"/>
        <w:rPr>
          <w:rFonts w:asciiTheme="majorHAnsi" w:hAnsiTheme="majorHAnsi" w:cstheme="majorHAnsi"/>
          <w:szCs w:val="22"/>
        </w:rPr>
      </w:pPr>
      <w:r w:rsidRPr="000D6B9B">
        <w:rPr>
          <w:rFonts w:asciiTheme="majorHAnsi" w:hAnsiTheme="majorHAnsi" w:cstheme="majorHAnsi"/>
          <w:szCs w:val="22"/>
        </w:rPr>
        <w:lastRenderedPageBreak/>
        <w:t xml:space="preserve">Informe </w:t>
      </w:r>
      <w:r w:rsidR="002A694E" w:rsidRPr="00B24A80">
        <w:rPr>
          <w:rFonts w:asciiTheme="majorHAnsi" w:hAnsiTheme="majorHAnsi" w:cstheme="majorHAnsi"/>
          <w:szCs w:val="22"/>
        </w:rPr>
        <w:t xml:space="preserve">de riesgos, emitidos por el ente municipal correspondiente. </w:t>
      </w:r>
    </w:p>
    <w:p w14:paraId="0EC98F35" w14:textId="0463270D" w:rsidR="00827FB2" w:rsidRPr="00A03400" w:rsidRDefault="00A45EA1" w:rsidP="009F132D">
      <w:pPr>
        <w:pStyle w:val="Prrafodelista"/>
        <w:widowControl/>
        <w:numPr>
          <w:ilvl w:val="0"/>
          <w:numId w:val="58"/>
        </w:numPr>
        <w:pBdr>
          <w:top w:val="nil"/>
          <w:left w:val="nil"/>
          <w:bottom w:val="nil"/>
          <w:right w:val="nil"/>
          <w:between w:val="nil"/>
        </w:pBdr>
        <w:ind w:right="-100"/>
        <w:rPr>
          <w:rFonts w:asciiTheme="majorHAnsi" w:hAnsiTheme="majorHAnsi" w:cstheme="majorHAnsi"/>
          <w:szCs w:val="22"/>
        </w:rPr>
      </w:pPr>
      <w:r w:rsidRPr="00A03400">
        <w:rPr>
          <w:rFonts w:asciiTheme="majorHAnsi" w:hAnsiTheme="majorHAnsi" w:cstheme="majorHAnsi"/>
          <w:szCs w:val="22"/>
        </w:rPr>
        <w:t>Certificación</w:t>
      </w:r>
      <w:r w:rsidR="00827FB2" w:rsidRPr="00A03400">
        <w:rPr>
          <w:rFonts w:asciiTheme="majorHAnsi" w:hAnsiTheme="majorHAnsi" w:cstheme="majorHAnsi"/>
          <w:szCs w:val="22"/>
        </w:rPr>
        <w:t xml:space="preserve"> emitida por la</w:t>
      </w:r>
      <w:r w:rsidR="00F5316D" w:rsidRPr="00A03400">
        <w:rPr>
          <w:rFonts w:asciiTheme="majorHAnsi" w:hAnsiTheme="majorHAnsi" w:cstheme="majorHAnsi"/>
          <w:szCs w:val="22"/>
        </w:rPr>
        <w:t xml:space="preserve"> entidad competente</w:t>
      </w:r>
      <w:r w:rsidR="00FE5645" w:rsidRPr="00A03400">
        <w:rPr>
          <w:rFonts w:asciiTheme="majorHAnsi" w:hAnsiTheme="majorHAnsi" w:cstheme="majorHAnsi"/>
          <w:szCs w:val="22"/>
        </w:rPr>
        <w:t xml:space="preserve"> la Agencia de Regulación y Control de Hidrocarburos</w:t>
      </w:r>
      <w:r w:rsidR="00827FB2" w:rsidRPr="00A03400">
        <w:rPr>
          <w:rFonts w:asciiTheme="majorHAnsi" w:hAnsiTheme="majorHAnsi" w:cstheme="majorHAnsi"/>
          <w:szCs w:val="22"/>
        </w:rPr>
        <w:t>, en caso de existir infraestructura petrolera;</w:t>
      </w:r>
    </w:p>
    <w:p w14:paraId="5F0C7526" w14:textId="3A3AEF7C" w:rsidR="002A694E" w:rsidRPr="00B24A80" w:rsidRDefault="007F5505" w:rsidP="006D2464">
      <w:pPr>
        <w:pStyle w:val="Prrafodelista"/>
        <w:widowControl/>
        <w:numPr>
          <w:ilvl w:val="0"/>
          <w:numId w:val="58"/>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La propuesta de la </w:t>
      </w:r>
      <w:r w:rsidR="008B008E">
        <w:rPr>
          <w:rFonts w:asciiTheme="majorHAnsi" w:hAnsiTheme="majorHAnsi" w:cstheme="majorHAnsi"/>
          <w:szCs w:val="22"/>
        </w:rPr>
        <w:t>urbanización</w:t>
      </w:r>
      <w:r w:rsidRPr="00B24A80">
        <w:rPr>
          <w:rFonts w:asciiTheme="majorHAnsi" w:hAnsiTheme="majorHAnsi" w:cstheme="majorHAnsi"/>
          <w:szCs w:val="22"/>
        </w:rPr>
        <w:t xml:space="preserve"> se graficará sobre el plano topográfico georreferenciado, deberá incluir:</w:t>
      </w:r>
    </w:p>
    <w:p w14:paraId="0F006B11" w14:textId="28AE26FB" w:rsidR="00DC27E8" w:rsidRPr="00B24A80"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Ubicación a escala;</w:t>
      </w:r>
    </w:p>
    <w:p w14:paraId="1E181733" w14:textId="04CC7E1A" w:rsidR="00DC27E8" w:rsidRPr="00B24A80"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Delimitación exacta de los linderos del terreno y especificación de los colindantes;</w:t>
      </w:r>
    </w:p>
    <w:p w14:paraId="1D3EBB36" w14:textId="69D3CB6C" w:rsidR="00DC27E8" w:rsidRPr="006F1EC5"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6F1EC5">
        <w:rPr>
          <w:rFonts w:asciiTheme="majorHAnsi" w:hAnsiTheme="majorHAnsi" w:cstheme="majorHAnsi"/>
          <w:szCs w:val="22"/>
        </w:rPr>
        <w:t xml:space="preserve">Diseño vial integrado al sistema vial existente </w:t>
      </w:r>
    </w:p>
    <w:p w14:paraId="0AA0C0E1" w14:textId="1D3A9256" w:rsidR="00DC27E8" w:rsidRPr="006F1EC5"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6F1EC5">
        <w:rPr>
          <w:rFonts w:asciiTheme="majorHAnsi" w:hAnsiTheme="majorHAnsi" w:cstheme="majorHAnsi"/>
          <w:szCs w:val="22"/>
        </w:rPr>
        <w:t xml:space="preserve">Propuesta de diseño de la </w:t>
      </w:r>
      <w:r w:rsidR="00621124" w:rsidRPr="006F1EC5">
        <w:rPr>
          <w:rFonts w:asciiTheme="majorHAnsi" w:hAnsiTheme="majorHAnsi" w:cstheme="majorHAnsi"/>
          <w:szCs w:val="22"/>
        </w:rPr>
        <w:t>urbanización</w:t>
      </w:r>
      <w:r w:rsidRPr="006F1EC5">
        <w:rPr>
          <w:rFonts w:asciiTheme="majorHAnsi" w:hAnsiTheme="majorHAnsi" w:cstheme="majorHAnsi"/>
          <w:szCs w:val="22"/>
        </w:rPr>
        <w:t xml:space="preserve"> del predio; </w:t>
      </w:r>
    </w:p>
    <w:p w14:paraId="541420B0" w14:textId="51C109A1" w:rsidR="00DC27E8" w:rsidRPr="006F1EC5"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6F1EC5">
        <w:rPr>
          <w:rFonts w:asciiTheme="majorHAnsi" w:hAnsiTheme="majorHAnsi" w:cstheme="majorHAnsi"/>
          <w:szCs w:val="22"/>
        </w:rPr>
        <w:t xml:space="preserve">Equipamiento urbanístico y áreas recreativas; </w:t>
      </w:r>
    </w:p>
    <w:p w14:paraId="2336D0D3" w14:textId="7A8A3B94" w:rsidR="00DC27E8" w:rsidRPr="006F1EC5"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6F1EC5">
        <w:rPr>
          <w:rFonts w:asciiTheme="majorHAnsi" w:hAnsiTheme="majorHAnsi" w:cstheme="majorHAnsi"/>
          <w:szCs w:val="22"/>
        </w:rPr>
        <w:t xml:space="preserve">Cortes del terreno para identificar pendientes, ríos, quebradas, etc.; </w:t>
      </w:r>
    </w:p>
    <w:p w14:paraId="08F5F863" w14:textId="23ED728D" w:rsidR="00DC27E8" w:rsidRPr="006F1EC5"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6F1EC5">
        <w:rPr>
          <w:rFonts w:asciiTheme="majorHAnsi" w:hAnsiTheme="majorHAnsi" w:cstheme="majorHAnsi"/>
          <w:szCs w:val="22"/>
        </w:rPr>
        <w:t xml:space="preserve">Cuadro de datos conteniendo superficies y porcentajes del área total del predio a urbanizar, área útil, área de vías, área de afectación, área de protección de accidentes geográficos y de protección especial, área comunal, listado total de predios con numeración continua, áreas y linderos; y, </w:t>
      </w:r>
    </w:p>
    <w:p w14:paraId="5F469740" w14:textId="22DA6A43" w:rsidR="00EB6ED9" w:rsidRPr="006F1EC5" w:rsidRDefault="007F5505" w:rsidP="00CA24CF">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6F1EC5">
        <w:rPr>
          <w:rFonts w:asciiTheme="majorHAnsi" w:hAnsiTheme="majorHAnsi" w:cstheme="majorHAnsi"/>
          <w:szCs w:val="22"/>
        </w:rPr>
        <w:t>Certificado, registro o licencia ambiental emitido por el ente competente (de ser el caso)</w:t>
      </w:r>
    </w:p>
    <w:p w14:paraId="7E23ABAD" w14:textId="77777777" w:rsidR="00300C4C" w:rsidRPr="00300C4C" w:rsidRDefault="00300C4C" w:rsidP="00300C4C">
      <w:pPr>
        <w:pStyle w:val="Prrafodelista"/>
        <w:widowControl/>
        <w:numPr>
          <w:ilvl w:val="0"/>
          <w:numId w:val="62"/>
        </w:numPr>
        <w:pBdr>
          <w:top w:val="nil"/>
          <w:left w:val="nil"/>
          <w:bottom w:val="nil"/>
          <w:right w:val="nil"/>
          <w:between w:val="nil"/>
        </w:pBdr>
        <w:spacing w:line="276" w:lineRule="auto"/>
        <w:ind w:right="-100"/>
        <w:rPr>
          <w:rFonts w:asciiTheme="majorHAnsi" w:hAnsiTheme="majorHAnsi" w:cstheme="majorHAnsi"/>
          <w:szCs w:val="22"/>
        </w:rPr>
      </w:pPr>
      <w:r w:rsidRPr="00300C4C">
        <w:rPr>
          <w:rFonts w:asciiTheme="majorHAnsi" w:hAnsiTheme="majorHAnsi" w:cstheme="majorHAnsi"/>
          <w:szCs w:val="22"/>
        </w:rPr>
        <w:t>9. El CD deberá estar debidamente identificado con el archivo magnético</w:t>
      </w:r>
    </w:p>
    <w:p w14:paraId="239F0147" w14:textId="397E005D" w:rsidR="00300C4C" w:rsidRPr="00B24A80" w:rsidRDefault="00300C4C" w:rsidP="00300C4C">
      <w:pPr>
        <w:pStyle w:val="Prrafodelista"/>
        <w:widowControl/>
        <w:pBdr>
          <w:top w:val="nil"/>
          <w:left w:val="nil"/>
          <w:bottom w:val="nil"/>
          <w:right w:val="nil"/>
          <w:between w:val="nil"/>
        </w:pBdr>
        <w:spacing w:line="276" w:lineRule="auto"/>
        <w:ind w:left="1440" w:right="-100"/>
        <w:rPr>
          <w:rFonts w:asciiTheme="majorHAnsi" w:hAnsiTheme="majorHAnsi" w:cstheme="majorHAnsi"/>
          <w:szCs w:val="22"/>
        </w:rPr>
      </w:pPr>
      <w:r w:rsidRPr="00300C4C">
        <w:rPr>
          <w:rFonts w:asciiTheme="majorHAnsi" w:hAnsiTheme="majorHAnsi" w:cstheme="majorHAnsi"/>
          <w:szCs w:val="22"/>
        </w:rPr>
        <w:t>editables en formato DWG, DXF, SHAPE FILE.</w:t>
      </w:r>
    </w:p>
    <w:p w14:paraId="302B6249" w14:textId="77777777" w:rsidR="003E0BF6" w:rsidRPr="00B24A80" w:rsidRDefault="003E0BF6" w:rsidP="003E0BF6">
      <w:pPr>
        <w:pStyle w:val="Prrafodelista"/>
        <w:widowControl/>
        <w:pBdr>
          <w:top w:val="nil"/>
          <w:left w:val="nil"/>
          <w:bottom w:val="nil"/>
          <w:right w:val="nil"/>
          <w:between w:val="nil"/>
        </w:pBdr>
        <w:spacing w:line="276" w:lineRule="auto"/>
        <w:ind w:right="-100"/>
        <w:rPr>
          <w:rFonts w:asciiTheme="majorHAnsi" w:hAnsiTheme="majorHAnsi" w:cstheme="majorHAnsi"/>
          <w:szCs w:val="22"/>
        </w:rPr>
      </w:pPr>
    </w:p>
    <w:p w14:paraId="03D8DA57" w14:textId="3978FA3A" w:rsidR="006644D7" w:rsidRPr="006644D7" w:rsidRDefault="007F5505" w:rsidP="006644D7">
      <w:pPr>
        <w:pStyle w:val="Prrafodelista"/>
        <w:widowControl/>
        <w:numPr>
          <w:ilvl w:val="0"/>
          <w:numId w:val="114"/>
        </w:numPr>
        <w:tabs>
          <w:tab w:val="left" w:pos="851"/>
        </w:tabs>
        <w:spacing w:after="240" w:line="276" w:lineRule="auto"/>
        <w:ind w:left="0" w:right="-100" w:firstLine="0"/>
        <w:rPr>
          <w:rFonts w:asciiTheme="majorHAnsi" w:hAnsiTheme="majorHAnsi" w:cstheme="majorHAnsi"/>
          <w:color w:val="FF0000"/>
          <w:szCs w:val="22"/>
        </w:rPr>
      </w:pPr>
      <w:r w:rsidRPr="00B24A80">
        <w:rPr>
          <w:rFonts w:asciiTheme="majorHAnsi" w:hAnsiTheme="majorHAnsi" w:cstheme="majorHAnsi"/>
          <w:b/>
          <w:szCs w:val="22"/>
        </w:rPr>
        <w:t>Plazo:</w:t>
      </w:r>
      <w:r w:rsidRPr="00B24A80">
        <w:rPr>
          <w:rFonts w:asciiTheme="majorHAnsi" w:hAnsiTheme="majorHAnsi" w:cstheme="majorHAnsi"/>
          <w:szCs w:val="22"/>
        </w:rPr>
        <w:t xml:space="preserve"> </w:t>
      </w:r>
      <w:r w:rsidR="006644D7" w:rsidRPr="00D42474">
        <w:rPr>
          <w:rFonts w:asciiTheme="majorHAnsi" w:hAnsiTheme="majorHAnsi" w:cstheme="majorHAnsi"/>
          <w:szCs w:val="22"/>
        </w:rPr>
        <w:t>El plazo de vigencia de la autorización del anteproyecto aprobado tendrá validez por dos años</w:t>
      </w:r>
    </w:p>
    <w:p w14:paraId="3A896E10" w14:textId="77777777" w:rsidR="006D2464" w:rsidRPr="00B24A80" w:rsidRDefault="006D2464" w:rsidP="006D2464">
      <w:pPr>
        <w:pStyle w:val="Prrafodelista"/>
        <w:widowControl/>
        <w:tabs>
          <w:tab w:val="left" w:pos="851"/>
        </w:tabs>
        <w:spacing w:after="240" w:line="276" w:lineRule="auto"/>
        <w:ind w:left="0" w:right="-100"/>
        <w:rPr>
          <w:rFonts w:asciiTheme="majorHAnsi" w:hAnsiTheme="majorHAnsi" w:cstheme="majorHAnsi"/>
          <w:szCs w:val="22"/>
        </w:rPr>
      </w:pPr>
    </w:p>
    <w:p w14:paraId="7C470F3A" w14:textId="7124502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los requisitos para la autorización del proyecto definitivo</w:t>
      </w:r>
      <w:r w:rsidR="00722F5A">
        <w:rPr>
          <w:rFonts w:asciiTheme="majorHAnsi" w:hAnsiTheme="majorHAnsi" w:cstheme="majorHAnsi"/>
          <w:b/>
          <w:szCs w:val="22"/>
        </w:rPr>
        <w:t xml:space="preserve"> de urbanización.</w:t>
      </w:r>
      <w:r w:rsidR="00B80C8B">
        <w:rPr>
          <w:rFonts w:asciiTheme="majorHAnsi" w:hAnsiTheme="majorHAnsi" w:cstheme="majorHAnsi"/>
          <w:b/>
          <w:szCs w:val="22"/>
        </w:rPr>
        <w:t xml:space="preserve"> </w:t>
      </w:r>
      <w:r w:rsidR="00722F5A">
        <w:rPr>
          <w:rFonts w:asciiTheme="majorHAnsi" w:hAnsiTheme="majorHAnsi" w:cstheme="majorHAnsi"/>
          <w:b/>
          <w:szCs w:val="22"/>
        </w:rPr>
        <w:t>-</w:t>
      </w:r>
      <w:r w:rsidRPr="00B24A80">
        <w:rPr>
          <w:rFonts w:asciiTheme="majorHAnsi" w:hAnsiTheme="majorHAnsi" w:cstheme="majorHAnsi"/>
          <w:b/>
          <w:szCs w:val="22"/>
        </w:rPr>
        <w:t xml:space="preserve"> </w:t>
      </w:r>
      <w:r w:rsidRPr="00B24A80">
        <w:rPr>
          <w:rFonts w:asciiTheme="majorHAnsi" w:hAnsiTheme="majorHAnsi" w:cstheme="majorHAnsi"/>
          <w:szCs w:val="22"/>
        </w:rPr>
        <w:t xml:space="preserve">Será responsabilidad del solicitante presentar los siguientes documentos para iniciar el trámite: </w:t>
      </w:r>
    </w:p>
    <w:p w14:paraId="4D2028C5" w14:textId="130FA2F8"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Solicitud suscrita por el propietario y el profesional responsable dirigido </w:t>
      </w:r>
      <w:r w:rsidR="003E0BF6" w:rsidRPr="00B24A80">
        <w:rPr>
          <w:rFonts w:asciiTheme="majorHAnsi" w:hAnsiTheme="majorHAnsi" w:cstheme="majorHAnsi"/>
          <w:szCs w:val="22"/>
        </w:rPr>
        <w:t>a la</w:t>
      </w:r>
      <w:r w:rsidRPr="00B24A80">
        <w:rPr>
          <w:rFonts w:asciiTheme="majorHAnsi" w:hAnsiTheme="majorHAnsi" w:cstheme="majorHAnsi"/>
          <w:szCs w:val="22"/>
        </w:rPr>
        <w:t xml:space="preserve"> </w:t>
      </w:r>
      <w:r w:rsidR="00D01697" w:rsidRPr="00B24A80">
        <w:rPr>
          <w:rFonts w:asciiTheme="majorHAnsi" w:hAnsiTheme="majorHAnsi" w:cstheme="majorHAnsi"/>
          <w:szCs w:val="22"/>
        </w:rPr>
        <w:t xml:space="preserve">Dirección de Gestión </w:t>
      </w:r>
      <w:r w:rsidR="006D2464" w:rsidRPr="00B24A80">
        <w:rPr>
          <w:rFonts w:asciiTheme="majorHAnsi" w:hAnsiTheme="majorHAnsi" w:cstheme="majorHAnsi"/>
          <w:szCs w:val="22"/>
        </w:rPr>
        <w:t xml:space="preserve">de </w:t>
      </w:r>
      <w:r w:rsidR="00D01697" w:rsidRPr="00B24A80">
        <w:rPr>
          <w:rFonts w:asciiTheme="majorHAnsi" w:hAnsiTheme="majorHAnsi" w:cstheme="majorHAnsi"/>
          <w:szCs w:val="22"/>
        </w:rPr>
        <w:t>Planificación</w:t>
      </w:r>
      <w:r w:rsidRPr="00B24A80">
        <w:rPr>
          <w:rFonts w:asciiTheme="majorHAnsi" w:hAnsiTheme="majorHAnsi" w:cstheme="majorHAnsi"/>
          <w:szCs w:val="22"/>
        </w:rPr>
        <w:t xml:space="preserve">, </w:t>
      </w:r>
      <w:r w:rsidR="00ED46DC" w:rsidRPr="00B24A80">
        <w:rPr>
          <w:rFonts w:asciiTheme="majorHAnsi" w:hAnsiTheme="majorHAnsi" w:cstheme="majorHAnsi"/>
          <w:szCs w:val="22"/>
        </w:rPr>
        <w:t>de acuerdo con el</w:t>
      </w:r>
      <w:r w:rsidRPr="00B24A80">
        <w:rPr>
          <w:rFonts w:asciiTheme="majorHAnsi" w:hAnsiTheme="majorHAnsi" w:cstheme="majorHAnsi"/>
          <w:szCs w:val="22"/>
        </w:rPr>
        <w:t xml:space="preserve"> formato establecido por el GADM</w:t>
      </w:r>
      <w:r w:rsidR="00881E8C" w:rsidRPr="00B24A80">
        <w:rPr>
          <w:rFonts w:asciiTheme="majorHAnsi" w:hAnsiTheme="majorHAnsi" w:cstheme="majorHAnsi"/>
          <w:szCs w:val="22"/>
        </w:rPr>
        <w:t xml:space="preserve"> del </w:t>
      </w:r>
      <w:r w:rsidR="00CD4F27" w:rsidRPr="00B24A80">
        <w:rPr>
          <w:rFonts w:asciiTheme="majorHAnsi" w:hAnsiTheme="majorHAnsi" w:cstheme="majorHAnsi"/>
          <w:szCs w:val="22"/>
        </w:rPr>
        <w:t>cantón La Joya de los Sachas</w:t>
      </w:r>
      <w:r w:rsidRPr="00B24A80">
        <w:rPr>
          <w:rFonts w:asciiTheme="majorHAnsi" w:hAnsiTheme="majorHAnsi" w:cstheme="majorHAnsi"/>
          <w:szCs w:val="22"/>
        </w:rPr>
        <w:t>;</w:t>
      </w:r>
    </w:p>
    <w:p w14:paraId="65C8DB6A" w14:textId="2B8AFC38"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Original de la cédula y papeleta de votación del propietario. En caso de que el trámite lo realice un tercero, presentará la autorización del propietario y su cédula de ciudadanía y certificado de votación; </w:t>
      </w:r>
    </w:p>
    <w:p w14:paraId="65966725" w14:textId="59EBADFA"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Copia de escritura del inmueble inscrita en el Registro de la Propiedad y Certificado de gravámenes actualizado; </w:t>
      </w:r>
    </w:p>
    <w:p w14:paraId="55FFD706" w14:textId="417E3E44" w:rsidR="00EB6ED9"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Informe de anteproyecto urbanístico aprobado por la </w:t>
      </w:r>
      <w:r w:rsidR="00265CCE">
        <w:rPr>
          <w:rFonts w:asciiTheme="majorHAnsi" w:hAnsiTheme="majorHAnsi" w:cstheme="majorHAnsi"/>
          <w:szCs w:val="22"/>
        </w:rPr>
        <w:t xml:space="preserve">Unidad de Gestión de Planificación </w:t>
      </w:r>
      <w:r w:rsidRPr="00B24A80">
        <w:rPr>
          <w:rFonts w:asciiTheme="majorHAnsi" w:hAnsiTheme="majorHAnsi" w:cstheme="majorHAnsi"/>
          <w:szCs w:val="22"/>
        </w:rPr>
        <w:t xml:space="preserve">del </w:t>
      </w:r>
      <w:r w:rsidR="006D2464" w:rsidRPr="00B24A80">
        <w:rPr>
          <w:rFonts w:asciiTheme="majorHAnsi" w:hAnsiTheme="majorHAnsi" w:cstheme="majorHAnsi"/>
          <w:szCs w:val="22"/>
        </w:rPr>
        <w:t>GADM del cantón La Joya de los Sachas.</w:t>
      </w:r>
    </w:p>
    <w:p w14:paraId="52E8E030" w14:textId="16A41762"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Memoria técnica gráfica del proyecto que deberá contemplar obligatoriamente: antecedentes, condicionantes físicas del terreno, condicionantes urbanas, propuesta urbana, propuesta vial, áreas verdes y equipamiento, así como cualquier estudio que facilite la comprensión del proyecto, en función de las normas vigentes; </w:t>
      </w:r>
    </w:p>
    <w:p w14:paraId="4AED7790" w14:textId="7B753BA9"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Informes y planos aprobados de redes de agua potable, alcantarillado, eléctrica </w:t>
      </w:r>
      <w:r w:rsidR="00ED46DC" w:rsidRPr="00ED46DC">
        <w:rPr>
          <w:rFonts w:asciiTheme="majorHAnsi" w:hAnsiTheme="majorHAnsi" w:cstheme="majorHAnsi"/>
          <w:szCs w:val="22"/>
        </w:rPr>
        <w:t xml:space="preserve">y </w:t>
      </w:r>
      <w:r w:rsidRPr="00B24A80">
        <w:rPr>
          <w:rFonts w:asciiTheme="majorHAnsi" w:hAnsiTheme="majorHAnsi" w:cstheme="majorHAnsi"/>
          <w:szCs w:val="22"/>
        </w:rPr>
        <w:t>por las entidades correspondientes;</w:t>
      </w:r>
    </w:p>
    <w:p w14:paraId="1310BF42" w14:textId="25ACF4CC"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Planos (</w:t>
      </w:r>
      <w:r w:rsidR="00C51E9D" w:rsidRPr="00ED46DC">
        <w:rPr>
          <w:rFonts w:asciiTheme="majorHAnsi" w:hAnsiTheme="majorHAnsi" w:cstheme="majorHAnsi"/>
          <w:szCs w:val="22"/>
        </w:rPr>
        <w:t xml:space="preserve">3 </w:t>
      </w:r>
      <w:r w:rsidRPr="00B24A80">
        <w:rPr>
          <w:rFonts w:asciiTheme="majorHAnsi" w:hAnsiTheme="majorHAnsi" w:cstheme="majorHAnsi"/>
          <w:szCs w:val="22"/>
        </w:rPr>
        <w:t xml:space="preserve">en físico y en digital en formato </w:t>
      </w:r>
      <w:r w:rsidR="00083E97" w:rsidRPr="00B24A80">
        <w:rPr>
          <w:rFonts w:asciiTheme="majorHAnsi" w:hAnsiTheme="majorHAnsi" w:cstheme="majorHAnsi"/>
          <w:i/>
          <w:iCs/>
          <w:szCs w:val="22"/>
        </w:rPr>
        <w:t>DWG</w:t>
      </w:r>
      <w:r w:rsidRPr="00B24A80">
        <w:rPr>
          <w:rFonts w:asciiTheme="majorHAnsi" w:hAnsiTheme="majorHAnsi" w:cstheme="majorHAnsi"/>
          <w:szCs w:val="22"/>
        </w:rPr>
        <w:t xml:space="preserve"> georreferenciados) con la firma y datos del propietario (nombre y número de cédula) y de los profesionales competentes (nombre, número de cédula y registro </w:t>
      </w:r>
      <w:r w:rsidR="00455E56" w:rsidRPr="00B24A80">
        <w:rPr>
          <w:rFonts w:asciiTheme="majorHAnsi" w:hAnsiTheme="majorHAnsi" w:cstheme="majorHAnsi"/>
          <w:szCs w:val="22"/>
        </w:rPr>
        <w:t xml:space="preserve">SENESCYT) </w:t>
      </w:r>
      <w:r w:rsidRPr="00B24A80">
        <w:rPr>
          <w:rFonts w:asciiTheme="majorHAnsi" w:hAnsiTheme="majorHAnsi" w:cstheme="majorHAnsi"/>
          <w:szCs w:val="22"/>
        </w:rPr>
        <w:t xml:space="preserve">en cada especialidad. Los planos </w:t>
      </w:r>
      <w:r w:rsidRPr="00B24A80">
        <w:rPr>
          <w:rFonts w:asciiTheme="majorHAnsi" w:hAnsiTheme="majorHAnsi" w:cstheme="majorHAnsi"/>
          <w:szCs w:val="22"/>
        </w:rPr>
        <w:lastRenderedPageBreak/>
        <w:t>deberán estar elaborados en conformidad con la normativa urbanística y demás normativa vigente para el efecto;</w:t>
      </w:r>
    </w:p>
    <w:p w14:paraId="048608B1" w14:textId="03C82BE2" w:rsidR="00DC27E8" w:rsidRPr="00B24A80"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Deberá presentar una garantía a favor del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por el valor que este determine en función del tipo y magnitud de las obras de infraestructura, lo que constatará en el cronograma valorado respectivo; </w:t>
      </w:r>
      <w:r w:rsidR="00EB6ED9" w:rsidRPr="00B24A80">
        <w:rPr>
          <w:rFonts w:asciiTheme="majorHAnsi" w:hAnsiTheme="majorHAnsi" w:cstheme="majorHAnsi"/>
          <w:szCs w:val="22"/>
        </w:rPr>
        <w:t>mismos que podrá ser económicas o su equivalente en lotes de terrenos de la urbanización.</w:t>
      </w:r>
    </w:p>
    <w:p w14:paraId="25082D3E" w14:textId="1962A7ED" w:rsidR="00DC27E8" w:rsidRPr="00801F37"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801F37">
        <w:rPr>
          <w:rFonts w:asciiTheme="majorHAnsi" w:hAnsiTheme="majorHAnsi" w:cstheme="majorHAnsi"/>
          <w:szCs w:val="22"/>
        </w:rPr>
        <w:t>Certificado, registro o licencia ambiental emitido por el ente competente</w:t>
      </w:r>
      <w:r w:rsidR="00801F37" w:rsidRPr="00801F37">
        <w:rPr>
          <w:rFonts w:asciiTheme="majorHAnsi" w:hAnsiTheme="majorHAnsi" w:cstheme="majorHAnsi"/>
          <w:szCs w:val="22"/>
        </w:rPr>
        <w:t>.</w:t>
      </w:r>
      <w:r w:rsidRPr="00801F37">
        <w:rPr>
          <w:rFonts w:asciiTheme="majorHAnsi" w:hAnsiTheme="majorHAnsi" w:cstheme="majorHAnsi"/>
          <w:szCs w:val="22"/>
        </w:rPr>
        <w:t xml:space="preserve"> (de ser el caso)</w:t>
      </w:r>
    </w:p>
    <w:p w14:paraId="220FDA0C" w14:textId="7FD8D33D" w:rsidR="00AC3815" w:rsidRPr="00B24A80" w:rsidRDefault="00AC381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Certificado de no adeudar al municipio</w:t>
      </w:r>
      <w:r w:rsidR="00611EBA">
        <w:rPr>
          <w:rFonts w:asciiTheme="majorHAnsi" w:hAnsiTheme="majorHAnsi" w:cstheme="majorHAnsi"/>
          <w:szCs w:val="22"/>
        </w:rPr>
        <w:t>.</w:t>
      </w:r>
    </w:p>
    <w:p w14:paraId="45BC6D2E" w14:textId="08640322" w:rsidR="00DC27E8" w:rsidRDefault="007F5505"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Cronograma valorado de obras</w:t>
      </w:r>
      <w:r w:rsidR="00611EBA">
        <w:rPr>
          <w:rFonts w:asciiTheme="majorHAnsi" w:hAnsiTheme="majorHAnsi" w:cstheme="majorHAnsi"/>
          <w:szCs w:val="22"/>
        </w:rPr>
        <w:t>; y</w:t>
      </w:r>
    </w:p>
    <w:p w14:paraId="258ACDC0" w14:textId="113B3824" w:rsidR="0019675D" w:rsidRPr="00801F37" w:rsidRDefault="005629BA" w:rsidP="00CA24CF">
      <w:pPr>
        <w:pStyle w:val="Prrafodelista"/>
        <w:widowControl/>
        <w:numPr>
          <w:ilvl w:val="0"/>
          <w:numId w:val="63"/>
        </w:numPr>
        <w:pBdr>
          <w:top w:val="nil"/>
          <w:left w:val="nil"/>
          <w:bottom w:val="nil"/>
          <w:right w:val="nil"/>
          <w:between w:val="nil"/>
        </w:pBdr>
        <w:spacing w:line="276" w:lineRule="auto"/>
        <w:ind w:right="-100"/>
        <w:rPr>
          <w:rFonts w:asciiTheme="majorHAnsi" w:hAnsiTheme="majorHAnsi" w:cstheme="majorHAnsi"/>
          <w:szCs w:val="22"/>
        </w:rPr>
      </w:pPr>
      <w:r w:rsidRPr="00801F37">
        <w:rPr>
          <w:rFonts w:asciiTheme="majorHAnsi" w:hAnsiTheme="majorHAnsi" w:cstheme="majorHAnsi"/>
          <w:szCs w:val="22"/>
        </w:rPr>
        <w:t>P</w:t>
      </w:r>
      <w:r w:rsidR="0019675D" w:rsidRPr="00801F37">
        <w:rPr>
          <w:rFonts w:asciiTheme="majorHAnsi" w:hAnsiTheme="majorHAnsi" w:cstheme="majorHAnsi"/>
          <w:szCs w:val="22"/>
        </w:rPr>
        <w:t>royecto de Ordenanza de la urbanización.</w:t>
      </w:r>
    </w:p>
    <w:p w14:paraId="68B54664" w14:textId="77777777" w:rsidR="00EB6ED9" w:rsidRPr="00B24A80" w:rsidRDefault="00EB6ED9">
      <w:pPr>
        <w:widowControl/>
        <w:pBdr>
          <w:top w:val="nil"/>
          <w:left w:val="nil"/>
          <w:bottom w:val="nil"/>
          <w:right w:val="nil"/>
          <w:between w:val="nil"/>
        </w:pBdr>
        <w:spacing w:line="276" w:lineRule="auto"/>
        <w:ind w:right="-100"/>
        <w:rPr>
          <w:rFonts w:asciiTheme="majorHAnsi" w:hAnsiTheme="majorHAnsi" w:cstheme="majorHAnsi"/>
          <w:sz w:val="22"/>
          <w:szCs w:val="22"/>
        </w:rPr>
      </w:pPr>
    </w:p>
    <w:p w14:paraId="0D5A4B83" w14:textId="06215637" w:rsidR="00DC27E8" w:rsidRPr="002E3822"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De la </w:t>
      </w:r>
      <w:r w:rsidRPr="002E3822">
        <w:rPr>
          <w:rFonts w:asciiTheme="majorHAnsi" w:hAnsiTheme="majorHAnsi" w:cstheme="majorHAnsi"/>
          <w:b/>
          <w:szCs w:val="22"/>
        </w:rPr>
        <w:t xml:space="preserve">autorización del proyecto definitivo de la </w:t>
      </w:r>
      <w:r w:rsidR="00624595" w:rsidRPr="002E3822">
        <w:rPr>
          <w:rFonts w:asciiTheme="majorHAnsi" w:hAnsiTheme="majorHAnsi" w:cstheme="majorHAnsi"/>
          <w:b/>
          <w:szCs w:val="22"/>
        </w:rPr>
        <w:t xml:space="preserve"> urbanización</w:t>
      </w:r>
      <w:r w:rsidR="00AC3815" w:rsidRPr="002E3822">
        <w:rPr>
          <w:rFonts w:asciiTheme="majorHAnsi" w:hAnsiTheme="majorHAnsi" w:cstheme="majorHAnsi"/>
          <w:szCs w:val="22"/>
        </w:rPr>
        <w:t>. -</w:t>
      </w:r>
      <w:r w:rsidRPr="002E3822">
        <w:rPr>
          <w:rFonts w:asciiTheme="majorHAnsi" w:hAnsiTheme="majorHAnsi" w:cstheme="majorHAnsi"/>
          <w:szCs w:val="22"/>
        </w:rPr>
        <w:t xml:space="preserve"> Previo a otorgar la autorización para la </w:t>
      </w:r>
      <w:r w:rsidR="00624595" w:rsidRPr="002E3822">
        <w:rPr>
          <w:rFonts w:asciiTheme="majorHAnsi" w:hAnsiTheme="majorHAnsi" w:cstheme="majorHAnsi"/>
          <w:bCs/>
          <w:szCs w:val="22"/>
        </w:rPr>
        <w:t>urbanización</w:t>
      </w:r>
      <w:r w:rsidRPr="002E3822">
        <w:rPr>
          <w:rFonts w:asciiTheme="majorHAnsi" w:hAnsiTheme="majorHAnsi" w:cstheme="majorHAnsi"/>
          <w:szCs w:val="22"/>
        </w:rPr>
        <w:t xml:space="preserve">, el </w:t>
      </w:r>
      <w:r w:rsidR="006E0959" w:rsidRPr="002E3822">
        <w:rPr>
          <w:rFonts w:asciiTheme="majorHAnsi" w:hAnsiTheme="majorHAnsi" w:cstheme="majorHAnsi"/>
          <w:szCs w:val="22"/>
        </w:rPr>
        <w:t>GADM del cantón La Joya de los Sachas</w:t>
      </w:r>
      <w:r w:rsidRPr="002E3822">
        <w:rPr>
          <w:rFonts w:asciiTheme="majorHAnsi" w:hAnsiTheme="majorHAnsi" w:cstheme="majorHAnsi"/>
          <w:szCs w:val="22"/>
        </w:rPr>
        <w:t xml:space="preserve"> a través de la </w:t>
      </w:r>
      <w:r w:rsidR="00D01697" w:rsidRPr="002E3822">
        <w:rPr>
          <w:rFonts w:asciiTheme="majorHAnsi" w:hAnsiTheme="majorHAnsi" w:cstheme="majorHAnsi"/>
          <w:szCs w:val="22"/>
        </w:rPr>
        <w:t>Dirección de Gestión</w:t>
      </w:r>
      <w:r w:rsidR="00455E56" w:rsidRPr="002E3822">
        <w:rPr>
          <w:rFonts w:asciiTheme="majorHAnsi" w:hAnsiTheme="majorHAnsi" w:cstheme="majorHAnsi"/>
          <w:szCs w:val="22"/>
        </w:rPr>
        <w:t xml:space="preserve"> </w:t>
      </w:r>
      <w:r w:rsidR="00EC703B" w:rsidRPr="002E3822">
        <w:rPr>
          <w:rFonts w:asciiTheme="majorHAnsi" w:hAnsiTheme="majorHAnsi" w:cstheme="majorHAnsi"/>
          <w:szCs w:val="22"/>
        </w:rPr>
        <w:t>de Planificación</w:t>
      </w:r>
      <w:r w:rsidR="00A343BE" w:rsidRPr="002E3822">
        <w:rPr>
          <w:rFonts w:asciiTheme="majorHAnsi" w:hAnsiTheme="majorHAnsi" w:cstheme="majorHAnsi"/>
          <w:szCs w:val="22"/>
        </w:rPr>
        <w:t xml:space="preserve"> emitirá</w:t>
      </w:r>
      <w:r w:rsidRPr="002E3822">
        <w:rPr>
          <w:rFonts w:asciiTheme="majorHAnsi" w:hAnsiTheme="majorHAnsi" w:cstheme="majorHAnsi"/>
          <w:szCs w:val="22"/>
        </w:rPr>
        <w:t xml:space="preserve"> un informe técnico favorable,</w:t>
      </w:r>
      <w:r w:rsidR="00435F29" w:rsidRPr="002E3822">
        <w:rPr>
          <w:rFonts w:asciiTheme="majorHAnsi" w:hAnsiTheme="majorHAnsi" w:cstheme="majorHAnsi"/>
          <w:szCs w:val="22"/>
        </w:rPr>
        <w:t xml:space="preserve"> en el que constará el cumplimiento de las normativas vigentes, el cual con el proyecto de ordenanza pasa</w:t>
      </w:r>
      <w:r w:rsidR="00B328A0" w:rsidRPr="002E3822">
        <w:rPr>
          <w:rFonts w:asciiTheme="majorHAnsi" w:hAnsiTheme="majorHAnsi" w:cstheme="majorHAnsi"/>
          <w:szCs w:val="22"/>
        </w:rPr>
        <w:t>rá</w:t>
      </w:r>
      <w:r w:rsidR="00435F29" w:rsidRPr="002E3822">
        <w:rPr>
          <w:rFonts w:asciiTheme="majorHAnsi" w:hAnsiTheme="majorHAnsi" w:cstheme="majorHAnsi"/>
          <w:szCs w:val="22"/>
        </w:rPr>
        <w:t xml:space="preserve"> a resolución del Concejo Municipal</w:t>
      </w:r>
      <w:r w:rsidRPr="002E3822">
        <w:rPr>
          <w:rFonts w:asciiTheme="majorHAnsi" w:hAnsiTheme="majorHAnsi" w:cstheme="majorHAnsi"/>
          <w:szCs w:val="22"/>
        </w:rPr>
        <w:t xml:space="preserve">. </w:t>
      </w:r>
    </w:p>
    <w:p w14:paraId="6B89E2BD" w14:textId="4C944A78" w:rsidR="00A8323E" w:rsidRPr="002E3822" w:rsidRDefault="00FA4727" w:rsidP="00A8323E">
      <w:pPr>
        <w:widowControl/>
        <w:pBdr>
          <w:top w:val="nil"/>
          <w:left w:val="nil"/>
          <w:bottom w:val="nil"/>
          <w:right w:val="nil"/>
          <w:between w:val="nil"/>
        </w:pBdr>
        <w:spacing w:after="240" w:line="276" w:lineRule="auto"/>
        <w:ind w:right="-100"/>
        <w:rPr>
          <w:rFonts w:asciiTheme="majorHAnsi" w:hAnsiTheme="majorHAnsi" w:cstheme="majorHAnsi"/>
          <w:szCs w:val="22"/>
        </w:rPr>
      </w:pPr>
      <w:r w:rsidRPr="002E3822">
        <w:rPr>
          <w:rFonts w:asciiTheme="majorHAnsi" w:hAnsiTheme="majorHAnsi" w:cstheme="majorHAnsi"/>
          <w:szCs w:val="22"/>
        </w:rPr>
        <w:t xml:space="preserve">La ordenanza que aprueba la urbanización, una vez en vigencia, </w:t>
      </w:r>
      <w:r w:rsidR="00A8323E" w:rsidRPr="002E3822">
        <w:rPr>
          <w:rFonts w:asciiTheme="majorHAnsi" w:hAnsiTheme="majorHAnsi" w:cstheme="majorHAnsi"/>
          <w:szCs w:val="22"/>
        </w:rPr>
        <w:t xml:space="preserve">se protocolizará en una notaría y se inscribirá en el </w:t>
      </w:r>
      <w:r w:rsidR="001F0E46" w:rsidRPr="002E3822">
        <w:rPr>
          <w:rFonts w:asciiTheme="majorHAnsi" w:hAnsiTheme="majorHAnsi" w:cstheme="majorHAnsi"/>
          <w:szCs w:val="22"/>
        </w:rPr>
        <w:t>R</w:t>
      </w:r>
      <w:r w:rsidR="00A8323E" w:rsidRPr="002E3822">
        <w:rPr>
          <w:rFonts w:asciiTheme="majorHAnsi" w:hAnsiTheme="majorHAnsi" w:cstheme="majorHAnsi"/>
          <w:szCs w:val="22"/>
        </w:rPr>
        <w:t xml:space="preserve">egistro de la </w:t>
      </w:r>
      <w:r w:rsidR="001F0E46" w:rsidRPr="002E3822">
        <w:rPr>
          <w:rFonts w:asciiTheme="majorHAnsi" w:hAnsiTheme="majorHAnsi" w:cstheme="majorHAnsi"/>
          <w:szCs w:val="22"/>
        </w:rPr>
        <w:t>P</w:t>
      </w:r>
      <w:r w:rsidR="00A8323E" w:rsidRPr="002E3822">
        <w:rPr>
          <w:rFonts w:asciiTheme="majorHAnsi" w:hAnsiTheme="majorHAnsi" w:cstheme="majorHAnsi"/>
          <w:szCs w:val="22"/>
        </w:rPr>
        <w:t>ropiedad</w:t>
      </w:r>
      <w:r w:rsidR="00487C99" w:rsidRPr="002E3822">
        <w:rPr>
          <w:rFonts w:asciiTheme="majorHAnsi" w:hAnsiTheme="majorHAnsi" w:cstheme="majorHAnsi"/>
          <w:szCs w:val="22"/>
        </w:rPr>
        <w:t xml:space="preserve"> del </w:t>
      </w:r>
      <w:r w:rsidR="001F0E46" w:rsidRPr="002E3822">
        <w:rPr>
          <w:rFonts w:asciiTheme="majorHAnsi" w:hAnsiTheme="majorHAnsi" w:cstheme="majorHAnsi"/>
          <w:szCs w:val="22"/>
        </w:rPr>
        <w:t>c</w:t>
      </w:r>
      <w:r w:rsidR="00487C99" w:rsidRPr="002E3822">
        <w:rPr>
          <w:rFonts w:asciiTheme="majorHAnsi" w:hAnsiTheme="majorHAnsi" w:cstheme="majorHAnsi"/>
          <w:szCs w:val="22"/>
        </w:rPr>
        <w:t xml:space="preserve">antón </w:t>
      </w:r>
      <w:r w:rsidR="001F0E46" w:rsidRPr="002E3822">
        <w:rPr>
          <w:rFonts w:asciiTheme="majorHAnsi" w:hAnsiTheme="majorHAnsi" w:cstheme="majorHAnsi"/>
          <w:szCs w:val="22"/>
        </w:rPr>
        <w:t>L</w:t>
      </w:r>
      <w:r w:rsidR="00487C99" w:rsidRPr="002E3822">
        <w:rPr>
          <w:rFonts w:asciiTheme="majorHAnsi" w:hAnsiTheme="majorHAnsi" w:cstheme="majorHAnsi"/>
          <w:szCs w:val="22"/>
        </w:rPr>
        <w:t>a Joya de los Sachas</w:t>
      </w:r>
      <w:r w:rsidR="007C3FE4" w:rsidRPr="002E3822">
        <w:rPr>
          <w:rFonts w:asciiTheme="majorHAnsi" w:hAnsiTheme="majorHAnsi" w:cstheme="majorHAnsi"/>
          <w:szCs w:val="22"/>
        </w:rPr>
        <w:t>; a costa del beneficiario de la ur</w:t>
      </w:r>
      <w:r w:rsidR="005252E6" w:rsidRPr="002E3822">
        <w:rPr>
          <w:rFonts w:asciiTheme="majorHAnsi" w:hAnsiTheme="majorHAnsi" w:cstheme="majorHAnsi"/>
          <w:szCs w:val="22"/>
        </w:rPr>
        <w:t>b</w:t>
      </w:r>
      <w:r w:rsidR="007C3FE4" w:rsidRPr="002E3822">
        <w:rPr>
          <w:rFonts w:asciiTheme="majorHAnsi" w:hAnsiTheme="majorHAnsi" w:cstheme="majorHAnsi"/>
          <w:szCs w:val="22"/>
        </w:rPr>
        <w:t>anización.</w:t>
      </w:r>
      <w:r w:rsidR="00A8323E" w:rsidRPr="002E3822">
        <w:rPr>
          <w:rFonts w:asciiTheme="majorHAnsi" w:hAnsiTheme="majorHAnsi" w:cstheme="majorHAnsi"/>
          <w:szCs w:val="22"/>
        </w:rPr>
        <w:t xml:space="preserve"> Tales documentos constituirán títulos de transferencia de dominio de las áreas de uso público, verdes y comunales, a favor de</w:t>
      </w:r>
      <w:r w:rsidR="001F0E46" w:rsidRPr="002E3822">
        <w:rPr>
          <w:rFonts w:asciiTheme="majorHAnsi" w:hAnsiTheme="majorHAnsi" w:cstheme="majorHAnsi"/>
          <w:szCs w:val="22"/>
        </w:rPr>
        <w:t xml:space="preserve">l GAD municipal de La Joya de los Sachas, </w:t>
      </w:r>
      <w:r w:rsidR="00A8323E" w:rsidRPr="002E3822">
        <w:rPr>
          <w:rFonts w:asciiTheme="majorHAnsi" w:hAnsiTheme="majorHAnsi" w:cstheme="majorHAnsi"/>
          <w:szCs w:val="22"/>
        </w:rPr>
        <w:t>incluidas todas las instalaciones de servicios públicos, a excepción del servicio de energía eléctrica</w:t>
      </w:r>
      <w:r w:rsidR="007C3FE4" w:rsidRPr="002E3822">
        <w:rPr>
          <w:rFonts w:asciiTheme="majorHAnsi" w:hAnsiTheme="majorHAnsi" w:cstheme="majorHAnsi"/>
          <w:szCs w:val="22"/>
        </w:rPr>
        <w:t>.</w:t>
      </w:r>
      <w:r w:rsidR="00A8323E" w:rsidRPr="002E3822">
        <w:rPr>
          <w:rFonts w:asciiTheme="majorHAnsi" w:hAnsiTheme="majorHAnsi" w:cstheme="majorHAnsi"/>
          <w:szCs w:val="22"/>
        </w:rPr>
        <w:t xml:space="preserve"> Dichas áreas no podrán enajenarse</w:t>
      </w:r>
      <w:r w:rsidR="007C3FE4" w:rsidRPr="002E3822">
        <w:rPr>
          <w:rFonts w:asciiTheme="majorHAnsi" w:hAnsiTheme="majorHAnsi" w:cstheme="majorHAnsi"/>
          <w:szCs w:val="22"/>
        </w:rPr>
        <w:t>.</w:t>
      </w:r>
    </w:p>
    <w:p w14:paraId="6CF3B591" w14:textId="21FCC644" w:rsidR="00A8323E" w:rsidRPr="002E3822" w:rsidRDefault="00A8323E" w:rsidP="00A8323E">
      <w:pPr>
        <w:widowControl/>
        <w:pBdr>
          <w:top w:val="nil"/>
          <w:left w:val="nil"/>
          <w:bottom w:val="nil"/>
          <w:right w:val="nil"/>
          <w:between w:val="nil"/>
        </w:pBdr>
        <w:spacing w:after="240" w:line="276" w:lineRule="auto"/>
        <w:ind w:right="-100"/>
        <w:rPr>
          <w:rFonts w:asciiTheme="majorHAnsi" w:hAnsiTheme="majorHAnsi" w:cstheme="majorHAnsi"/>
          <w:sz w:val="22"/>
          <w:szCs w:val="22"/>
        </w:rPr>
      </w:pPr>
      <w:r w:rsidRPr="002E3822">
        <w:rPr>
          <w:rFonts w:asciiTheme="majorHAnsi" w:hAnsiTheme="majorHAnsi" w:cstheme="majorHAnsi"/>
          <w:szCs w:val="22"/>
        </w:rPr>
        <w:t>En caso de que los beneficiarios de la</w:t>
      </w:r>
      <w:r w:rsidR="005243D9" w:rsidRPr="002E3822">
        <w:rPr>
          <w:rFonts w:asciiTheme="majorHAnsi" w:hAnsiTheme="majorHAnsi" w:cstheme="majorHAnsi"/>
          <w:szCs w:val="22"/>
        </w:rPr>
        <w:t xml:space="preserve"> </w:t>
      </w:r>
      <w:r w:rsidR="002E3822" w:rsidRPr="002E3822">
        <w:rPr>
          <w:rFonts w:asciiTheme="majorHAnsi" w:hAnsiTheme="majorHAnsi" w:cstheme="majorHAnsi"/>
          <w:szCs w:val="22"/>
        </w:rPr>
        <w:t>urbanización</w:t>
      </w:r>
      <w:r w:rsidRPr="002E3822">
        <w:rPr>
          <w:rFonts w:asciiTheme="majorHAnsi" w:hAnsiTheme="majorHAnsi" w:cstheme="majorHAnsi"/>
          <w:szCs w:val="22"/>
        </w:rPr>
        <w:t xml:space="preserve"> no procedieren conforme a lo previsto en el inciso anterior, en el término de sesenta días contados desde la entrega de tales documentos, lo hará la </w:t>
      </w:r>
      <w:r w:rsidR="00807C77" w:rsidRPr="002E3822">
        <w:rPr>
          <w:rFonts w:asciiTheme="majorHAnsi" w:hAnsiTheme="majorHAnsi" w:cstheme="majorHAnsi"/>
          <w:szCs w:val="22"/>
        </w:rPr>
        <w:t>M</w:t>
      </w:r>
      <w:r w:rsidRPr="002E3822">
        <w:rPr>
          <w:rFonts w:asciiTheme="majorHAnsi" w:hAnsiTheme="majorHAnsi" w:cstheme="majorHAnsi"/>
          <w:szCs w:val="22"/>
        </w:rPr>
        <w:t xml:space="preserve">unicipalidad. El costo, más un recargo del veinte por ciento (20%), será cobrado por el </w:t>
      </w:r>
      <w:r w:rsidR="00C75648" w:rsidRPr="002E3822">
        <w:rPr>
          <w:rFonts w:asciiTheme="majorHAnsi" w:hAnsiTheme="majorHAnsi" w:cstheme="majorHAnsi"/>
          <w:szCs w:val="22"/>
        </w:rPr>
        <w:t>GAD municipal de La Joya de los Sachas.</w:t>
      </w:r>
    </w:p>
    <w:p w14:paraId="18F37192" w14:textId="20858ED6" w:rsidR="00912F20" w:rsidRDefault="007F5505" w:rsidP="00912F20">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notificación del inicio de obras de infraestructura de la </w:t>
      </w:r>
      <w:r w:rsidR="00E72CCF">
        <w:rPr>
          <w:rFonts w:asciiTheme="majorHAnsi" w:hAnsiTheme="majorHAnsi" w:cstheme="majorHAnsi"/>
          <w:b/>
          <w:szCs w:val="22"/>
        </w:rPr>
        <w:t>urbanización</w:t>
      </w:r>
      <w:r w:rsidRPr="00B24A80">
        <w:rPr>
          <w:rFonts w:asciiTheme="majorHAnsi" w:hAnsiTheme="majorHAnsi" w:cstheme="majorHAnsi"/>
          <w:b/>
          <w:szCs w:val="22"/>
        </w:rPr>
        <w:t>. -</w:t>
      </w:r>
      <w:r w:rsidRPr="00B24A80">
        <w:rPr>
          <w:rFonts w:asciiTheme="majorHAnsi" w:hAnsiTheme="majorHAnsi" w:cstheme="majorHAnsi"/>
          <w:szCs w:val="22"/>
        </w:rPr>
        <w:t xml:space="preserve"> El propietario o el responsable técnico de la ejecución de la obra deberán notificar al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la fecha de inicio de obra. Las fechas de visita de obra se realizarán de acuerdo al cronograma planteado y previa coordinación con el responsable del proyecto. </w:t>
      </w:r>
    </w:p>
    <w:p w14:paraId="377F6007" w14:textId="77777777" w:rsidR="00912F20" w:rsidRPr="00912F20" w:rsidRDefault="00912F20" w:rsidP="00912F20">
      <w:pPr>
        <w:pStyle w:val="Prrafodelista"/>
        <w:widowControl/>
        <w:tabs>
          <w:tab w:val="left" w:pos="851"/>
        </w:tabs>
        <w:spacing w:after="240" w:line="276" w:lineRule="auto"/>
        <w:ind w:left="0" w:right="-100"/>
        <w:rPr>
          <w:rFonts w:asciiTheme="majorHAnsi" w:hAnsiTheme="majorHAnsi" w:cstheme="majorHAnsi"/>
          <w:szCs w:val="22"/>
        </w:rPr>
      </w:pPr>
    </w:p>
    <w:p w14:paraId="14D9DC50" w14:textId="599C39EF" w:rsidR="00DC27E8"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De los informes de cumplimiento de ejecución de obra de infraestructura de la </w:t>
      </w:r>
      <w:r w:rsidR="00F453DA">
        <w:rPr>
          <w:rFonts w:asciiTheme="majorHAnsi" w:hAnsiTheme="majorHAnsi" w:cstheme="majorHAnsi"/>
          <w:b/>
          <w:szCs w:val="22"/>
        </w:rPr>
        <w:t>urbanización</w:t>
      </w:r>
      <w:r w:rsidR="0085301D" w:rsidRPr="00B24A80">
        <w:rPr>
          <w:rFonts w:asciiTheme="majorHAnsi" w:hAnsiTheme="majorHAnsi" w:cstheme="majorHAnsi"/>
          <w:b/>
          <w:szCs w:val="22"/>
        </w:rPr>
        <w:t>. -</w:t>
      </w:r>
      <w:r w:rsidRPr="00B24A80">
        <w:rPr>
          <w:rFonts w:asciiTheme="majorHAnsi" w:hAnsiTheme="majorHAnsi" w:cstheme="majorHAnsi"/>
          <w:szCs w:val="22"/>
        </w:rPr>
        <w:t xml:space="preserve"> El personal técnico responsable del proyecto deberá remitir informes con los respectivos avances de obra, con la finalidad de justificar los cronogramas presentados al </w:t>
      </w:r>
      <w:r w:rsidR="006D2464" w:rsidRPr="00B24A80">
        <w:rPr>
          <w:rFonts w:asciiTheme="majorHAnsi" w:hAnsiTheme="majorHAnsi" w:cstheme="majorHAnsi"/>
          <w:szCs w:val="22"/>
        </w:rPr>
        <w:t xml:space="preserve">GADM del </w:t>
      </w:r>
      <w:r w:rsidR="00455E56" w:rsidRPr="00B24A80">
        <w:rPr>
          <w:rFonts w:asciiTheme="majorHAnsi" w:hAnsiTheme="majorHAnsi" w:cstheme="majorHAnsi"/>
          <w:szCs w:val="22"/>
        </w:rPr>
        <w:t>cantón La</w:t>
      </w:r>
      <w:r w:rsidR="006D2464" w:rsidRPr="00B24A80">
        <w:rPr>
          <w:rFonts w:asciiTheme="majorHAnsi" w:hAnsiTheme="majorHAnsi" w:cstheme="majorHAnsi"/>
          <w:szCs w:val="22"/>
        </w:rPr>
        <w:t xml:space="preserve"> Joya de los Sachas.</w:t>
      </w:r>
      <w:r w:rsidRPr="00B24A80">
        <w:rPr>
          <w:rFonts w:asciiTheme="majorHAnsi" w:hAnsiTheme="majorHAnsi" w:cstheme="majorHAnsi"/>
          <w:szCs w:val="22"/>
        </w:rPr>
        <w:t xml:space="preserve"> </w:t>
      </w:r>
    </w:p>
    <w:p w14:paraId="71D7EAF2" w14:textId="77777777" w:rsidR="00912F20" w:rsidRPr="00912F20" w:rsidRDefault="00912F20" w:rsidP="00912F20">
      <w:pPr>
        <w:pStyle w:val="Prrafodelista"/>
        <w:rPr>
          <w:rFonts w:asciiTheme="majorHAnsi" w:hAnsiTheme="majorHAnsi" w:cstheme="majorHAnsi"/>
          <w:szCs w:val="22"/>
        </w:rPr>
      </w:pPr>
    </w:p>
    <w:p w14:paraId="3DB55DB0" w14:textId="77777777" w:rsidR="00912F20" w:rsidRPr="00B24A80" w:rsidRDefault="00912F20" w:rsidP="00912F20">
      <w:pPr>
        <w:pStyle w:val="Prrafodelista"/>
        <w:widowControl/>
        <w:tabs>
          <w:tab w:val="left" w:pos="851"/>
        </w:tabs>
        <w:spacing w:after="240" w:line="276" w:lineRule="auto"/>
        <w:ind w:left="0" w:right="-100"/>
        <w:rPr>
          <w:rFonts w:asciiTheme="majorHAnsi" w:hAnsiTheme="majorHAnsi" w:cstheme="majorHAnsi"/>
          <w:szCs w:val="22"/>
        </w:rPr>
      </w:pPr>
    </w:p>
    <w:p w14:paraId="04E5B4F8" w14:textId="5E8B032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las inspecciones de avance obra de infraestructura de la </w:t>
      </w:r>
      <w:r w:rsidR="008B008E">
        <w:rPr>
          <w:rFonts w:asciiTheme="majorHAnsi" w:hAnsiTheme="majorHAnsi" w:cstheme="majorHAnsi"/>
          <w:b/>
          <w:szCs w:val="22"/>
        </w:rPr>
        <w:t>urbanización</w:t>
      </w:r>
      <w:r w:rsidRPr="00B24A80">
        <w:rPr>
          <w:rFonts w:asciiTheme="majorHAnsi" w:hAnsiTheme="majorHAnsi" w:cstheme="majorHAnsi"/>
          <w:b/>
          <w:szCs w:val="22"/>
        </w:rPr>
        <w:t>.</w:t>
      </w:r>
      <w:r w:rsidRPr="00B24A80">
        <w:rPr>
          <w:rFonts w:asciiTheme="majorHAnsi" w:hAnsiTheme="majorHAnsi" w:cstheme="majorHAnsi"/>
          <w:szCs w:val="22"/>
        </w:rPr>
        <w:t xml:space="preserve"> - Cuando la ejecución del proyecto o etapa se encuentre en su proceso de construcción, el personal técnico </w:t>
      </w:r>
      <w:r w:rsidRPr="00B24A80">
        <w:rPr>
          <w:rFonts w:asciiTheme="majorHAnsi" w:hAnsiTheme="majorHAnsi" w:cstheme="majorHAnsi"/>
          <w:szCs w:val="22"/>
        </w:rPr>
        <w:lastRenderedPageBreak/>
        <w:t xml:space="preserve">del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realizará las inspecciones de avance de obras de acuerdo al cronograma establecido. </w:t>
      </w:r>
    </w:p>
    <w:p w14:paraId="4C5BE794" w14:textId="77777777" w:rsidR="00AD68BB" w:rsidRPr="00B24A80" w:rsidRDefault="00AD68BB" w:rsidP="00AD68BB">
      <w:pPr>
        <w:pStyle w:val="Prrafodelista"/>
        <w:widowControl/>
        <w:tabs>
          <w:tab w:val="left" w:pos="851"/>
        </w:tabs>
        <w:spacing w:after="240" w:line="276" w:lineRule="auto"/>
        <w:ind w:left="0" w:right="-100"/>
        <w:rPr>
          <w:rFonts w:asciiTheme="majorHAnsi" w:hAnsiTheme="majorHAnsi" w:cstheme="majorHAnsi"/>
          <w:szCs w:val="22"/>
        </w:rPr>
      </w:pPr>
    </w:p>
    <w:p w14:paraId="7B5C41A4" w14:textId="1605F80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Del incumplimiento de la ejecución de las obras de infraestructura de la </w:t>
      </w:r>
      <w:r w:rsidR="008B008E">
        <w:rPr>
          <w:rFonts w:asciiTheme="majorHAnsi" w:hAnsiTheme="majorHAnsi" w:cstheme="majorHAnsi"/>
          <w:b/>
          <w:szCs w:val="22"/>
        </w:rPr>
        <w:t>urbanización</w:t>
      </w:r>
      <w:r w:rsidR="00465C77" w:rsidRPr="00B24A80">
        <w:rPr>
          <w:rFonts w:asciiTheme="majorHAnsi" w:hAnsiTheme="majorHAnsi" w:cstheme="majorHAnsi"/>
          <w:b/>
          <w:szCs w:val="22"/>
        </w:rPr>
        <w:t>. -</w:t>
      </w:r>
      <w:r w:rsidRPr="00B24A80">
        <w:rPr>
          <w:rFonts w:asciiTheme="majorHAnsi" w:hAnsiTheme="majorHAnsi" w:cstheme="majorHAnsi"/>
          <w:szCs w:val="22"/>
        </w:rPr>
        <w:t xml:space="preserve"> En caso de que las visitas técnicas y los informes evidencien un incumplimiento de normas técnicas de construcción o una ejecución diferente a lo planteado en los planos aprobados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se tomará las siguientes acciones: </w:t>
      </w:r>
    </w:p>
    <w:p w14:paraId="1D4F2F96" w14:textId="04EEFFF3" w:rsidR="00DC27E8" w:rsidRPr="00B24A80" w:rsidRDefault="007F5505" w:rsidP="00CA24CF">
      <w:pPr>
        <w:pStyle w:val="Prrafodelista"/>
        <w:widowControl/>
        <w:numPr>
          <w:ilvl w:val="0"/>
          <w:numId w:val="64"/>
        </w:numPr>
        <w:pBdr>
          <w:top w:val="nil"/>
          <w:left w:val="nil"/>
          <w:bottom w:val="nil"/>
          <w:right w:val="nil"/>
          <w:between w:val="nil"/>
        </w:pBdr>
        <w:spacing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Si se evidencia en el informe el incumplimiento del 25% de avance de obra o etapa, se notificará al técnico responsable de ejecución de obra y al propietario, las acciones correctivas que se deberán tomar. </w:t>
      </w:r>
    </w:p>
    <w:p w14:paraId="01E13C7A" w14:textId="1F80DF82" w:rsidR="00DC27E8" w:rsidRPr="00B24A80" w:rsidRDefault="007F5505" w:rsidP="00CA24CF">
      <w:pPr>
        <w:pStyle w:val="Prrafodelista"/>
        <w:widowControl/>
        <w:numPr>
          <w:ilvl w:val="0"/>
          <w:numId w:val="64"/>
        </w:numPr>
        <w:pBdr>
          <w:top w:val="nil"/>
          <w:left w:val="nil"/>
          <w:bottom w:val="nil"/>
          <w:right w:val="nil"/>
          <w:between w:val="nil"/>
        </w:pBdr>
        <w:spacing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En caso de que exista incumplimiento de acuerdo a lo presentado en los planos y memorias del proyecto aprobado, pero lo ejecutado cumple con la normativa local y nacional, se deberá proceder con la aprobación de los planos modificatorios del proyecto. c) Si se evidencia en el informe el incumplimiento del 50% de avance de obra o etapa de acuerdo a lo presentado en planos y memorias del proyecto aprobado, se notificará al técnico responsable de ejecución de obra y al propietario las acciones correctivas que deberá tomar y se procederá con la clausura de la obra, sin perjuicio de las acciones que determine el procedimiento sancionatorio aprobado por el </w:t>
      </w:r>
      <w:r w:rsidR="006D2464" w:rsidRPr="00B24A80">
        <w:rPr>
          <w:rFonts w:asciiTheme="majorHAnsi" w:hAnsiTheme="majorHAnsi" w:cstheme="majorHAnsi"/>
          <w:szCs w:val="22"/>
        </w:rPr>
        <w:t xml:space="preserve">GADM del </w:t>
      </w:r>
      <w:r w:rsidR="00455E56" w:rsidRPr="00B24A80">
        <w:rPr>
          <w:rFonts w:asciiTheme="majorHAnsi" w:hAnsiTheme="majorHAnsi" w:cstheme="majorHAnsi"/>
          <w:szCs w:val="22"/>
        </w:rPr>
        <w:t>cantón La</w:t>
      </w:r>
      <w:r w:rsidR="006D2464" w:rsidRPr="00B24A80">
        <w:rPr>
          <w:rFonts w:asciiTheme="majorHAnsi" w:hAnsiTheme="majorHAnsi" w:cstheme="majorHAnsi"/>
          <w:szCs w:val="22"/>
        </w:rPr>
        <w:t xml:space="preserve"> Joya de los Sachas.</w:t>
      </w:r>
      <w:r w:rsidRPr="00B24A80">
        <w:rPr>
          <w:rFonts w:asciiTheme="majorHAnsi" w:hAnsiTheme="majorHAnsi" w:cstheme="majorHAnsi"/>
          <w:szCs w:val="22"/>
        </w:rPr>
        <w:t xml:space="preserve"> </w:t>
      </w:r>
    </w:p>
    <w:p w14:paraId="2E0B3813" w14:textId="77777777" w:rsidR="00AD68BB" w:rsidRPr="00B24A80" w:rsidRDefault="00AD68BB" w:rsidP="00AD68BB">
      <w:pPr>
        <w:pStyle w:val="Prrafodelista"/>
        <w:widowControl/>
        <w:pBdr>
          <w:top w:val="nil"/>
          <w:left w:val="nil"/>
          <w:bottom w:val="nil"/>
          <w:right w:val="nil"/>
          <w:between w:val="nil"/>
        </w:pBdr>
        <w:spacing w:after="240" w:line="276" w:lineRule="auto"/>
        <w:ind w:right="-100"/>
        <w:rPr>
          <w:rFonts w:asciiTheme="majorHAnsi" w:hAnsiTheme="majorHAnsi" w:cstheme="majorHAnsi"/>
          <w:szCs w:val="22"/>
        </w:rPr>
      </w:pPr>
    </w:p>
    <w:p w14:paraId="38D9C387" w14:textId="6DB6CF7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modificación de planos de las obras de infraestructura de la </w:t>
      </w:r>
      <w:r w:rsidR="00F453DA">
        <w:rPr>
          <w:rFonts w:asciiTheme="majorHAnsi" w:hAnsiTheme="majorHAnsi" w:cstheme="majorHAnsi"/>
          <w:b/>
          <w:szCs w:val="22"/>
        </w:rPr>
        <w:t>urbanización</w:t>
      </w:r>
      <w:r w:rsidRPr="00B24A80">
        <w:rPr>
          <w:rFonts w:asciiTheme="majorHAnsi" w:hAnsiTheme="majorHAnsi" w:cstheme="majorHAnsi"/>
          <w:b/>
          <w:szCs w:val="22"/>
        </w:rPr>
        <w:t>. -</w:t>
      </w:r>
      <w:r w:rsidRPr="00B24A80">
        <w:rPr>
          <w:rFonts w:asciiTheme="majorHAnsi" w:hAnsiTheme="majorHAnsi" w:cstheme="majorHAnsi"/>
          <w:szCs w:val="22"/>
        </w:rPr>
        <w:t xml:space="preserve"> Cuando se realicen modificaciones en el proyecto urbanístico previo al inicio de obra o con base a los informes de inspección de obra; será obligatorio la aprobación de planos modificatorios, para lo cual el solicitante deberá presentar la siguiente documentación: </w:t>
      </w:r>
    </w:p>
    <w:p w14:paraId="152ED628" w14:textId="41198552" w:rsidR="00DC27E8" w:rsidRPr="00B24A80" w:rsidRDefault="007F5505" w:rsidP="00CA24CF">
      <w:pPr>
        <w:pStyle w:val="Prrafodelista"/>
        <w:widowControl/>
        <w:numPr>
          <w:ilvl w:val="0"/>
          <w:numId w:val="65"/>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Solicitud suscrita por el propietario y el profesional responsable dirigido al Director de Planificación, de acuerdo al formato establecido por el </w:t>
      </w:r>
      <w:r w:rsidR="006D2464" w:rsidRPr="00B24A80">
        <w:rPr>
          <w:rFonts w:asciiTheme="majorHAnsi" w:hAnsiTheme="majorHAnsi" w:cstheme="majorHAnsi"/>
          <w:szCs w:val="22"/>
        </w:rPr>
        <w:t xml:space="preserve">GADM del </w:t>
      </w:r>
      <w:r w:rsidR="00455E56" w:rsidRPr="00B24A80">
        <w:rPr>
          <w:rFonts w:asciiTheme="majorHAnsi" w:hAnsiTheme="majorHAnsi" w:cstheme="majorHAnsi"/>
          <w:szCs w:val="22"/>
        </w:rPr>
        <w:t>cantón La</w:t>
      </w:r>
      <w:r w:rsidR="006D2464" w:rsidRPr="00B24A80">
        <w:rPr>
          <w:rFonts w:asciiTheme="majorHAnsi" w:hAnsiTheme="majorHAnsi" w:cstheme="majorHAnsi"/>
          <w:szCs w:val="22"/>
        </w:rPr>
        <w:t xml:space="preserve"> Joya de los Sachas.</w:t>
      </w:r>
      <w:r w:rsidRPr="00B24A80">
        <w:rPr>
          <w:rFonts w:asciiTheme="majorHAnsi" w:hAnsiTheme="majorHAnsi" w:cstheme="majorHAnsi"/>
          <w:szCs w:val="22"/>
        </w:rPr>
        <w:t xml:space="preserve"> </w:t>
      </w:r>
    </w:p>
    <w:p w14:paraId="40DA8B48" w14:textId="145F3E21" w:rsidR="00DC27E8" w:rsidRPr="00B24A80" w:rsidRDefault="007F5505" w:rsidP="00CA24CF">
      <w:pPr>
        <w:pStyle w:val="Prrafodelista"/>
        <w:widowControl/>
        <w:numPr>
          <w:ilvl w:val="0"/>
          <w:numId w:val="65"/>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Original de la cédula y papeleta de votación del propietario. En caso de que el trámite lo realice un tercero, presentará la autorización del propietario y su cédula de ciudadanía y certificado de votación. </w:t>
      </w:r>
    </w:p>
    <w:p w14:paraId="24DF44B8" w14:textId="2D7B9B52" w:rsidR="00AC3815" w:rsidRPr="00B24A80" w:rsidRDefault="00AC3815" w:rsidP="00CA24CF">
      <w:pPr>
        <w:pStyle w:val="Prrafodelista"/>
        <w:widowControl/>
        <w:numPr>
          <w:ilvl w:val="0"/>
          <w:numId w:val="65"/>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Certificado de no adeudar al municipio.</w:t>
      </w:r>
    </w:p>
    <w:p w14:paraId="1B1E1F54" w14:textId="6C82BC0A" w:rsidR="00DC27E8" w:rsidRPr="00B24A80" w:rsidRDefault="007F5505" w:rsidP="00CA24CF">
      <w:pPr>
        <w:pStyle w:val="Prrafodelista"/>
        <w:widowControl/>
        <w:numPr>
          <w:ilvl w:val="0"/>
          <w:numId w:val="65"/>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Memoria justificativa de los cambios y modificaciones. </w:t>
      </w:r>
    </w:p>
    <w:p w14:paraId="6DA488A5" w14:textId="52331CCE" w:rsidR="00DC27E8" w:rsidRPr="00B24A80" w:rsidRDefault="007F5505" w:rsidP="00CA24CF">
      <w:pPr>
        <w:pStyle w:val="Prrafodelista"/>
        <w:widowControl/>
        <w:numPr>
          <w:ilvl w:val="0"/>
          <w:numId w:val="65"/>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Original o copias de los planos aprobados; y, </w:t>
      </w:r>
    </w:p>
    <w:p w14:paraId="5C1B0572" w14:textId="5C897454" w:rsidR="00DC27E8" w:rsidRPr="00B24A80" w:rsidRDefault="007F5505" w:rsidP="00CA24CF">
      <w:pPr>
        <w:pStyle w:val="Prrafodelista"/>
        <w:widowControl/>
        <w:numPr>
          <w:ilvl w:val="0"/>
          <w:numId w:val="65"/>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Planos modificatorios resaltando los cambios requeridos (en físico y en digital en formato </w:t>
      </w:r>
      <w:r w:rsidR="00083E97" w:rsidRPr="00B24A80">
        <w:rPr>
          <w:rFonts w:asciiTheme="majorHAnsi" w:hAnsiTheme="majorHAnsi" w:cstheme="majorHAnsi"/>
          <w:i/>
          <w:iCs/>
          <w:szCs w:val="22"/>
        </w:rPr>
        <w:t>DWG</w:t>
      </w:r>
      <w:r w:rsidRPr="00B24A80">
        <w:rPr>
          <w:rFonts w:asciiTheme="majorHAnsi" w:hAnsiTheme="majorHAnsi" w:cstheme="majorHAnsi"/>
          <w:szCs w:val="22"/>
        </w:rPr>
        <w:t>) con la firma y datos del propietario (nombre y número de cédula) y de los profesionales competentes (nombre, número de cédula y registro Senescyt) en cada especialidad. Los planos deberán estar elaborados en conformidad con la normativa urbanística y demás normativa vigente para el efecto.</w:t>
      </w:r>
    </w:p>
    <w:p w14:paraId="13ACC8A6" w14:textId="77777777" w:rsidR="00DC27E8" w:rsidRPr="00B24A80" w:rsidRDefault="007F5505">
      <w:pPr>
        <w:widowControl/>
        <w:pBdr>
          <w:top w:val="nil"/>
          <w:left w:val="nil"/>
          <w:bottom w:val="nil"/>
          <w:right w:val="nil"/>
          <w:between w:val="nil"/>
        </w:pBdr>
        <w:spacing w:after="240" w:line="276" w:lineRule="auto"/>
        <w:ind w:right="-100"/>
        <w:rPr>
          <w:rFonts w:asciiTheme="majorHAnsi" w:hAnsiTheme="majorHAnsi" w:cstheme="majorHAnsi"/>
          <w:b/>
          <w:sz w:val="22"/>
          <w:szCs w:val="22"/>
        </w:rPr>
      </w:pPr>
      <w:r w:rsidRPr="00B24A80">
        <w:rPr>
          <w:rFonts w:asciiTheme="majorHAnsi" w:hAnsiTheme="majorHAnsi" w:cstheme="majorHAnsi"/>
          <w:b/>
          <w:sz w:val="22"/>
          <w:szCs w:val="22"/>
        </w:rPr>
        <w:t xml:space="preserve"> </w:t>
      </w:r>
    </w:p>
    <w:p w14:paraId="669A40CC" w14:textId="7A491BA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Del informe de finalización de las obras de infraestructura de la </w:t>
      </w:r>
      <w:r w:rsidR="00F453DA">
        <w:rPr>
          <w:rFonts w:asciiTheme="majorHAnsi" w:hAnsiTheme="majorHAnsi" w:cstheme="majorHAnsi"/>
          <w:b/>
          <w:szCs w:val="22"/>
        </w:rPr>
        <w:t>urbanización</w:t>
      </w:r>
      <w:r w:rsidR="00AC3815" w:rsidRPr="00F453DA">
        <w:rPr>
          <w:rFonts w:asciiTheme="majorHAnsi" w:hAnsiTheme="majorHAnsi" w:cstheme="majorHAnsi"/>
          <w:b/>
          <w:color w:val="FF0000"/>
          <w:szCs w:val="22"/>
        </w:rPr>
        <w:t>. -</w:t>
      </w:r>
      <w:r w:rsidRPr="00F453DA">
        <w:rPr>
          <w:rFonts w:asciiTheme="majorHAnsi" w:hAnsiTheme="majorHAnsi" w:cstheme="majorHAnsi"/>
          <w:color w:val="FF0000"/>
          <w:szCs w:val="22"/>
        </w:rPr>
        <w:t xml:space="preserve"> </w:t>
      </w:r>
      <w:r w:rsidRPr="00B24A80">
        <w:rPr>
          <w:rFonts w:asciiTheme="majorHAnsi" w:hAnsiTheme="majorHAnsi" w:cstheme="majorHAnsi"/>
          <w:szCs w:val="22"/>
        </w:rPr>
        <w:t xml:space="preserve">Al culminar la ejecución del proyecto o etapa, el responsable técnico de ejecución de obra remitirá un informe de finalización de obra dirigido al </w:t>
      </w:r>
      <w:r w:rsidR="006D2464" w:rsidRPr="00B24A80">
        <w:rPr>
          <w:rFonts w:asciiTheme="majorHAnsi" w:hAnsiTheme="majorHAnsi" w:cstheme="majorHAnsi"/>
          <w:szCs w:val="22"/>
        </w:rPr>
        <w:t xml:space="preserve">GADM del </w:t>
      </w:r>
      <w:r w:rsidR="00EC703B" w:rsidRPr="00B24A80">
        <w:rPr>
          <w:rFonts w:asciiTheme="majorHAnsi" w:hAnsiTheme="majorHAnsi" w:cstheme="majorHAnsi"/>
          <w:szCs w:val="22"/>
        </w:rPr>
        <w:t>cantón La</w:t>
      </w:r>
      <w:r w:rsidR="006D2464" w:rsidRPr="00B24A80">
        <w:rPr>
          <w:rFonts w:asciiTheme="majorHAnsi" w:hAnsiTheme="majorHAnsi" w:cstheme="majorHAnsi"/>
          <w:szCs w:val="22"/>
        </w:rPr>
        <w:t xml:space="preserve"> Joya de los Sachas.</w:t>
      </w:r>
      <w:r w:rsidRPr="00B24A80">
        <w:rPr>
          <w:rFonts w:asciiTheme="majorHAnsi" w:hAnsiTheme="majorHAnsi" w:cstheme="majorHAnsi"/>
          <w:szCs w:val="22"/>
        </w:rPr>
        <w:t xml:space="preserve"> En base a este informe,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notificará la fecha de inspección final de la obra. </w:t>
      </w:r>
    </w:p>
    <w:p w14:paraId="599AA1E8" w14:textId="77777777" w:rsidR="00EC703B" w:rsidRPr="00B24A80" w:rsidRDefault="00EC703B" w:rsidP="00EC703B">
      <w:pPr>
        <w:pStyle w:val="Prrafodelista"/>
        <w:widowControl/>
        <w:tabs>
          <w:tab w:val="left" w:pos="851"/>
        </w:tabs>
        <w:spacing w:after="240" w:line="276" w:lineRule="auto"/>
        <w:ind w:left="0" w:right="-100"/>
        <w:rPr>
          <w:rFonts w:asciiTheme="majorHAnsi" w:hAnsiTheme="majorHAnsi" w:cstheme="majorHAnsi"/>
          <w:szCs w:val="22"/>
        </w:rPr>
      </w:pPr>
    </w:p>
    <w:p w14:paraId="67AE4CB1" w14:textId="5A9C1605" w:rsidR="00A3563A" w:rsidRPr="009861E7" w:rsidRDefault="007F5505" w:rsidP="009861E7">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inspección final de la obra de infraestructura de la </w:t>
      </w:r>
      <w:r w:rsidR="00F453DA" w:rsidRPr="00912F20">
        <w:rPr>
          <w:rFonts w:asciiTheme="majorHAnsi" w:hAnsiTheme="majorHAnsi" w:cstheme="majorHAnsi"/>
          <w:b/>
          <w:szCs w:val="22"/>
        </w:rPr>
        <w:t>urbanización</w:t>
      </w:r>
      <w:r w:rsidR="00AC3815" w:rsidRPr="00912F20">
        <w:rPr>
          <w:rFonts w:asciiTheme="majorHAnsi" w:hAnsiTheme="majorHAnsi" w:cstheme="majorHAnsi"/>
          <w:b/>
          <w:szCs w:val="22"/>
        </w:rPr>
        <w:t>. -</w:t>
      </w:r>
      <w:r w:rsidRPr="00912F20">
        <w:rPr>
          <w:rFonts w:asciiTheme="majorHAnsi" w:hAnsiTheme="majorHAnsi" w:cstheme="majorHAnsi"/>
          <w:szCs w:val="22"/>
        </w:rPr>
        <w:t xml:space="preserve"> </w:t>
      </w:r>
      <w:r w:rsidRPr="00B24A80">
        <w:rPr>
          <w:rFonts w:asciiTheme="majorHAnsi" w:hAnsiTheme="majorHAnsi" w:cstheme="majorHAnsi"/>
          <w:szCs w:val="22"/>
        </w:rPr>
        <w:t xml:space="preserve">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deberá emitir un informe de la inspección en la que conste la verificación del cumplimiento de las normas técnicas de construcción y los planos aprobados, comparando con el informe entregado por el responsable técnico de ejecución.</w:t>
      </w:r>
    </w:p>
    <w:p w14:paraId="001C8E24" w14:textId="77777777" w:rsidR="00A3563A" w:rsidRPr="00A3563A" w:rsidRDefault="00A3563A" w:rsidP="00A3563A">
      <w:pPr>
        <w:pStyle w:val="Prrafodelista"/>
        <w:widowControl/>
        <w:tabs>
          <w:tab w:val="left" w:pos="851"/>
        </w:tabs>
        <w:spacing w:after="240" w:line="276" w:lineRule="auto"/>
        <w:ind w:left="0" w:right="-100"/>
        <w:rPr>
          <w:rFonts w:asciiTheme="majorHAnsi" w:hAnsiTheme="majorHAnsi" w:cstheme="majorHAnsi"/>
          <w:szCs w:val="22"/>
        </w:rPr>
      </w:pPr>
    </w:p>
    <w:p w14:paraId="58B5A417" w14:textId="51CE508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la ejecución de la garantía. -</w:t>
      </w:r>
      <w:r w:rsidRPr="00B24A80">
        <w:rPr>
          <w:rFonts w:asciiTheme="majorHAnsi" w:hAnsiTheme="majorHAnsi" w:cstheme="majorHAnsi"/>
          <w:szCs w:val="22"/>
        </w:rPr>
        <w:t xml:space="preserve"> La ejecución de la garantía, se efectuará en los siguientes casos: </w:t>
      </w:r>
    </w:p>
    <w:p w14:paraId="4B64F2B4" w14:textId="47076E59" w:rsidR="00DC27E8" w:rsidRPr="00B24A80" w:rsidRDefault="007F5505" w:rsidP="00CA24CF">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Incumplimiento por parte del promotor </w:t>
      </w:r>
      <w:r w:rsidR="00703F06" w:rsidRPr="00F630D0">
        <w:rPr>
          <w:rFonts w:asciiTheme="majorHAnsi" w:hAnsiTheme="majorHAnsi" w:cstheme="majorHAnsi"/>
          <w:szCs w:val="22"/>
        </w:rPr>
        <w:t xml:space="preserve">urbanístico </w:t>
      </w:r>
      <w:r w:rsidRPr="00B24A80">
        <w:rPr>
          <w:rFonts w:asciiTheme="majorHAnsi" w:hAnsiTheme="majorHAnsi" w:cstheme="majorHAnsi"/>
          <w:szCs w:val="22"/>
        </w:rPr>
        <w:t xml:space="preserve">de las normas establecidas por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o normativas urbanísticas y de planificación, así como las normativas vigentes. </w:t>
      </w:r>
    </w:p>
    <w:p w14:paraId="7ABFAFE4" w14:textId="2A5D5C35" w:rsidR="00DC27E8" w:rsidRPr="00B24A80" w:rsidRDefault="007F5505" w:rsidP="00CA24CF">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Vencimiento de los plazos establecidos para la entrega de las obras de la </w:t>
      </w:r>
      <w:r w:rsidR="00F453DA">
        <w:rPr>
          <w:rFonts w:asciiTheme="majorHAnsi" w:hAnsiTheme="majorHAnsi" w:cstheme="majorHAnsi"/>
          <w:szCs w:val="22"/>
        </w:rPr>
        <w:t>urbanización</w:t>
      </w:r>
      <w:r w:rsidRPr="00B24A80">
        <w:rPr>
          <w:rFonts w:asciiTheme="majorHAnsi" w:hAnsiTheme="majorHAnsi" w:cstheme="majorHAnsi"/>
          <w:szCs w:val="22"/>
        </w:rPr>
        <w:t xml:space="preserve"> sin la justificación técnica y legal correspondiente. </w:t>
      </w:r>
    </w:p>
    <w:p w14:paraId="26CBA921" w14:textId="1C8EC89C" w:rsidR="00DC27E8" w:rsidRDefault="007F5505" w:rsidP="00CA24CF">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En caso de que el propietario no ejecutase las acciones correctivas planteadas por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en los plazos establecidos por el mismo, se procederá con la ejecución de las garantías y aplicación de las sanciones respectivas quedando en responsabilidad del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el culminar con las obras de infraestructura planificadas. </w:t>
      </w:r>
    </w:p>
    <w:p w14:paraId="64E5203E" w14:textId="77777777" w:rsidR="00FF1CD4" w:rsidRP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 xml:space="preserve">Garantía incondicional, irrevocable y de cobro inmediato, otorgada por un banco o institución financiera establecidos en el país o por intermedio de ellos; </w:t>
      </w:r>
    </w:p>
    <w:p w14:paraId="4512CD5B" w14:textId="77777777" w:rsidR="00FF1CD4" w:rsidRP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 xml:space="preserve">Fianza instrumentada en una póliza de seguros, incondicional e irrevocable, de cobro inmediato, emitida por una compañía de seguros establecida en el país; </w:t>
      </w:r>
    </w:p>
    <w:p w14:paraId="7D5CE5EF" w14:textId="77777777" w:rsidR="00FF1CD4" w:rsidRP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 xml:space="preserve">Primera hipoteca de bienes raíces, siempre que el monto de la garantía no exceda del sesenta (60%) por ciento del valor del inmueble hipotecado, según el correspondiente avalúo catastral; </w:t>
      </w:r>
    </w:p>
    <w:p w14:paraId="6FEE05C5" w14:textId="77777777" w:rsidR="00FF1CD4" w:rsidRP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 xml:space="preserve">Segunda hipoteca de los lotes de la urbanización, por el ciento por ciento (100%) del valor de las obras de urbanización, según el correspondiente avalúo catastral; </w:t>
      </w:r>
    </w:p>
    <w:p w14:paraId="196051D3" w14:textId="77777777" w:rsidR="00FF1CD4" w:rsidRP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 xml:space="preserve">Depósitos de bonos del Estado, de las municipalidades y de otras instituciones del Estado, certificaciones de la Tesorería General de la Nación, cédulas hipotecarias, bonos de prenda, Notas de crédito otorgadas por el Servicio de Rentas Internas, o valores fiduciarios que hayan sido calificados por el Directorio del Banco Central del Ecuador. Su valor se computará de acuerdo con su cotización en las bolsas de valores del país, al momento de constituir la garantía. Los intereses que produzcan pertenecerán al proveedor;  </w:t>
      </w:r>
    </w:p>
    <w:p w14:paraId="1F2FDDDA" w14:textId="77777777" w:rsidR="00FF1CD4" w:rsidRP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 xml:space="preserve">Certificados de depósito a plazo, emitidos por una institución financiera establecida en el país, endosados por valor en garantía a la orden del Gobierno Autónomo Descentralizado Municipal del Cantón La Joya de los Sachas y cuyo plazo de vigencia sea mayor al estimado para la ejecución de las obras; y, </w:t>
      </w:r>
    </w:p>
    <w:p w14:paraId="2B089DDC" w14:textId="0A5EB1A4" w:rsidR="00FF1CD4" w:rsidRDefault="00FF1CD4" w:rsidP="00FF1CD4">
      <w:pPr>
        <w:pStyle w:val="Prrafodelista"/>
        <w:widowControl/>
        <w:numPr>
          <w:ilvl w:val="0"/>
          <w:numId w:val="66"/>
        </w:numPr>
        <w:pBdr>
          <w:top w:val="nil"/>
          <w:left w:val="nil"/>
          <w:bottom w:val="nil"/>
          <w:right w:val="nil"/>
          <w:between w:val="nil"/>
        </w:pBdr>
        <w:spacing w:line="276" w:lineRule="auto"/>
        <w:ind w:right="-100"/>
        <w:rPr>
          <w:rFonts w:asciiTheme="majorHAnsi" w:hAnsiTheme="majorHAnsi" w:cstheme="majorHAnsi"/>
          <w:szCs w:val="22"/>
        </w:rPr>
      </w:pPr>
      <w:r w:rsidRPr="00FF1CD4">
        <w:rPr>
          <w:rFonts w:asciiTheme="majorHAnsi" w:hAnsiTheme="majorHAnsi" w:cstheme="majorHAnsi"/>
          <w:szCs w:val="22"/>
        </w:rPr>
        <w:t>Dinero de curso legal, depositado en una cuenta bancaria que la Dirección de Gestión Financiera disponga para este tipo de garantías.</w:t>
      </w:r>
    </w:p>
    <w:p w14:paraId="64B47D55" w14:textId="77777777" w:rsidR="004319C7" w:rsidRDefault="004319C7" w:rsidP="004319C7">
      <w:pPr>
        <w:widowControl/>
        <w:pBdr>
          <w:top w:val="nil"/>
          <w:left w:val="nil"/>
          <w:bottom w:val="nil"/>
          <w:right w:val="nil"/>
          <w:between w:val="nil"/>
        </w:pBdr>
        <w:spacing w:line="276" w:lineRule="auto"/>
        <w:ind w:right="-100"/>
        <w:rPr>
          <w:rFonts w:asciiTheme="majorHAnsi" w:hAnsiTheme="majorHAnsi" w:cstheme="majorHAnsi"/>
          <w:szCs w:val="22"/>
        </w:rPr>
      </w:pPr>
    </w:p>
    <w:p w14:paraId="588AD050" w14:textId="1DC61AB2" w:rsidR="005D69F6" w:rsidRPr="0073702C" w:rsidRDefault="005D69F6" w:rsidP="0073702C">
      <w:pPr>
        <w:pStyle w:val="Prrafodelista"/>
        <w:widowControl/>
        <w:numPr>
          <w:ilvl w:val="0"/>
          <w:numId w:val="114"/>
        </w:numPr>
        <w:tabs>
          <w:tab w:val="left" w:pos="851"/>
        </w:tabs>
        <w:spacing w:after="240" w:line="276" w:lineRule="auto"/>
        <w:ind w:left="0" w:right="-100" w:firstLine="0"/>
        <w:rPr>
          <w:rFonts w:asciiTheme="majorHAnsi" w:hAnsiTheme="majorHAnsi" w:cstheme="majorHAnsi"/>
          <w:b/>
          <w:szCs w:val="22"/>
        </w:rPr>
      </w:pPr>
      <w:r w:rsidRPr="0073702C">
        <w:rPr>
          <w:rFonts w:asciiTheme="majorHAnsi" w:hAnsiTheme="majorHAnsi" w:cstheme="majorHAnsi"/>
          <w:b/>
          <w:bCs/>
          <w:szCs w:val="22"/>
        </w:rPr>
        <w:t>Devolución de las garantías de obras en división o fraccionamiento. -</w:t>
      </w:r>
      <w:r w:rsidR="0073702C">
        <w:rPr>
          <w:rFonts w:asciiTheme="majorHAnsi" w:hAnsiTheme="majorHAnsi" w:cstheme="majorHAnsi"/>
          <w:szCs w:val="22"/>
        </w:rPr>
        <w:t xml:space="preserve"> </w:t>
      </w:r>
      <w:r w:rsidRPr="0073702C">
        <w:rPr>
          <w:rFonts w:asciiTheme="majorHAnsi" w:hAnsiTheme="majorHAnsi" w:cstheme="majorHAnsi"/>
          <w:szCs w:val="22"/>
        </w:rPr>
        <w:t>Para la devolución de las garantías de ejecución de las obras de urbanización o</w:t>
      </w:r>
      <w:r w:rsidR="000A6AE4" w:rsidRPr="0073702C">
        <w:rPr>
          <w:rFonts w:asciiTheme="majorHAnsi" w:hAnsiTheme="majorHAnsi" w:cstheme="majorHAnsi"/>
          <w:szCs w:val="22"/>
        </w:rPr>
        <w:t xml:space="preserve"> </w:t>
      </w:r>
      <w:r w:rsidRPr="0073702C">
        <w:rPr>
          <w:rFonts w:asciiTheme="majorHAnsi" w:hAnsiTheme="majorHAnsi" w:cstheme="majorHAnsi"/>
          <w:szCs w:val="22"/>
        </w:rPr>
        <w:t>fraccionamiento se suscribirá el acta de entrega recepción de las obras ejecutadas</w:t>
      </w:r>
      <w:r w:rsidR="000A6AE4" w:rsidRPr="0073702C">
        <w:rPr>
          <w:rFonts w:asciiTheme="majorHAnsi" w:hAnsiTheme="majorHAnsi" w:cstheme="majorHAnsi"/>
          <w:szCs w:val="22"/>
        </w:rPr>
        <w:t xml:space="preserve"> </w:t>
      </w:r>
      <w:r w:rsidRPr="0073702C">
        <w:rPr>
          <w:rFonts w:asciiTheme="majorHAnsi" w:hAnsiTheme="majorHAnsi" w:cstheme="majorHAnsi"/>
          <w:szCs w:val="22"/>
        </w:rPr>
        <w:t xml:space="preserve">entre el promotor de la </w:t>
      </w:r>
      <w:r w:rsidRPr="0073702C">
        <w:rPr>
          <w:rFonts w:asciiTheme="majorHAnsi" w:hAnsiTheme="majorHAnsi" w:cstheme="majorHAnsi"/>
          <w:szCs w:val="22"/>
        </w:rPr>
        <w:lastRenderedPageBreak/>
        <w:t>urbanización y los representantes legales del Gobierno</w:t>
      </w:r>
      <w:r w:rsidR="000A6AE4" w:rsidRPr="0073702C">
        <w:rPr>
          <w:rFonts w:asciiTheme="majorHAnsi" w:hAnsiTheme="majorHAnsi" w:cstheme="majorHAnsi"/>
          <w:szCs w:val="22"/>
        </w:rPr>
        <w:t xml:space="preserve"> </w:t>
      </w:r>
      <w:r w:rsidRPr="0073702C">
        <w:rPr>
          <w:rFonts w:asciiTheme="majorHAnsi" w:hAnsiTheme="majorHAnsi" w:cstheme="majorHAnsi"/>
          <w:szCs w:val="22"/>
        </w:rPr>
        <w:t>Autónomo Descentralizado Municipal del Cantón La Joya de los Sachas, previo</w:t>
      </w:r>
      <w:r w:rsidR="000A6AE4" w:rsidRPr="0073702C">
        <w:rPr>
          <w:rFonts w:asciiTheme="majorHAnsi" w:hAnsiTheme="majorHAnsi" w:cstheme="majorHAnsi"/>
          <w:szCs w:val="22"/>
        </w:rPr>
        <w:t xml:space="preserve"> </w:t>
      </w:r>
      <w:r w:rsidRPr="0073702C">
        <w:rPr>
          <w:rFonts w:asciiTheme="majorHAnsi" w:hAnsiTheme="majorHAnsi" w:cstheme="majorHAnsi"/>
          <w:szCs w:val="22"/>
        </w:rPr>
        <w:t>informe técnico de la Dirección de Gestión de Obras Públicas y/o Dirección de gestión de agua potable y alcantarillado.</w:t>
      </w:r>
    </w:p>
    <w:p w14:paraId="4F543CF2" w14:textId="47ED35C3" w:rsidR="0089757E" w:rsidRPr="004319C7" w:rsidRDefault="0089757E" w:rsidP="0089757E">
      <w:pPr>
        <w:widowControl/>
        <w:pBdr>
          <w:top w:val="nil"/>
          <w:left w:val="nil"/>
          <w:bottom w:val="nil"/>
          <w:right w:val="nil"/>
          <w:between w:val="nil"/>
        </w:pBdr>
        <w:spacing w:line="276" w:lineRule="auto"/>
        <w:ind w:right="-100"/>
        <w:rPr>
          <w:rFonts w:asciiTheme="majorHAnsi" w:hAnsiTheme="majorHAnsi" w:cstheme="majorHAnsi"/>
          <w:szCs w:val="22"/>
        </w:rPr>
      </w:pPr>
      <w:r w:rsidRPr="0089757E">
        <w:rPr>
          <w:rFonts w:asciiTheme="majorHAnsi" w:hAnsiTheme="majorHAnsi" w:cstheme="majorHAnsi"/>
          <w:szCs w:val="22"/>
        </w:rPr>
        <w:t>También se podrá hacer un levantamiento parcial de garantías previo la</w:t>
      </w:r>
      <w:r w:rsidR="000A6AE4">
        <w:rPr>
          <w:rFonts w:asciiTheme="majorHAnsi" w:hAnsiTheme="majorHAnsi" w:cstheme="majorHAnsi"/>
          <w:szCs w:val="22"/>
        </w:rPr>
        <w:t xml:space="preserve"> </w:t>
      </w:r>
      <w:r w:rsidRPr="0089757E">
        <w:rPr>
          <w:rFonts w:asciiTheme="majorHAnsi" w:hAnsiTheme="majorHAnsi" w:cstheme="majorHAnsi"/>
          <w:szCs w:val="22"/>
        </w:rPr>
        <w:t>presentación de informes técnicos de la Dirección de Gestión de Obras Públicas</w:t>
      </w:r>
      <w:r>
        <w:rPr>
          <w:rFonts w:asciiTheme="majorHAnsi" w:hAnsiTheme="majorHAnsi" w:cstheme="majorHAnsi"/>
          <w:szCs w:val="22"/>
        </w:rPr>
        <w:t xml:space="preserve"> y/o Dirección de gestión de agua potable y alcantarillado. </w:t>
      </w:r>
      <w:r w:rsidRPr="0089757E">
        <w:rPr>
          <w:rFonts w:asciiTheme="majorHAnsi" w:hAnsiTheme="majorHAnsi" w:cstheme="majorHAnsi"/>
          <w:szCs w:val="22"/>
        </w:rPr>
        <w:t>Por</w:t>
      </w:r>
      <w:r>
        <w:rPr>
          <w:rFonts w:asciiTheme="majorHAnsi" w:hAnsiTheme="majorHAnsi" w:cstheme="majorHAnsi"/>
          <w:szCs w:val="22"/>
        </w:rPr>
        <w:t xml:space="preserve"> </w:t>
      </w:r>
      <w:r w:rsidRPr="0089757E">
        <w:rPr>
          <w:rFonts w:asciiTheme="majorHAnsi" w:hAnsiTheme="majorHAnsi" w:cstheme="majorHAnsi"/>
          <w:szCs w:val="22"/>
        </w:rPr>
        <w:t>el cumplimiento de fases programadas en el cronograma valorado de ejecución de</w:t>
      </w:r>
      <w:r>
        <w:rPr>
          <w:rFonts w:asciiTheme="majorHAnsi" w:hAnsiTheme="majorHAnsi" w:cstheme="majorHAnsi"/>
          <w:szCs w:val="22"/>
        </w:rPr>
        <w:t xml:space="preserve"> </w:t>
      </w:r>
      <w:r w:rsidRPr="0089757E">
        <w:rPr>
          <w:rFonts w:asciiTheme="majorHAnsi" w:hAnsiTheme="majorHAnsi" w:cstheme="majorHAnsi"/>
          <w:szCs w:val="22"/>
        </w:rPr>
        <w:t>obras.</w:t>
      </w:r>
    </w:p>
    <w:p w14:paraId="54E6C11D" w14:textId="77777777" w:rsidR="00C822E0" w:rsidRPr="00C822E0" w:rsidRDefault="00C822E0" w:rsidP="00C822E0">
      <w:pPr>
        <w:pStyle w:val="Prrafodelista"/>
        <w:widowControl/>
        <w:tabs>
          <w:tab w:val="left" w:pos="851"/>
        </w:tabs>
        <w:spacing w:after="240" w:line="276" w:lineRule="auto"/>
        <w:ind w:left="0" w:right="-100"/>
        <w:rPr>
          <w:rFonts w:asciiTheme="majorHAnsi" w:eastAsia="Calibri" w:hAnsiTheme="majorHAnsi" w:cstheme="majorHAnsi"/>
          <w:b/>
          <w:color w:val="000000"/>
          <w:szCs w:val="22"/>
        </w:rPr>
      </w:pPr>
    </w:p>
    <w:p w14:paraId="7FD43CC5" w14:textId="77777777" w:rsidR="00C822E0" w:rsidRPr="00B24A80" w:rsidRDefault="00C822E0" w:rsidP="00756C0B">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Casos especiales de fraccionamiento de predios urbanos</w:t>
      </w:r>
      <w:r w:rsidRPr="00B24A80">
        <w:rPr>
          <w:rFonts w:asciiTheme="majorHAnsi" w:eastAsia="Calibri" w:hAnsiTheme="majorHAnsi" w:cstheme="majorHAnsi"/>
          <w:szCs w:val="22"/>
        </w:rPr>
        <w:t>. Para los casos especiales de fraccionamientos de predios urbanos únicamente se darán cuando:</w:t>
      </w:r>
    </w:p>
    <w:p w14:paraId="0C2C5751" w14:textId="77777777" w:rsidR="00C822E0" w:rsidRPr="00B24A80" w:rsidRDefault="00C822E0" w:rsidP="00C822E0">
      <w:pPr>
        <w:pStyle w:val="Prrafodelista"/>
        <w:rPr>
          <w:rFonts w:asciiTheme="majorHAnsi" w:eastAsia="Calibri" w:hAnsiTheme="majorHAnsi" w:cstheme="majorHAnsi"/>
          <w:szCs w:val="22"/>
        </w:rPr>
      </w:pPr>
    </w:p>
    <w:p w14:paraId="1C1E7ABF" w14:textId="54C09EEF" w:rsidR="00C822E0" w:rsidRPr="00725C45" w:rsidRDefault="00C822E0" w:rsidP="00C8457D">
      <w:pPr>
        <w:pStyle w:val="Prrafodelista"/>
        <w:widowControl/>
        <w:numPr>
          <w:ilvl w:val="1"/>
          <w:numId w:val="114"/>
        </w:numPr>
        <w:tabs>
          <w:tab w:val="left" w:pos="851"/>
        </w:tabs>
        <w:spacing w:after="240" w:line="276" w:lineRule="auto"/>
        <w:ind w:left="851" w:right="-100"/>
        <w:rPr>
          <w:rFonts w:asciiTheme="majorHAnsi" w:eastAsia="Calibri" w:hAnsiTheme="majorHAnsi" w:cstheme="majorHAnsi"/>
          <w:szCs w:val="22"/>
        </w:rPr>
      </w:pPr>
      <w:r w:rsidRPr="00B24A80">
        <w:rPr>
          <w:rFonts w:asciiTheme="majorHAnsi" w:eastAsia="Calibri" w:hAnsiTheme="majorHAnsi" w:cstheme="majorHAnsi"/>
          <w:szCs w:val="22"/>
        </w:rPr>
        <w:t xml:space="preserve">Por herencia, donaciones entre familiares hasta el cuarto grado de </w:t>
      </w:r>
      <w:r w:rsidR="007E484A">
        <w:rPr>
          <w:rFonts w:asciiTheme="majorHAnsi" w:eastAsia="Calibri" w:hAnsiTheme="majorHAnsi" w:cstheme="majorHAnsi"/>
          <w:szCs w:val="22"/>
        </w:rPr>
        <w:t>consanguinidad</w:t>
      </w:r>
      <w:r w:rsidRPr="00B24A80">
        <w:rPr>
          <w:rFonts w:asciiTheme="majorHAnsi" w:eastAsia="Calibri" w:hAnsiTheme="majorHAnsi" w:cstheme="majorHAnsi"/>
          <w:szCs w:val="22"/>
        </w:rPr>
        <w:t xml:space="preserve">, el </w:t>
      </w:r>
      <w:r w:rsidRPr="00725C45">
        <w:rPr>
          <w:rFonts w:asciiTheme="majorHAnsi" w:eastAsia="Calibri" w:hAnsiTheme="majorHAnsi" w:cstheme="majorHAnsi"/>
          <w:szCs w:val="22"/>
        </w:rPr>
        <w:t>tamaño mínimo del lote podrá ser inferior al establecido en los polígonos de intervención territorial, pero no podrá ser en ningún caso menor a 150 m² con un frente mínimo de 6 metros.</w:t>
      </w:r>
      <w:r w:rsidR="00F4689A" w:rsidRPr="00725C45">
        <w:rPr>
          <w:rFonts w:asciiTheme="majorHAnsi" w:eastAsia="Calibri" w:hAnsiTheme="majorHAnsi" w:cstheme="majorHAnsi"/>
          <w:szCs w:val="22"/>
        </w:rPr>
        <w:t xml:space="preserve"> Con la finalidad de evitar la especulación de tierras</w:t>
      </w:r>
      <w:r w:rsidR="00402244" w:rsidRPr="00725C45">
        <w:rPr>
          <w:rFonts w:asciiTheme="majorHAnsi" w:eastAsia="Calibri" w:hAnsiTheme="majorHAnsi" w:cstheme="majorHAnsi"/>
          <w:szCs w:val="22"/>
        </w:rPr>
        <w:t>,</w:t>
      </w:r>
      <w:r w:rsidR="00F4689A" w:rsidRPr="00725C45">
        <w:rPr>
          <w:rFonts w:asciiTheme="majorHAnsi" w:eastAsia="Calibri" w:hAnsiTheme="majorHAnsi" w:cstheme="majorHAnsi"/>
          <w:szCs w:val="22"/>
        </w:rPr>
        <w:t xml:space="preserve"> </w:t>
      </w:r>
      <w:r w:rsidR="00402244" w:rsidRPr="00725C45">
        <w:rPr>
          <w:rFonts w:asciiTheme="majorHAnsi" w:eastAsia="Calibri" w:hAnsiTheme="majorHAnsi" w:cstheme="majorHAnsi"/>
          <w:szCs w:val="22"/>
        </w:rPr>
        <w:t xml:space="preserve">en caso de donación, </w:t>
      </w:r>
      <w:r w:rsidR="00F4689A" w:rsidRPr="00725C45">
        <w:rPr>
          <w:rFonts w:asciiTheme="majorHAnsi" w:eastAsia="Calibri" w:hAnsiTheme="majorHAnsi" w:cstheme="majorHAnsi"/>
          <w:szCs w:val="22"/>
        </w:rPr>
        <w:t>estos lotes no podrán ser vendidos en un periodo de 5 años desde su aprobación.</w:t>
      </w:r>
    </w:p>
    <w:p w14:paraId="5857AD54" w14:textId="5BD920DC" w:rsidR="00C822E0" w:rsidRPr="00725C45" w:rsidRDefault="00C822E0" w:rsidP="00C8457D">
      <w:pPr>
        <w:pStyle w:val="Prrafodelista"/>
        <w:widowControl/>
        <w:numPr>
          <w:ilvl w:val="1"/>
          <w:numId w:val="114"/>
        </w:numPr>
        <w:tabs>
          <w:tab w:val="left" w:pos="851"/>
        </w:tabs>
        <w:spacing w:after="240" w:line="276" w:lineRule="auto"/>
        <w:ind w:left="851" w:right="-100"/>
        <w:rPr>
          <w:rFonts w:asciiTheme="majorHAnsi" w:eastAsia="Calibri" w:hAnsiTheme="majorHAnsi" w:cstheme="majorHAnsi"/>
          <w:szCs w:val="22"/>
        </w:rPr>
      </w:pPr>
      <w:r w:rsidRPr="00725C45">
        <w:rPr>
          <w:rFonts w:asciiTheme="majorHAnsi" w:eastAsia="Calibri" w:hAnsiTheme="majorHAnsi" w:cstheme="majorHAnsi"/>
          <w:szCs w:val="22"/>
        </w:rPr>
        <w:t xml:space="preserve"> Para urbanizaciones o fraccionamientos de interés social, se establece un lote mínimo de </w:t>
      </w:r>
      <w:r w:rsidR="009859B2" w:rsidRPr="00725C45">
        <w:rPr>
          <w:rFonts w:asciiTheme="majorHAnsi" w:eastAsia="Calibri" w:hAnsiTheme="majorHAnsi" w:cstheme="majorHAnsi"/>
          <w:szCs w:val="22"/>
        </w:rPr>
        <w:t xml:space="preserve">100 </w:t>
      </w:r>
      <w:r w:rsidRPr="00725C45">
        <w:rPr>
          <w:rFonts w:asciiTheme="majorHAnsi" w:eastAsia="Calibri" w:hAnsiTheme="majorHAnsi" w:cstheme="majorHAnsi"/>
          <w:szCs w:val="22"/>
        </w:rPr>
        <w:t>m² con un frente mínimo de 6 metros.</w:t>
      </w:r>
    </w:p>
    <w:p w14:paraId="5B777C4F" w14:textId="7B3845B8" w:rsidR="00C907BE" w:rsidRDefault="00C822E0" w:rsidP="00C907BE">
      <w:pPr>
        <w:pStyle w:val="Prrafodelista"/>
        <w:widowControl/>
        <w:numPr>
          <w:ilvl w:val="1"/>
          <w:numId w:val="114"/>
        </w:numPr>
        <w:tabs>
          <w:tab w:val="left" w:pos="851"/>
        </w:tabs>
        <w:spacing w:after="240" w:line="276" w:lineRule="auto"/>
        <w:ind w:left="851" w:right="-100"/>
        <w:rPr>
          <w:rFonts w:asciiTheme="majorHAnsi" w:eastAsia="Calibri" w:hAnsiTheme="majorHAnsi" w:cstheme="majorHAnsi"/>
          <w:szCs w:val="22"/>
        </w:rPr>
      </w:pPr>
      <w:r w:rsidRPr="00725C45">
        <w:rPr>
          <w:rFonts w:asciiTheme="majorHAnsi" w:eastAsia="Calibri" w:hAnsiTheme="majorHAnsi" w:cstheme="majorHAnsi"/>
          <w:szCs w:val="22"/>
        </w:rPr>
        <w:t>En caso de donaciones</w:t>
      </w:r>
      <w:r w:rsidR="008F682C" w:rsidRPr="00725C45">
        <w:rPr>
          <w:rFonts w:asciiTheme="majorHAnsi" w:eastAsia="Calibri" w:hAnsiTheme="majorHAnsi" w:cstheme="majorHAnsi"/>
          <w:szCs w:val="22"/>
        </w:rPr>
        <w:t xml:space="preserve"> y/o declaratorias de utilidad pública</w:t>
      </w:r>
      <w:r w:rsidRPr="00725C45">
        <w:rPr>
          <w:rFonts w:asciiTheme="majorHAnsi" w:eastAsia="Calibri" w:hAnsiTheme="majorHAnsi" w:cstheme="majorHAnsi"/>
          <w:szCs w:val="22"/>
        </w:rPr>
        <w:t xml:space="preserve"> a instituciones públicas o entidades privadas sin fines de lucro, para la implementación de obras de infraestructura y equipamiento en suelo urbano se podrá establecer un área menor en lo establecido en los Polígonos de Intervención Territorial, conforme a la necesidad del área para la implantación del proyecto.</w:t>
      </w:r>
    </w:p>
    <w:p w14:paraId="33FA393D" w14:textId="77777777" w:rsidR="000433B8" w:rsidRPr="004D4185" w:rsidRDefault="000433B8" w:rsidP="000433B8">
      <w:pPr>
        <w:pStyle w:val="Prrafodelista"/>
        <w:widowControl/>
        <w:tabs>
          <w:tab w:val="left" w:pos="851"/>
        </w:tabs>
        <w:spacing w:after="240" w:line="276" w:lineRule="auto"/>
        <w:ind w:left="851" w:right="-100"/>
        <w:rPr>
          <w:rFonts w:asciiTheme="majorHAnsi" w:eastAsia="Calibri" w:hAnsiTheme="majorHAnsi" w:cstheme="majorHAnsi"/>
          <w:szCs w:val="22"/>
        </w:rPr>
      </w:pPr>
    </w:p>
    <w:p w14:paraId="7599D360" w14:textId="3253F6D7" w:rsidR="00C907BE" w:rsidRDefault="000433B8" w:rsidP="000433B8">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0433B8">
        <w:rPr>
          <w:rFonts w:asciiTheme="majorHAnsi" w:eastAsia="Calibri" w:hAnsiTheme="majorHAnsi" w:cstheme="majorHAnsi"/>
          <w:b/>
          <w:szCs w:val="22"/>
        </w:rPr>
        <w:t>Informe legal de aprobación de división o fraccionamiento</w:t>
      </w:r>
      <w:r w:rsidR="006639A1">
        <w:rPr>
          <w:rFonts w:asciiTheme="majorHAnsi" w:eastAsia="Calibri" w:hAnsiTheme="majorHAnsi" w:cstheme="majorHAnsi"/>
          <w:b/>
          <w:szCs w:val="22"/>
        </w:rPr>
        <w:t xml:space="preserve"> urbano</w:t>
      </w:r>
      <w:r w:rsidRPr="000433B8">
        <w:rPr>
          <w:rFonts w:asciiTheme="majorHAnsi" w:eastAsia="Calibri" w:hAnsiTheme="majorHAnsi" w:cstheme="majorHAnsi"/>
          <w:b/>
          <w:szCs w:val="22"/>
        </w:rPr>
        <w:t xml:space="preserve">.- </w:t>
      </w:r>
      <w:r w:rsidRPr="000433B8">
        <w:rPr>
          <w:rFonts w:asciiTheme="majorHAnsi" w:eastAsia="Calibri" w:hAnsiTheme="majorHAnsi" w:cstheme="majorHAnsi"/>
          <w:bCs/>
          <w:szCs w:val="22"/>
        </w:rPr>
        <w:t>Una vez que la Dirección de Gestión de Planificación entregue el informe técnico de aprobación del proyecto definitivo de la urbanización o fraccionamiento, y la Unidad de Avalúos y Catastros entregue las claves catastrales provisionales, Procuraduría Síndica emitirá el informe legal favorable de la aprobación de la urbanización o fraccionamiento y el proyecto de la ordenanza para aprobación del Concejo Municipal, o de la Resolución Administrativa de aprobación del fraccionamiento, según sea el caso.</w:t>
      </w:r>
    </w:p>
    <w:p w14:paraId="767FEF29" w14:textId="77777777" w:rsidR="000433B8" w:rsidRDefault="000433B8" w:rsidP="000433B8">
      <w:pPr>
        <w:pStyle w:val="Prrafodelista"/>
        <w:widowControl/>
        <w:tabs>
          <w:tab w:val="left" w:pos="851"/>
        </w:tabs>
        <w:spacing w:after="240" w:line="276" w:lineRule="auto"/>
        <w:ind w:left="0" w:right="-100"/>
        <w:rPr>
          <w:rFonts w:asciiTheme="majorHAnsi" w:eastAsia="Calibri" w:hAnsiTheme="majorHAnsi" w:cstheme="majorHAnsi"/>
          <w:b/>
          <w:szCs w:val="22"/>
        </w:rPr>
      </w:pPr>
    </w:p>
    <w:p w14:paraId="1B9637E0" w14:textId="60D30C72" w:rsidR="000433B8" w:rsidRPr="00ED0EC7" w:rsidRDefault="00570EC6" w:rsidP="000433B8">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570EC6">
        <w:rPr>
          <w:rFonts w:asciiTheme="majorHAnsi" w:eastAsia="Calibri" w:hAnsiTheme="majorHAnsi" w:cstheme="majorHAnsi"/>
          <w:b/>
          <w:szCs w:val="22"/>
        </w:rPr>
        <w:t>De la aprobación de división o fraccionamiento</w:t>
      </w:r>
      <w:r w:rsidR="006639A1">
        <w:rPr>
          <w:rFonts w:asciiTheme="majorHAnsi" w:eastAsia="Calibri" w:hAnsiTheme="majorHAnsi" w:cstheme="majorHAnsi"/>
          <w:b/>
          <w:szCs w:val="22"/>
        </w:rPr>
        <w:t xml:space="preserve"> urbano</w:t>
      </w:r>
      <w:r w:rsidRPr="00570EC6">
        <w:rPr>
          <w:rFonts w:asciiTheme="majorHAnsi" w:eastAsia="Calibri" w:hAnsiTheme="majorHAnsi" w:cstheme="majorHAnsi"/>
          <w:b/>
          <w:szCs w:val="22"/>
        </w:rPr>
        <w:t xml:space="preserve">. - </w:t>
      </w:r>
      <w:r w:rsidRPr="00570EC6">
        <w:rPr>
          <w:rFonts w:asciiTheme="majorHAnsi" w:eastAsia="Calibri" w:hAnsiTheme="majorHAnsi" w:cstheme="majorHAnsi"/>
          <w:bCs/>
          <w:szCs w:val="22"/>
        </w:rPr>
        <w:t>Las urbanizaciones las aprobará el Concejo Municipal a través de una ordenanza, previos informes técnicos de la Dirección de Gestión de Planificación, e informe legal de Procuraduría Sindica, en tanto que los fraccionamientos de hasta 10 lotes se las aprobará a través de resolución administrativa por parte de Alcaldía, igualmente sustentada en los correspondientes informes técnicos y legales.</w:t>
      </w:r>
    </w:p>
    <w:p w14:paraId="73E1A070" w14:textId="77777777" w:rsidR="00ED0EC7" w:rsidRPr="00ED0EC7" w:rsidRDefault="00ED0EC7" w:rsidP="00ED0EC7">
      <w:pPr>
        <w:pStyle w:val="Prrafodelista"/>
        <w:rPr>
          <w:rFonts w:asciiTheme="majorHAnsi" w:eastAsia="Calibri" w:hAnsiTheme="majorHAnsi" w:cstheme="majorHAnsi"/>
          <w:b/>
          <w:szCs w:val="22"/>
        </w:rPr>
      </w:pPr>
    </w:p>
    <w:p w14:paraId="6F10D5A9" w14:textId="77777777" w:rsidR="00ED0EC7" w:rsidRDefault="00ED0EC7" w:rsidP="00ED0EC7">
      <w:pPr>
        <w:widowControl/>
        <w:tabs>
          <w:tab w:val="left" w:pos="851"/>
        </w:tabs>
        <w:spacing w:after="240" w:line="276" w:lineRule="auto"/>
        <w:ind w:right="-100"/>
        <w:rPr>
          <w:rFonts w:asciiTheme="majorHAnsi" w:eastAsia="Calibri" w:hAnsiTheme="majorHAnsi" w:cstheme="majorHAnsi"/>
          <w:b/>
          <w:szCs w:val="22"/>
        </w:rPr>
      </w:pPr>
    </w:p>
    <w:p w14:paraId="3CCEDD4F" w14:textId="77777777" w:rsidR="00ED0EC7" w:rsidRDefault="00ED0EC7" w:rsidP="00ED0EC7">
      <w:pPr>
        <w:widowControl/>
        <w:tabs>
          <w:tab w:val="left" w:pos="851"/>
        </w:tabs>
        <w:spacing w:after="240" w:line="276" w:lineRule="auto"/>
        <w:ind w:right="-100"/>
        <w:rPr>
          <w:rFonts w:asciiTheme="majorHAnsi" w:eastAsia="Calibri" w:hAnsiTheme="majorHAnsi" w:cstheme="majorHAnsi"/>
          <w:b/>
          <w:szCs w:val="22"/>
        </w:rPr>
      </w:pPr>
    </w:p>
    <w:p w14:paraId="3C35A816" w14:textId="77777777" w:rsidR="00ED0EC7" w:rsidRDefault="00ED0EC7" w:rsidP="00ED0EC7">
      <w:pPr>
        <w:widowControl/>
        <w:tabs>
          <w:tab w:val="left" w:pos="851"/>
        </w:tabs>
        <w:spacing w:after="240" w:line="276" w:lineRule="auto"/>
        <w:ind w:right="-100"/>
        <w:rPr>
          <w:rFonts w:asciiTheme="majorHAnsi" w:eastAsia="Calibri" w:hAnsiTheme="majorHAnsi" w:cstheme="majorHAnsi"/>
          <w:b/>
          <w:szCs w:val="22"/>
        </w:rPr>
      </w:pPr>
    </w:p>
    <w:p w14:paraId="2323A05B" w14:textId="2A213523" w:rsidR="00ED0EC7" w:rsidRPr="00ED0EC7" w:rsidRDefault="00ED0EC7" w:rsidP="00ED0EC7">
      <w:pPr>
        <w:pStyle w:val="Ttulo3"/>
        <w:rPr>
          <w:rFonts w:cstheme="majorHAnsi"/>
          <w:sz w:val="22"/>
          <w:szCs w:val="22"/>
        </w:rPr>
      </w:pPr>
      <w:bookmarkStart w:id="201" w:name="_Toc181374099"/>
      <w:r>
        <w:rPr>
          <w:rFonts w:cstheme="majorHAnsi"/>
          <w:sz w:val="22"/>
          <w:szCs w:val="22"/>
        </w:rPr>
        <w:lastRenderedPageBreak/>
        <w:t>SECCIÓN I</w:t>
      </w:r>
      <w:r>
        <w:rPr>
          <w:rFonts w:cstheme="majorHAnsi"/>
          <w:sz w:val="22"/>
          <w:szCs w:val="22"/>
        </w:rPr>
        <w:t>I</w:t>
      </w:r>
      <w:r w:rsidRPr="00B24A80">
        <w:rPr>
          <w:rFonts w:cstheme="majorHAnsi"/>
          <w:sz w:val="22"/>
          <w:szCs w:val="22"/>
        </w:rPr>
        <w:br/>
      </w:r>
      <w:r>
        <w:rPr>
          <w:rFonts w:cstheme="majorHAnsi"/>
          <w:sz w:val="22"/>
          <w:szCs w:val="22"/>
        </w:rPr>
        <w:t xml:space="preserve">Fraccionamiento en suelo </w:t>
      </w:r>
      <w:r>
        <w:rPr>
          <w:rFonts w:cstheme="majorHAnsi"/>
          <w:sz w:val="22"/>
          <w:szCs w:val="22"/>
        </w:rPr>
        <w:t>rural</w:t>
      </w:r>
      <w:bookmarkEnd w:id="201"/>
    </w:p>
    <w:p w14:paraId="2AF89264" w14:textId="27724362" w:rsidR="00C074ED" w:rsidRPr="000B792A" w:rsidRDefault="00C074ED" w:rsidP="00C074ED">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0B792A">
        <w:rPr>
          <w:rFonts w:asciiTheme="majorHAnsi" w:eastAsia="Calibri" w:hAnsiTheme="majorHAnsi" w:cstheme="majorHAnsi"/>
          <w:b/>
          <w:szCs w:val="22"/>
        </w:rPr>
        <w:t>Fraccionamiento para suelo de clasificación rural.</w:t>
      </w:r>
      <w:r w:rsidRPr="000B792A">
        <w:rPr>
          <w:rFonts w:asciiTheme="majorHAnsi" w:eastAsia="Calibri" w:hAnsiTheme="majorHAnsi" w:cstheme="majorHAnsi"/>
          <w:szCs w:val="22"/>
        </w:rPr>
        <w:t xml:space="preserve"> - En suelos de clasificación rural, con usos o proyectos destinados a vivienda, turismo, recreación y alojamiento que, siendo concordantes con los objetivos de conservación y uso sustentable del patrimonio natural, permitan un aprovechamiento del suelo en sus áreas útiles, observando los coeficientes de uso del suelo asignados en las respectivas zonificaciones o aquellas previstas en el PUGS. Las áreas útiles se obtendrán descontando de la superficie del lote, las áreas de afectación, áreas de protección de quebradas, taludes, ríos, áreas especiales de protección y las áreas que superan los 20° grados de inclinación.</w:t>
      </w:r>
      <w:r>
        <w:rPr>
          <w:rFonts w:asciiTheme="majorHAnsi" w:eastAsia="Calibri" w:hAnsiTheme="majorHAnsi" w:cstheme="majorHAnsi"/>
          <w:szCs w:val="22"/>
        </w:rPr>
        <w:t xml:space="preserve"> (Ver anexo 3).</w:t>
      </w:r>
    </w:p>
    <w:p w14:paraId="1D14BE9A" w14:textId="77777777" w:rsidR="00C074ED" w:rsidRPr="000B792A" w:rsidRDefault="00C074ED" w:rsidP="00C074ED">
      <w:pPr>
        <w:pStyle w:val="Prrafodelista"/>
        <w:widowControl/>
        <w:tabs>
          <w:tab w:val="left" w:pos="851"/>
        </w:tabs>
        <w:spacing w:after="240" w:line="276" w:lineRule="auto"/>
        <w:ind w:left="0" w:right="-100"/>
        <w:rPr>
          <w:rFonts w:asciiTheme="majorHAnsi" w:eastAsia="Calibri" w:hAnsiTheme="majorHAnsi" w:cstheme="majorHAnsi"/>
          <w:szCs w:val="22"/>
        </w:rPr>
      </w:pPr>
    </w:p>
    <w:p w14:paraId="3FE0DD3B" w14:textId="77777777" w:rsidR="00C074ED" w:rsidRPr="000B792A" w:rsidRDefault="00C074ED" w:rsidP="00C074ED">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0B792A">
        <w:rPr>
          <w:rFonts w:asciiTheme="majorHAnsi" w:eastAsia="Calibri" w:hAnsiTheme="majorHAnsi" w:cstheme="majorHAnsi"/>
          <w:b/>
          <w:szCs w:val="22"/>
        </w:rPr>
        <w:t xml:space="preserve"> Fraccionamiento mínimo en Suelo Rural:</w:t>
      </w:r>
      <w:r w:rsidRPr="000B792A">
        <w:rPr>
          <w:rFonts w:asciiTheme="majorHAnsi" w:eastAsia="Calibri" w:hAnsiTheme="majorHAnsi" w:cstheme="majorHAnsi"/>
          <w:szCs w:val="22"/>
        </w:rPr>
        <w:t xml:space="preserve"> - En suelo rural se establece los siguientes lotes mínimos de acuerdo con los Polígonos de Intervención Territorial de Suelo Rural:</w:t>
      </w:r>
    </w:p>
    <w:p w14:paraId="3093FE9F" w14:textId="77777777" w:rsidR="00C074ED" w:rsidRPr="000B792A" w:rsidRDefault="00C074ED" w:rsidP="00C074ED">
      <w:pPr>
        <w:pStyle w:val="Prrafodelista"/>
        <w:widowControl/>
        <w:tabs>
          <w:tab w:val="left" w:pos="851"/>
        </w:tabs>
        <w:spacing w:after="240" w:line="276" w:lineRule="auto"/>
        <w:ind w:left="0" w:right="-100"/>
        <w:rPr>
          <w:rFonts w:asciiTheme="majorHAnsi" w:eastAsia="Calibri" w:hAnsiTheme="majorHAnsi" w:cstheme="majorHAnsi"/>
          <w:b/>
          <w:szCs w:val="22"/>
        </w:rPr>
      </w:pPr>
    </w:p>
    <w:p w14:paraId="389BD99A" w14:textId="77777777" w:rsidR="00C074ED" w:rsidRDefault="00C074ED" w:rsidP="00C074ED">
      <w:pPr>
        <w:pStyle w:val="Prrafodelista"/>
        <w:widowControl/>
        <w:tabs>
          <w:tab w:val="left" w:pos="851"/>
        </w:tabs>
        <w:spacing w:after="240" w:line="276" w:lineRule="auto"/>
        <w:ind w:left="0" w:right="-100"/>
        <w:rPr>
          <w:rFonts w:asciiTheme="majorHAnsi" w:eastAsia="Calibri" w:hAnsiTheme="majorHAnsi" w:cstheme="majorHAnsi"/>
          <w:b/>
          <w:szCs w:val="22"/>
        </w:rPr>
      </w:pPr>
      <w:r w:rsidRPr="000B792A">
        <w:rPr>
          <w:rFonts w:asciiTheme="majorHAnsi" w:eastAsia="Calibri" w:hAnsiTheme="majorHAnsi" w:cstheme="majorHAnsi"/>
          <w:b/>
          <w:szCs w:val="22"/>
        </w:rPr>
        <w:t xml:space="preserve">Tabla 21: </w:t>
      </w:r>
      <w:r w:rsidRPr="000B792A">
        <w:rPr>
          <w:rFonts w:asciiTheme="majorHAnsi" w:eastAsia="Calibri" w:hAnsiTheme="majorHAnsi" w:cstheme="majorHAnsi"/>
          <w:szCs w:val="22"/>
        </w:rPr>
        <w:t>Fraccionamientos mínimos en suelo rural del cantón La Joya de los Sachas:</w:t>
      </w:r>
    </w:p>
    <w:p w14:paraId="4DF7B97E" w14:textId="77777777" w:rsidR="00C074ED" w:rsidRPr="000B792A" w:rsidRDefault="00C074ED" w:rsidP="00C074ED">
      <w:pPr>
        <w:pStyle w:val="Prrafodelista"/>
        <w:widowControl/>
        <w:tabs>
          <w:tab w:val="left" w:pos="851"/>
        </w:tabs>
        <w:spacing w:after="240" w:line="276" w:lineRule="auto"/>
        <w:ind w:left="0" w:right="-100"/>
        <w:rPr>
          <w:rFonts w:asciiTheme="majorHAnsi" w:eastAsia="Calibri" w:hAnsiTheme="majorHAnsi" w:cstheme="majorHAnsi"/>
          <w:b/>
          <w:szCs w:val="22"/>
        </w:rPr>
      </w:pPr>
    </w:p>
    <w:tbl>
      <w:tblPr>
        <w:tblStyle w:val="Tablaconcuadrcula"/>
        <w:tblW w:w="5000" w:type="pct"/>
        <w:tblLook w:val="04A0" w:firstRow="1" w:lastRow="0" w:firstColumn="1" w:lastColumn="0" w:noHBand="0" w:noVBand="1"/>
      </w:tblPr>
      <w:tblGrid>
        <w:gridCol w:w="1396"/>
        <w:gridCol w:w="3045"/>
        <w:gridCol w:w="4047"/>
      </w:tblGrid>
      <w:tr w:rsidR="00C074ED" w:rsidRPr="00C822E0" w14:paraId="56B0E20A" w14:textId="77777777" w:rsidTr="00990E22">
        <w:trPr>
          <w:trHeight w:val="20"/>
        </w:trPr>
        <w:tc>
          <w:tcPr>
            <w:tcW w:w="822" w:type="pct"/>
          </w:tcPr>
          <w:p w14:paraId="3393FABB"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b/>
              </w:rPr>
            </w:pPr>
            <w:r w:rsidRPr="00C822E0">
              <w:rPr>
                <w:rFonts w:ascii="Times New Roman" w:eastAsia="Calibri" w:hAnsi="Times New Roman" w:cs="Times New Roman"/>
                <w:b/>
              </w:rPr>
              <w:t>Nombre del PIT</w:t>
            </w:r>
          </w:p>
        </w:tc>
        <w:tc>
          <w:tcPr>
            <w:tcW w:w="1794" w:type="pct"/>
          </w:tcPr>
          <w:p w14:paraId="4F06973F"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b/>
              </w:rPr>
            </w:pPr>
            <w:r w:rsidRPr="00C822E0">
              <w:rPr>
                <w:rFonts w:ascii="Times New Roman" w:eastAsia="Calibri" w:hAnsi="Times New Roman" w:cs="Times New Roman"/>
                <w:b/>
              </w:rPr>
              <w:t>Descripción</w:t>
            </w:r>
          </w:p>
        </w:tc>
        <w:tc>
          <w:tcPr>
            <w:tcW w:w="2384" w:type="pct"/>
          </w:tcPr>
          <w:p w14:paraId="4AE53862"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b/>
              </w:rPr>
            </w:pPr>
            <w:r w:rsidRPr="00C822E0">
              <w:rPr>
                <w:rFonts w:ascii="Times New Roman" w:eastAsia="Calibri" w:hAnsi="Times New Roman" w:cs="Times New Roman"/>
                <w:b/>
              </w:rPr>
              <w:t>Lote mínimo</w:t>
            </w:r>
          </w:p>
        </w:tc>
      </w:tr>
      <w:tr w:rsidR="00C074ED" w:rsidRPr="00C822E0" w14:paraId="5EA2BD63"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5ADC7CB0"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PIT2-BVN</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57A84AB8"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Bosque y Vegetación Natural</w:t>
            </w:r>
          </w:p>
        </w:tc>
        <w:tc>
          <w:tcPr>
            <w:tcW w:w="2384" w:type="pct"/>
          </w:tcPr>
          <w:p w14:paraId="6E476C6D" w14:textId="77777777" w:rsidR="00C074ED" w:rsidRDefault="00C074ED" w:rsidP="00990E22">
            <w:pPr>
              <w:pStyle w:val="Prrafodelista"/>
              <w:tabs>
                <w:tab w:val="left" w:pos="851"/>
              </w:tabs>
              <w:spacing w:after="240"/>
              <w:ind w:left="0" w:right="-100"/>
              <w:rPr>
                <w:rFonts w:ascii="Times New Roman" w:eastAsia="Times New Roman" w:hAnsi="Times New Roman" w:cs="Times New Roman"/>
                <w:color w:val="000000"/>
                <w:lang w:eastAsia="es-EC"/>
              </w:rPr>
            </w:pPr>
          </w:p>
          <w:p w14:paraId="45178DE7" w14:textId="77777777" w:rsidR="00C074ED" w:rsidRDefault="00C074ED" w:rsidP="00990E22">
            <w:pPr>
              <w:pStyle w:val="Prrafodelista"/>
              <w:tabs>
                <w:tab w:val="left" w:pos="851"/>
              </w:tabs>
              <w:spacing w:after="240"/>
              <w:ind w:left="0" w:right="-100"/>
              <w:rPr>
                <w:rFonts w:ascii="Times New Roman" w:eastAsia="Times New Roman" w:hAnsi="Times New Roman" w:cs="Times New Roman"/>
                <w:color w:val="000000"/>
                <w:lang w:eastAsia="es-EC"/>
              </w:rPr>
            </w:pPr>
            <w:r w:rsidRPr="00C822E0">
              <w:rPr>
                <w:rFonts w:ascii="Times New Roman" w:eastAsia="Times New Roman" w:hAnsi="Times New Roman" w:cs="Times New Roman"/>
                <w:color w:val="000000"/>
                <w:lang w:eastAsia="es-EC"/>
              </w:rPr>
              <w:t>No Aplica</w:t>
            </w:r>
          </w:p>
          <w:p w14:paraId="33ABBDF2"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p>
        </w:tc>
      </w:tr>
      <w:tr w:rsidR="00C074ED" w:rsidRPr="00C822E0" w14:paraId="75471023"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24485BF4"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PIT3-RNH</w:t>
            </w:r>
            <w:r w:rsidRPr="00C822E0" w:rsidDel="006D13F9">
              <w:rPr>
                <w:rFonts w:ascii="Times New Roman" w:eastAsia="Times New Roman" w:hAnsi="Times New Roman" w:cs="Times New Roman"/>
                <w:color w:val="000000"/>
                <w:lang w:eastAsia="es-EC"/>
              </w:rPr>
              <w:t xml:space="preserve"> </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06FC6314"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Recurso Natural Hídrico</w:t>
            </w:r>
          </w:p>
        </w:tc>
        <w:tc>
          <w:tcPr>
            <w:tcW w:w="2384" w:type="pct"/>
          </w:tcPr>
          <w:p w14:paraId="1B71BC07"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Calibri" w:hAnsi="Times New Roman" w:cs="Times New Roman"/>
              </w:rPr>
              <w:t>No Aplica</w:t>
            </w:r>
          </w:p>
        </w:tc>
      </w:tr>
      <w:tr w:rsidR="00C074ED" w:rsidRPr="00C822E0" w14:paraId="4B1FD0F7"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42430660"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PIT4-AAF</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20586DDD"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Actividades Agropecuarias y Forestales</w:t>
            </w:r>
          </w:p>
        </w:tc>
        <w:tc>
          <w:tcPr>
            <w:tcW w:w="2384" w:type="pct"/>
          </w:tcPr>
          <w:p w14:paraId="7B7B7AB8"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Calibri" w:hAnsi="Times New Roman" w:cs="Times New Roman"/>
              </w:rPr>
              <w:t xml:space="preserve">1 </w:t>
            </w:r>
            <w:r>
              <w:rPr>
                <w:rFonts w:ascii="Times New Roman" w:eastAsia="Calibri" w:hAnsi="Times New Roman" w:cs="Times New Roman"/>
              </w:rPr>
              <w:t>H</w:t>
            </w:r>
            <w:r w:rsidRPr="00C822E0">
              <w:rPr>
                <w:rFonts w:ascii="Times New Roman" w:eastAsia="Calibri" w:hAnsi="Times New Roman" w:cs="Times New Roman"/>
              </w:rPr>
              <w:t>a</w:t>
            </w:r>
            <w:r>
              <w:rPr>
                <w:rFonts w:ascii="Times New Roman" w:eastAsia="Calibri" w:hAnsi="Times New Roman" w:cs="Times New Roman"/>
              </w:rPr>
              <w:t>s</w:t>
            </w:r>
          </w:p>
        </w:tc>
      </w:tr>
      <w:tr w:rsidR="00C074ED" w:rsidRPr="00C822E0" w14:paraId="24F0FACF"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1EA071C5"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PIT5-ETD</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0C394479"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Especial Tratamiento de Desechos</w:t>
            </w:r>
          </w:p>
        </w:tc>
        <w:tc>
          <w:tcPr>
            <w:tcW w:w="2384" w:type="pct"/>
          </w:tcPr>
          <w:p w14:paraId="0C048863"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Calibri" w:hAnsi="Times New Roman" w:cs="Times New Roman"/>
              </w:rPr>
              <w:t>No Aplica</w:t>
            </w:r>
          </w:p>
        </w:tc>
      </w:tr>
      <w:tr w:rsidR="00C074ED" w:rsidRPr="00C822E0" w14:paraId="75570C13"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4BD29D8E"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PIT6a-IGR_A</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69F33FED"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Times New Roman" w:hAnsi="Times New Roman" w:cs="Times New Roman"/>
                <w:color w:val="000000"/>
                <w:lang w:val="es-EC" w:eastAsia="es-EC"/>
              </w:rPr>
              <w:t>Industrial y Gestión Residuos Alto impacto</w:t>
            </w:r>
          </w:p>
        </w:tc>
        <w:tc>
          <w:tcPr>
            <w:tcW w:w="2384" w:type="pct"/>
          </w:tcPr>
          <w:p w14:paraId="33E86427"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sidRPr="00C822E0">
              <w:rPr>
                <w:rFonts w:ascii="Times New Roman" w:eastAsia="Calibri" w:hAnsi="Times New Roman" w:cs="Times New Roman"/>
              </w:rPr>
              <w:t>1</w:t>
            </w:r>
            <w:r>
              <w:rPr>
                <w:rFonts w:ascii="Times New Roman" w:eastAsia="Calibri" w:hAnsi="Times New Roman" w:cs="Times New Roman"/>
              </w:rPr>
              <w:t>5</w:t>
            </w:r>
            <w:r w:rsidRPr="00C822E0">
              <w:rPr>
                <w:rFonts w:ascii="Times New Roman" w:eastAsia="Calibri" w:hAnsi="Times New Roman" w:cs="Times New Roman"/>
              </w:rPr>
              <w:t xml:space="preserve"> Has</w:t>
            </w:r>
            <w:r>
              <w:rPr>
                <w:rFonts w:ascii="Times New Roman" w:eastAsia="Calibri" w:hAnsi="Times New Roman" w:cs="Times New Roman"/>
              </w:rPr>
              <w:t xml:space="preserve"> </w:t>
            </w:r>
          </w:p>
        </w:tc>
      </w:tr>
      <w:tr w:rsidR="00C074ED" w:rsidRPr="00C822E0" w14:paraId="6835931C"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277721ED"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PIT6b-IGR_B</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205D3FAA"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Industrial y Gestión residuos Bajo Impacto</w:t>
            </w:r>
          </w:p>
        </w:tc>
        <w:tc>
          <w:tcPr>
            <w:tcW w:w="2384" w:type="pct"/>
          </w:tcPr>
          <w:p w14:paraId="346029EF"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rPr>
            </w:pPr>
            <w:r>
              <w:rPr>
                <w:rFonts w:ascii="Times New Roman" w:eastAsia="Calibri" w:hAnsi="Times New Roman" w:cs="Times New Roman"/>
              </w:rPr>
              <w:t>1</w:t>
            </w:r>
            <w:r w:rsidRPr="00C822E0">
              <w:rPr>
                <w:rFonts w:ascii="Times New Roman" w:eastAsia="Calibri" w:hAnsi="Times New Roman" w:cs="Times New Roman"/>
              </w:rPr>
              <w:t xml:space="preserve"> Has</w:t>
            </w:r>
          </w:p>
        </w:tc>
      </w:tr>
      <w:tr w:rsidR="00C074ED" w:rsidRPr="00C822E0" w14:paraId="2C02B176"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A59787A"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PIT6m-IGR_M</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056FE253"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Industrial y Gestión residuos Mediano Impacto</w:t>
            </w:r>
          </w:p>
        </w:tc>
        <w:tc>
          <w:tcPr>
            <w:tcW w:w="2384" w:type="pct"/>
          </w:tcPr>
          <w:p w14:paraId="304A4340"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lang w:val="es-EC"/>
              </w:rPr>
            </w:pPr>
            <w:r>
              <w:rPr>
                <w:rFonts w:ascii="Times New Roman" w:eastAsia="Calibri" w:hAnsi="Times New Roman" w:cs="Times New Roman"/>
                <w:lang w:val="es-EC"/>
              </w:rPr>
              <w:t>3</w:t>
            </w:r>
            <w:r w:rsidRPr="00C822E0">
              <w:rPr>
                <w:rFonts w:ascii="Times New Roman" w:eastAsia="Calibri" w:hAnsi="Times New Roman" w:cs="Times New Roman"/>
                <w:lang w:val="es-EC"/>
              </w:rPr>
              <w:t xml:space="preserve"> Has</w:t>
            </w:r>
          </w:p>
        </w:tc>
      </w:tr>
      <w:tr w:rsidR="00C074ED" w:rsidRPr="00C822E0" w14:paraId="11BFB8EA"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7E5ED315"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PIT7-RENP</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16D4B6F4"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Recurso Estratégico Nacional Petróleo</w:t>
            </w:r>
          </w:p>
        </w:tc>
        <w:tc>
          <w:tcPr>
            <w:tcW w:w="2384" w:type="pct"/>
          </w:tcPr>
          <w:p w14:paraId="797B7EE3"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lang w:val="es-EC"/>
              </w:rPr>
            </w:pPr>
            <w:r w:rsidRPr="00C822E0">
              <w:rPr>
                <w:rFonts w:ascii="Times New Roman" w:eastAsia="Calibri" w:hAnsi="Times New Roman" w:cs="Times New Roman"/>
                <w:lang w:val="es-EC"/>
              </w:rPr>
              <w:t>No Aplica</w:t>
            </w:r>
          </w:p>
        </w:tc>
      </w:tr>
      <w:tr w:rsidR="00C074ED" w:rsidRPr="00C822E0" w14:paraId="5F04E642"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03259299"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PIT8-RMNM</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5375A3CA"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Recursos Mineros No Metálicos</w:t>
            </w:r>
          </w:p>
        </w:tc>
        <w:tc>
          <w:tcPr>
            <w:tcW w:w="2384" w:type="pct"/>
          </w:tcPr>
          <w:p w14:paraId="63195CAB"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lang w:val="es-EC"/>
              </w:rPr>
            </w:pPr>
            <w:r w:rsidRPr="00C822E0">
              <w:rPr>
                <w:rFonts w:ascii="Times New Roman" w:eastAsia="Calibri" w:hAnsi="Times New Roman" w:cs="Times New Roman"/>
                <w:lang w:val="es-EC"/>
              </w:rPr>
              <w:t>No Aplica</w:t>
            </w:r>
          </w:p>
        </w:tc>
      </w:tr>
      <w:tr w:rsidR="00C074ED" w:rsidRPr="00C822E0" w14:paraId="101D6403"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5A025F85"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PIT9-RENE</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28176096"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Recurso Estratégico Nacional Electricidad</w:t>
            </w:r>
          </w:p>
        </w:tc>
        <w:tc>
          <w:tcPr>
            <w:tcW w:w="2384" w:type="pct"/>
          </w:tcPr>
          <w:p w14:paraId="23E12A38"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lang w:val="es-EC"/>
              </w:rPr>
            </w:pPr>
            <w:r w:rsidRPr="00C822E0">
              <w:rPr>
                <w:rFonts w:ascii="Times New Roman" w:eastAsia="Calibri" w:hAnsi="Times New Roman" w:cs="Times New Roman"/>
                <w:lang w:val="es-EC"/>
              </w:rPr>
              <w:t>No Aplica</w:t>
            </w:r>
          </w:p>
        </w:tc>
      </w:tr>
      <w:tr w:rsidR="00C074ED" w:rsidRPr="00C822E0" w14:paraId="70208B53"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52928D5F"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PIT10-BVNP</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5B465DE3"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Bosque y Vegetación Natural Protegido</w:t>
            </w:r>
          </w:p>
        </w:tc>
        <w:tc>
          <w:tcPr>
            <w:tcW w:w="2384" w:type="pct"/>
            <w:tcBorders>
              <w:top w:val="single" w:sz="4" w:space="0" w:color="auto"/>
              <w:left w:val="single" w:sz="4" w:space="0" w:color="auto"/>
              <w:bottom w:val="single" w:sz="4" w:space="0" w:color="auto"/>
              <w:right w:val="single" w:sz="4" w:space="0" w:color="auto"/>
            </w:tcBorders>
            <w:shd w:val="clear" w:color="auto" w:fill="auto"/>
            <w:vAlign w:val="center"/>
          </w:tcPr>
          <w:p w14:paraId="358CA847" w14:textId="77777777" w:rsidR="00C074ED" w:rsidRPr="00C822E0" w:rsidRDefault="00C074ED" w:rsidP="00990E22">
            <w:pPr>
              <w:pStyle w:val="Prrafodelista"/>
              <w:tabs>
                <w:tab w:val="left" w:pos="851"/>
              </w:tabs>
              <w:spacing w:after="240"/>
              <w:ind w:left="0" w:right="-100"/>
              <w:rPr>
                <w:rFonts w:ascii="Times New Roman" w:eastAsia="Calibri" w:hAnsi="Times New Roman" w:cs="Times New Roman"/>
                <w:lang w:val="es-EC"/>
              </w:rPr>
            </w:pPr>
            <w:r w:rsidRPr="00C822E0">
              <w:rPr>
                <w:rFonts w:ascii="Times New Roman" w:eastAsia="Times New Roman" w:hAnsi="Times New Roman" w:cs="Times New Roman"/>
                <w:color w:val="000000"/>
                <w:lang w:val="es-EC" w:eastAsia="es-EC"/>
              </w:rPr>
              <w:t>No Aplica</w:t>
            </w:r>
          </w:p>
        </w:tc>
      </w:tr>
      <w:tr w:rsidR="00C074ED" w:rsidRPr="00C822E0" w14:paraId="4A3259EE" w14:textId="77777777" w:rsidTr="00990E22">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2B8DDFB2"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val="es-EC" w:eastAsia="es-EC"/>
              </w:rPr>
              <w:t>PIT11-CMT</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7CCB82E8"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sidRPr="00C822E0">
              <w:rPr>
                <w:rFonts w:ascii="Times New Roman" w:eastAsia="Times New Roman" w:hAnsi="Times New Roman" w:cs="Times New Roman"/>
                <w:color w:val="000000"/>
                <w:lang w:eastAsia="es-EC"/>
              </w:rPr>
              <w:t>Cementerio</w:t>
            </w:r>
          </w:p>
        </w:tc>
        <w:tc>
          <w:tcPr>
            <w:tcW w:w="2384" w:type="pct"/>
            <w:tcBorders>
              <w:top w:val="single" w:sz="4" w:space="0" w:color="auto"/>
              <w:left w:val="single" w:sz="4" w:space="0" w:color="auto"/>
              <w:bottom w:val="single" w:sz="4" w:space="0" w:color="auto"/>
              <w:right w:val="single" w:sz="4" w:space="0" w:color="auto"/>
            </w:tcBorders>
            <w:shd w:val="clear" w:color="auto" w:fill="auto"/>
          </w:tcPr>
          <w:p w14:paraId="2669F6EB" w14:textId="77777777" w:rsidR="00C074ED" w:rsidRPr="00C822E0" w:rsidRDefault="00C074ED" w:rsidP="00990E22">
            <w:pPr>
              <w:pStyle w:val="Prrafodelista"/>
              <w:tabs>
                <w:tab w:val="left" w:pos="851"/>
              </w:tabs>
              <w:spacing w:after="240"/>
              <w:ind w:left="0" w:right="-100"/>
              <w:rPr>
                <w:rFonts w:ascii="Times New Roman" w:eastAsia="Times New Roman" w:hAnsi="Times New Roman" w:cs="Times New Roman"/>
                <w:color w:val="000000"/>
                <w:lang w:val="es-EC" w:eastAsia="es-EC"/>
              </w:rPr>
            </w:pPr>
            <w:r>
              <w:rPr>
                <w:rFonts w:ascii="Times New Roman" w:eastAsia="Calibri" w:hAnsi="Times New Roman" w:cs="Times New Roman"/>
              </w:rPr>
              <w:t>1</w:t>
            </w:r>
            <w:r w:rsidRPr="00C822E0">
              <w:rPr>
                <w:rFonts w:ascii="Times New Roman" w:eastAsia="Calibri" w:hAnsi="Times New Roman" w:cs="Times New Roman"/>
              </w:rPr>
              <w:t xml:space="preserve"> Has</w:t>
            </w:r>
          </w:p>
        </w:tc>
      </w:tr>
    </w:tbl>
    <w:p w14:paraId="08B0E105" w14:textId="77777777" w:rsidR="00C074ED" w:rsidRPr="00F225EF" w:rsidRDefault="00C074ED" w:rsidP="00C074ED">
      <w:pPr>
        <w:pStyle w:val="Prrafodelista"/>
        <w:widowControl/>
        <w:tabs>
          <w:tab w:val="left" w:pos="851"/>
        </w:tabs>
        <w:spacing w:after="240" w:line="276" w:lineRule="auto"/>
        <w:ind w:left="0" w:right="-100"/>
        <w:rPr>
          <w:rFonts w:asciiTheme="majorHAnsi" w:eastAsia="Calibri" w:hAnsiTheme="majorHAnsi" w:cstheme="majorHAnsi"/>
          <w:szCs w:val="22"/>
          <w:highlight w:val="yellow"/>
        </w:rPr>
      </w:pPr>
    </w:p>
    <w:p w14:paraId="04B54354" w14:textId="77777777" w:rsidR="00C074ED" w:rsidRPr="00B24A80" w:rsidRDefault="00C074ED" w:rsidP="00D569BC">
      <w:pPr>
        <w:pStyle w:val="Prrafodelista"/>
        <w:widowControl/>
        <w:numPr>
          <w:ilvl w:val="0"/>
          <w:numId w:val="114"/>
        </w:numPr>
        <w:tabs>
          <w:tab w:val="left" w:pos="851"/>
        </w:tabs>
        <w:spacing w:after="240" w:line="276" w:lineRule="auto"/>
        <w:ind w:left="142" w:right="-100" w:firstLine="0"/>
        <w:rPr>
          <w:rFonts w:asciiTheme="majorHAnsi" w:eastAsia="Calibri" w:hAnsiTheme="majorHAnsi" w:cstheme="majorHAnsi"/>
          <w:szCs w:val="22"/>
        </w:rPr>
      </w:pPr>
      <w:r w:rsidRPr="00B24A80">
        <w:rPr>
          <w:rFonts w:asciiTheme="majorHAnsi" w:eastAsia="Calibri" w:hAnsiTheme="majorHAnsi" w:cstheme="majorHAnsi"/>
          <w:b/>
          <w:bCs/>
          <w:szCs w:val="22"/>
        </w:rPr>
        <w:t xml:space="preserve">Casos especiales de fraccionamiento de predios rurales. </w:t>
      </w:r>
      <w:r w:rsidRPr="00B24A80">
        <w:rPr>
          <w:rFonts w:asciiTheme="majorHAnsi" w:eastAsia="Calibri" w:hAnsiTheme="majorHAnsi" w:cstheme="majorHAnsi"/>
          <w:bCs/>
          <w:szCs w:val="22"/>
        </w:rPr>
        <w:t>Para los casos especiales de fraccionamientos de predios rurales únicamente se darán cuando</w:t>
      </w:r>
      <w:r w:rsidRPr="00B24A80">
        <w:rPr>
          <w:rFonts w:asciiTheme="majorHAnsi" w:eastAsia="Calibri" w:hAnsiTheme="majorHAnsi" w:cstheme="majorHAnsi"/>
          <w:b/>
          <w:bCs/>
          <w:szCs w:val="22"/>
        </w:rPr>
        <w:t>:</w:t>
      </w:r>
    </w:p>
    <w:p w14:paraId="38E49E12" w14:textId="77777777" w:rsidR="00C074ED" w:rsidRPr="00070A5C" w:rsidRDefault="00C074ED" w:rsidP="00C074ED">
      <w:pPr>
        <w:pStyle w:val="Prrafodelista"/>
        <w:numPr>
          <w:ilvl w:val="1"/>
          <w:numId w:val="114"/>
        </w:numPr>
        <w:rPr>
          <w:rFonts w:asciiTheme="majorHAnsi" w:eastAsia="Calibri" w:hAnsiTheme="majorHAnsi" w:cstheme="majorHAnsi"/>
          <w:szCs w:val="22"/>
        </w:rPr>
      </w:pPr>
      <w:r w:rsidRPr="00F4689A">
        <w:rPr>
          <w:rFonts w:asciiTheme="majorHAnsi" w:eastAsia="Calibri" w:hAnsiTheme="majorHAnsi" w:cstheme="majorHAnsi"/>
          <w:szCs w:val="22"/>
        </w:rPr>
        <w:t xml:space="preserve">Por herencia o donaciones entre familiares hasta el cuarto grado de consanguinidad, el tamaño mínimo del lote podrá ser inferior a lo establecido, </w:t>
      </w:r>
      <w:r w:rsidRPr="00F4689A">
        <w:rPr>
          <w:rFonts w:asciiTheme="majorHAnsi" w:eastAsia="Calibri" w:hAnsiTheme="majorHAnsi" w:cstheme="majorHAnsi"/>
          <w:szCs w:val="22"/>
        </w:rPr>
        <w:lastRenderedPageBreak/>
        <w:t>pero en ningún caso será menor a 400 m², con un frente mínimo de 15 metros.</w:t>
      </w:r>
      <w:r w:rsidRPr="00F4689A">
        <w:t xml:space="preserve"> </w:t>
      </w:r>
      <w:r w:rsidRPr="00F4689A">
        <w:rPr>
          <w:rFonts w:asciiTheme="majorHAnsi" w:eastAsia="Calibri" w:hAnsiTheme="majorHAnsi" w:cstheme="majorHAnsi"/>
          <w:szCs w:val="22"/>
        </w:rPr>
        <w:t>Con la finalidad de evitar la especulación de tierras</w:t>
      </w:r>
      <w:r>
        <w:rPr>
          <w:rFonts w:asciiTheme="majorHAnsi" w:eastAsia="Calibri" w:hAnsiTheme="majorHAnsi" w:cstheme="majorHAnsi"/>
          <w:szCs w:val="22"/>
        </w:rPr>
        <w:t xml:space="preserve">, </w:t>
      </w:r>
      <w:r w:rsidRPr="00070A5C">
        <w:rPr>
          <w:rFonts w:asciiTheme="majorHAnsi" w:eastAsia="Calibri" w:hAnsiTheme="majorHAnsi" w:cstheme="majorHAnsi"/>
          <w:szCs w:val="22"/>
        </w:rPr>
        <w:t>en casos de donaciones, estos lotes no podrán ser vendidos en un periodo de 5 años desde su aprobación. Se podrá autorizar la venta antes del cumplimiento de los 5 años, por enfermedades graves, catastróficas o cualesquiera otras circunstancias que justifique la venta del terreno, previo informe técnico de la Unidad de Ordenamiento Territorial y la autorización del Concejo Municipal.</w:t>
      </w:r>
    </w:p>
    <w:p w14:paraId="3590E6FD" w14:textId="743F125C" w:rsidR="00C074ED" w:rsidRPr="00B24A80" w:rsidRDefault="00C074ED" w:rsidP="00C074ED">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070A5C">
        <w:rPr>
          <w:rFonts w:asciiTheme="majorHAnsi" w:eastAsia="Calibri" w:hAnsiTheme="majorHAnsi" w:cstheme="majorHAnsi"/>
          <w:szCs w:val="22"/>
        </w:rPr>
        <w:t xml:space="preserve">En caso de declaratorias de utilidad pública o donaciones </w:t>
      </w:r>
      <w:r>
        <w:rPr>
          <w:rFonts w:asciiTheme="majorHAnsi" w:eastAsia="Calibri" w:hAnsiTheme="majorHAnsi" w:cstheme="majorHAnsi"/>
          <w:szCs w:val="22"/>
        </w:rPr>
        <w:t xml:space="preserve">a instituciones </w:t>
      </w:r>
      <w:r w:rsidRPr="00B24A80">
        <w:rPr>
          <w:rFonts w:asciiTheme="majorHAnsi" w:eastAsia="Calibri" w:hAnsiTheme="majorHAnsi" w:cstheme="majorHAnsi"/>
          <w:szCs w:val="22"/>
        </w:rPr>
        <w:t xml:space="preserve">o entidades </w:t>
      </w:r>
      <w:r>
        <w:rPr>
          <w:rFonts w:asciiTheme="majorHAnsi" w:eastAsia="Calibri" w:hAnsiTheme="majorHAnsi" w:cstheme="majorHAnsi"/>
          <w:szCs w:val="22"/>
        </w:rPr>
        <w:t>privadas</w:t>
      </w:r>
      <w:r w:rsidRPr="00B24A80">
        <w:rPr>
          <w:rFonts w:asciiTheme="majorHAnsi" w:eastAsia="Calibri" w:hAnsiTheme="majorHAnsi" w:cstheme="majorHAnsi"/>
          <w:szCs w:val="22"/>
        </w:rPr>
        <w:t xml:space="preserve"> sin fines de lucro, para la implementación de obras de infraestructura y equipamiento en suelo rural, se podrá establecer un área menor en lo establecido en los Polígonos de Intervención Territorial, conforme a la necesidad del área para la implantación del proyecto.</w:t>
      </w:r>
      <w:r>
        <w:rPr>
          <w:rFonts w:asciiTheme="majorHAnsi" w:eastAsia="Calibri" w:hAnsiTheme="majorHAnsi" w:cstheme="majorHAnsi"/>
          <w:szCs w:val="22"/>
        </w:rPr>
        <w:t xml:space="preserve"> </w:t>
      </w:r>
    </w:p>
    <w:p w14:paraId="5EF4B26B" w14:textId="22AEDFB8" w:rsidR="00C074ED" w:rsidRPr="007B1BFB" w:rsidRDefault="00C074ED" w:rsidP="00C074ED">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B24A80">
        <w:rPr>
          <w:rFonts w:asciiTheme="majorHAnsi" w:eastAsia="Calibri" w:hAnsiTheme="majorHAnsi" w:cstheme="majorHAnsi"/>
          <w:szCs w:val="22"/>
        </w:rPr>
        <w:t xml:space="preserve">En casos excepcionales y debidamente justificados, previa presentación de un informe técnico de la </w:t>
      </w:r>
      <w:r w:rsidRPr="00070A5C">
        <w:rPr>
          <w:rFonts w:asciiTheme="majorHAnsi" w:eastAsia="Calibri" w:hAnsiTheme="majorHAnsi" w:cstheme="majorHAnsi"/>
          <w:szCs w:val="22"/>
        </w:rPr>
        <w:t>Dirección de Gestión de Planificación y Ordenamiento Territorial, se podrá aut</w:t>
      </w:r>
      <w:r w:rsidRPr="00B24A80">
        <w:rPr>
          <w:rFonts w:asciiTheme="majorHAnsi" w:eastAsia="Calibri" w:hAnsiTheme="majorHAnsi" w:cstheme="majorHAnsi"/>
          <w:szCs w:val="22"/>
        </w:rPr>
        <w:t>orizar el fraccionamiento de predios rurales en hasta un máximo de cinco lotes. Cada lote deberá cumplir un área mínima de 500 m2 y un frente mínimo de 15 metros</w:t>
      </w:r>
      <w:r w:rsidRPr="00B24A80">
        <w:rPr>
          <w:szCs w:val="22"/>
        </w:rPr>
        <w:t>.</w:t>
      </w:r>
    </w:p>
    <w:p w14:paraId="313CF7E5" w14:textId="77777777" w:rsidR="008F682C" w:rsidRDefault="008F682C" w:rsidP="008F682C">
      <w:pPr>
        <w:pStyle w:val="Prrafodelista"/>
        <w:widowControl/>
        <w:tabs>
          <w:tab w:val="left" w:pos="851"/>
        </w:tabs>
        <w:spacing w:after="240" w:line="276" w:lineRule="auto"/>
        <w:ind w:left="1440" w:right="-100"/>
        <w:rPr>
          <w:rFonts w:asciiTheme="majorHAnsi" w:eastAsia="Calibri" w:hAnsiTheme="majorHAnsi" w:cstheme="majorHAnsi"/>
          <w:szCs w:val="22"/>
        </w:rPr>
      </w:pPr>
    </w:p>
    <w:p w14:paraId="1345C6EE" w14:textId="77777777" w:rsidR="0037033E" w:rsidRDefault="0037033E" w:rsidP="008F682C">
      <w:pPr>
        <w:pStyle w:val="Prrafodelista"/>
        <w:widowControl/>
        <w:tabs>
          <w:tab w:val="left" w:pos="851"/>
        </w:tabs>
        <w:spacing w:after="240" w:line="276" w:lineRule="auto"/>
        <w:ind w:left="1440" w:right="-100"/>
        <w:rPr>
          <w:rFonts w:asciiTheme="majorHAnsi" w:eastAsia="Calibri" w:hAnsiTheme="majorHAnsi" w:cstheme="majorHAnsi"/>
          <w:szCs w:val="22"/>
        </w:rPr>
      </w:pPr>
    </w:p>
    <w:p w14:paraId="64989D56" w14:textId="77777777" w:rsidR="00B34CB6" w:rsidRDefault="00B34CB6" w:rsidP="00B34CB6">
      <w:pPr>
        <w:pStyle w:val="Prrafodelista"/>
        <w:widowControl/>
        <w:tabs>
          <w:tab w:val="left" w:pos="284"/>
          <w:tab w:val="left" w:pos="851"/>
        </w:tabs>
        <w:spacing w:after="240" w:line="276" w:lineRule="auto"/>
        <w:ind w:left="284" w:right="-100"/>
        <w:rPr>
          <w:rFonts w:asciiTheme="majorHAnsi" w:eastAsia="Calibri" w:hAnsiTheme="majorHAnsi" w:cstheme="majorHAnsi"/>
          <w:szCs w:val="22"/>
        </w:rPr>
      </w:pPr>
    </w:p>
    <w:p w14:paraId="72739924" w14:textId="404FF15F" w:rsidR="00FB1B94" w:rsidRPr="00B34CB6" w:rsidRDefault="00B32317" w:rsidP="00B34CB6">
      <w:pPr>
        <w:pStyle w:val="Prrafodelista"/>
        <w:widowControl/>
        <w:numPr>
          <w:ilvl w:val="0"/>
          <w:numId w:val="114"/>
        </w:numPr>
        <w:tabs>
          <w:tab w:val="left" w:pos="851"/>
        </w:tabs>
        <w:spacing w:after="240" w:line="276" w:lineRule="auto"/>
        <w:ind w:left="142" w:right="-100" w:firstLine="0"/>
        <w:rPr>
          <w:rFonts w:asciiTheme="majorHAnsi" w:eastAsia="Calibri" w:hAnsiTheme="majorHAnsi" w:cstheme="majorHAnsi"/>
          <w:b/>
          <w:bCs/>
          <w:szCs w:val="22"/>
        </w:rPr>
      </w:pPr>
      <w:r w:rsidRPr="00B34CB6">
        <w:rPr>
          <w:rFonts w:asciiTheme="majorHAnsi" w:eastAsia="Calibri" w:hAnsiTheme="majorHAnsi" w:cstheme="majorHAnsi"/>
          <w:b/>
          <w:bCs/>
          <w:szCs w:val="22"/>
        </w:rPr>
        <w:t>P</w:t>
      </w:r>
      <w:r w:rsidR="00FB1B94" w:rsidRPr="00B34CB6">
        <w:rPr>
          <w:rFonts w:asciiTheme="majorHAnsi" w:eastAsia="Calibri" w:hAnsiTheme="majorHAnsi" w:cstheme="majorHAnsi"/>
          <w:b/>
          <w:bCs/>
          <w:szCs w:val="22"/>
        </w:rPr>
        <w:t>rocedimientos para la aprobación de división o fraccionamiento rural. -</w:t>
      </w:r>
      <w:r w:rsidR="00FB1B94" w:rsidRPr="00B34CB6">
        <w:rPr>
          <w:rFonts w:asciiTheme="majorHAnsi" w:eastAsia="Calibri" w:hAnsiTheme="majorHAnsi" w:cstheme="majorHAnsi"/>
          <w:szCs w:val="22"/>
        </w:rPr>
        <w:t xml:space="preserve"> Los proyectos de fraccionamiento rural; deberán cumplir dos instancias</w:t>
      </w:r>
      <w:r w:rsidR="003D5D8F" w:rsidRPr="00B34CB6">
        <w:rPr>
          <w:rFonts w:asciiTheme="majorHAnsi" w:eastAsia="Calibri" w:hAnsiTheme="majorHAnsi" w:cstheme="majorHAnsi"/>
          <w:szCs w:val="22"/>
        </w:rPr>
        <w:t xml:space="preserve"> </w:t>
      </w:r>
      <w:r w:rsidR="00FB1B94" w:rsidRPr="00B34CB6">
        <w:rPr>
          <w:rFonts w:asciiTheme="majorHAnsi" w:eastAsia="Calibri" w:hAnsiTheme="majorHAnsi" w:cstheme="majorHAnsi"/>
          <w:szCs w:val="22"/>
        </w:rPr>
        <w:t xml:space="preserve">de aprobación: </w:t>
      </w:r>
    </w:p>
    <w:p w14:paraId="57C6E1B4" w14:textId="77777777" w:rsidR="00FB1B94" w:rsidRPr="00FB1B94" w:rsidRDefault="00FB1B94" w:rsidP="00FB1B94">
      <w:pPr>
        <w:pStyle w:val="Prrafodelista"/>
        <w:widowControl/>
        <w:tabs>
          <w:tab w:val="left" w:pos="851"/>
        </w:tabs>
        <w:spacing w:after="240" w:line="276" w:lineRule="auto"/>
        <w:ind w:left="284" w:right="-100"/>
        <w:rPr>
          <w:rFonts w:asciiTheme="majorHAnsi" w:eastAsia="Calibri" w:hAnsiTheme="majorHAnsi" w:cstheme="majorHAnsi"/>
          <w:szCs w:val="22"/>
        </w:rPr>
      </w:pPr>
    </w:p>
    <w:p w14:paraId="03CD9853" w14:textId="3C1AF6C5" w:rsidR="00FB1B94" w:rsidRPr="00FB1B94" w:rsidRDefault="00FB1B94" w:rsidP="003D5D8F">
      <w:pPr>
        <w:pStyle w:val="Prrafodelista"/>
        <w:widowControl/>
        <w:numPr>
          <w:ilvl w:val="0"/>
          <w:numId w:val="123"/>
        </w:numPr>
        <w:tabs>
          <w:tab w:val="left" w:pos="851"/>
        </w:tabs>
        <w:spacing w:after="240" w:line="276" w:lineRule="auto"/>
        <w:ind w:right="-100"/>
        <w:rPr>
          <w:rFonts w:asciiTheme="majorHAnsi" w:eastAsia="Calibri" w:hAnsiTheme="majorHAnsi" w:cstheme="majorHAnsi"/>
          <w:szCs w:val="22"/>
        </w:rPr>
      </w:pPr>
      <w:r w:rsidRPr="00FB1B94">
        <w:rPr>
          <w:rFonts w:asciiTheme="majorHAnsi" w:eastAsia="Calibri" w:hAnsiTheme="majorHAnsi" w:cstheme="majorHAnsi"/>
          <w:szCs w:val="22"/>
        </w:rPr>
        <w:t xml:space="preserve">Informe básico de división o fraccionamiento </w:t>
      </w:r>
      <w:r w:rsidR="001B4D53">
        <w:rPr>
          <w:rFonts w:asciiTheme="majorHAnsi" w:eastAsia="Calibri" w:hAnsiTheme="majorHAnsi" w:cstheme="majorHAnsi"/>
          <w:szCs w:val="22"/>
        </w:rPr>
        <w:t>rural</w:t>
      </w:r>
      <w:r w:rsidRPr="00FB1B94">
        <w:rPr>
          <w:rFonts w:asciiTheme="majorHAnsi" w:eastAsia="Calibri" w:hAnsiTheme="majorHAnsi" w:cstheme="majorHAnsi"/>
          <w:szCs w:val="22"/>
        </w:rPr>
        <w:t xml:space="preserve">, </w:t>
      </w:r>
    </w:p>
    <w:p w14:paraId="01596B24" w14:textId="3E9E5235" w:rsidR="00FB1B94" w:rsidRDefault="00FB1B94" w:rsidP="003D5D8F">
      <w:pPr>
        <w:pStyle w:val="Prrafodelista"/>
        <w:widowControl/>
        <w:numPr>
          <w:ilvl w:val="0"/>
          <w:numId w:val="123"/>
        </w:numPr>
        <w:tabs>
          <w:tab w:val="left" w:pos="851"/>
        </w:tabs>
        <w:spacing w:after="240" w:line="276" w:lineRule="auto"/>
        <w:ind w:right="-100"/>
        <w:rPr>
          <w:rFonts w:asciiTheme="majorHAnsi" w:eastAsia="Calibri" w:hAnsiTheme="majorHAnsi" w:cstheme="majorHAnsi"/>
          <w:szCs w:val="22"/>
        </w:rPr>
      </w:pPr>
      <w:r w:rsidRPr="00FB1B94">
        <w:rPr>
          <w:rFonts w:asciiTheme="majorHAnsi" w:eastAsia="Calibri" w:hAnsiTheme="majorHAnsi" w:cstheme="majorHAnsi"/>
          <w:szCs w:val="22"/>
        </w:rPr>
        <w:t xml:space="preserve">Aprobación del proyecto de fraccionamiento </w:t>
      </w:r>
      <w:r w:rsidR="001B4D53">
        <w:rPr>
          <w:rFonts w:asciiTheme="majorHAnsi" w:eastAsia="Calibri" w:hAnsiTheme="majorHAnsi" w:cstheme="majorHAnsi"/>
          <w:szCs w:val="22"/>
        </w:rPr>
        <w:t>rural.</w:t>
      </w:r>
    </w:p>
    <w:p w14:paraId="6913A278" w14:textId="3321C1F5" w:rsidR="003318D5" w:rsidRPr="00EF13C3" w:rsidRDefault="003318D5" w:rsidP="003318D5">
      <w:pPr>
        <w:pStyle w:val="Prrafodelista"/>
        <w:widowControl/>
        <w:numPr>
          <w:ilvl w:val="0"/>
          <w:numId w:val="114"/>
        </w:numPr>
        <w:tabs>
          <w:tab w:val="left" w:pos="851"/>
        </w:tabs>
        <w:spacing w:after="240" w:line="276" w:lineRule="auto"/>
        <w:ind w:left="142" w:right="-100" w:firstLine="0"/>
        <w:rPr>
          <w:rFonts w:asciiTheme="majorHAnsi" w:eastAsia="Calibri" w:hAnsiTheme="majorHAnsi" w:cstheme="majorHAnsi"/>
          <w:b/>
          <w:bCs/>
          <w:szCs w:val="22"/>
        </w:rPr>
      </w:pPr>
      <w:r w:rsidRPr="00EF13C3">
        <w:rPr>
          <w:rFonts w:asciiTheme="majorHAnsi" w:eastAsia="Calibri" w:hAnsiTheme="majorHAnsi" w:cstheme="majorHAnsi"/>
          <w:b/>
          <w:bCs/>
          <w:szCs w:val="22"/>
        </w:rPr>
        <w:t xml:space="preserve">Informe Básico de fraccionamiento </w:t>
      </w:r>
      <w:r w:rsidR="00A35002">
        <w:rPr>
          <w:rFonts w:asciiTheme="majorHAnsi" w:eastAsia="Calibri" w:hAnsiTheme="majorHAnsi" w:cstheme="majorHAnsi"/>
          <w:b/>
          <w:bCs/>
          <w:szCs w:val="22"/>
        </w:rPr>
        <w:t>rural</w:t>
      </w:r>
      <w:r w:rsidRPr="00EF13C3">
        <w:rPr>
          <w:rFonts w:asciiTheme="majorHAnsi" w:eastAsia="Calibri" w:hAnsiTheme="majorHAnsi" w:cstheme="majorHAnsi"/>
          <w:b/>
          <w:bCs/>
          <w:szCs w:val="22"/>
        </w:rPr>
        <w:t>. -</w:t>
      </w:r>
      <w:r w:rsidRPr="00EF13C3">
        <w:rPr>
          <w:rFonts w:asciiTheme="majorHAnsi" w:eastAsia="Calibri" w:hAnsiTheme="majorHAnsi" w:cstheme="majorHAnsi"/>
          <w:szCs w:val="22"/>
        </w:rPr>
        <w:t xml:space="preserve"> Para el otorgamiento del informe básico de fraccionamiento </w:t>
      </w:r>
      <w:r w:rsidR="00A35002">
        <w:rPr>
          <w:rFonts w:asciiTheme="majorHAnsi" w:eastAsia="Calibri" w:hAnsiTheme="majorHAnsi" w:cstheme="majorHAnsi"/>
          <w:szCs w:val="22"/>
        </w:rPr>
        <w:t>rural</w:t>
      </w:r>
      <w:r w:rsidRPr="00EF13C3">
        <w:rPr>
          <w:rFonts w:asciiTheme="majorHAnsi" w:eastAsia="Calibri" w:hAnsiTheme="majorHAnsi" w:cstheme="majorHAnsi"/>
          <w:szCs w:val="22"/>
        </w:rPr>
        <w:t>, el interesado, presentará en la Dirección de Gestión de Planificación, la siguiente documentación:</w:t>
      </w:r>
    </w:p>
    <w:p w14:paraId="797FE57A" w14:textId="047B192D" w:rsidR="003318D5" w:rsidRPr="008C673C" w:rsidRDefault="003318D5" w:rsidP="008C673C">
      <w:pPr>
        <w:pStyle w:val="Prrafodelista"/>
        <w:widowControl/>
        <w:numPr>
          <w:ilvl w:val="0"/>
          <w:numId w:val="125"/>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Solicitud dirigida al director de Planificación, con la firma del o de todos los</w:t>
      </w:r>
      <w:r w:rsidR="00EF13C3" w:rsidRPr="008C673C">
        <w:rPr>
          <w:rFonts w:asciiTheme="majorHAnsi" w:eastAsia="Calibri" w:hAnsiTheme="majorHAnsi" w:cstheme="majorHAnsi"/>
          <w:szCs w:val="22"/>
        </w:rPr>
        <w:t xml:space="preserve"> </w:t>
      </w:r>
      <w:r w:rsidRPr="008C673C">
        <w:rPr>
          <w:rFonts w:asciiTheme="majorHAnsi" w:eastAsia="Calibri" w:hAnsiTheme="majorHAnsi" w:cstheme="majorHAnsi"/>
          <w:szCs w:val="22"/>
        </w:rPr>
        <w:t>propietarios del predio o su representante legal;</w:t>
      </w:r>
    </w:p>
    <w:p w14:paraId="3A937ADF" w14:textId="249A0A91" w:rsidR="003318D5" w:rsidRPr="008C673C" w:rsidRDefault="003318D5" w:rsidP="008C673C">
      <w:pPr>
        <w:pStyle w:val="Prrafodelista"/>
        <w:widowControl/>
        <w:numPr>
          <w:ilvl w:val="0"/>
          <w:numId w:val="125"/>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Presentación de cédula de identidad;</w:t>
      </w:r>
    </w:p>
    <w:p w14:paraId="46DD9919" w14:textId="263E809E" w:rsidR="003318D5" w:rsidRPr="008C673C" w:rsidRDefault="003318D5" w:rsidP="008C673C">
      <w:pPr>
        <w:pStyle w:val="Prrafodelista"/>
        <w:widowControl/>
        <w:numPr>
          <w:ilvl w:val="0"/>
          <w:numId w:val="125"/>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 xml:space="preserve">Copia de las escrituras del terreno debidamente registradas; </w:t>
      </w:r>
    </w:p>
    <w:p w14:paraId="3E4736FD" w14:textId="191CAA8D" w:rsidR="003318D5" w:rsidRPr="008C673C" w:rsidRDefault="003318D5" w:rsidP="008C673C">
      <w:pPr>
        <w:pStyle w:val="Prrafodelista"/>
        <w:widowControl/>
        <w:numPr>
          <w:ilvl w:val="0"/>
          <w:numId w:val="125"/>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Copia del comprobante de pago del impuesto predial del año en curso; y,</w:t>
      </w:r>
    </w:p>
    <w:p w14:paraId="5C88E686" w14:textId="0AC401D5" w:rsidR="00575CBE" w:rsidRPr="008C673C" w:rsidRDefault="00575CBE" w:rsidP="008C673C">
      <w:pPr>
        <w:pStyle w:val="Prrafodelista"/>
        <w:widowControl/>
        <w:numPr>
          <w:ilvl w:val="0"/>
          <w:numId w:val="125"/>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Certificado de gravámenes actualizado otorgado por el Registro de la Propiedad.</w:t>
      </w:r>
    </w:p>
    <w:p w14:paraId="46FAE3F1" w14:textId="75485DB0" w:rsidR="003318D5" w:rsidRPr="008C673C" w:rsidRDefault="003318D5" w:rsidP="008C673C">
      <w:pPr>
        <w:pStyle w:val="Prrafodelista"/>
        <w:widowControl/>
        <w:numPr>
          <w:ilvl w:val="0"/>
          <w:numId w:val="125"/>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Croquis de ubicación del predio.</w:t>
      </w:r>
    </w:p>
    <w:p w14:paraId="25B8682C" w14:textId="31A05BE5" w:rsidR="003318D5" w:rsidRPr="008C673C" w:rsidRDefault="003318D5" w:rsidP="003318D5">
      <w:pPr>
        <w:widowControl/>
        <w:tabs>
          <w:tab w:val="left" w:pos="851"/>
        </w:tabs>
        <w:spacing w:after="240" w:line="276" w:lineRule="auto"/>
        <w:ind w:right="-100"/>
        <w:rPr>
          <w:rFonts w:asciiTheme="majorHAnsi" w:eastAsia="Calibri" w:hAnsiTheme="majorHAnsi" w:cstheme="majorHAnsi"/>
          <w:sz w:val="22"/>
          <w:szCs w:val="22"/>
        </w:rPr>
      </w:pPr>
      <w:r w:rsidRPr="008C673C">
        <w:rPr>
          <w:rFonts w:asciiTheme="majorHAnsi" w:eastAsia="Calibri" w:hAnsiTheme="majorHAnsi" w:cstheme="majorHAnsi"/>
          <w:sz w:val="22"/>
          <w:szCs w:val="22"/>
        </w:rPr>
        <w:t>El informe básico será emitido por la Dirección de Gestión de Planificación, en base a los</w:t>
      </w:r>
      <w:r w:rsidR="008C673C">
        <w:rPr>
          <w:rFonts w:asciiTheme="majorHAnsi" w:eastAsia="Calibri" w:hAnsiTheme="majorHAnsi" w:cstheme="majorHAnsi"/>
          <w:sz w:val="22"/>
          <w:szCs w:val="22"/>
        </w:rPr>
        <w:t xml:space="preserve"> </w:t>
      </w:r>
      <w:r w:rsidRPr="008C673C">
        <w:rPr>
          <w:rFonts w:asciiTheme="majorHAnsi" w:eastAsia="Calibri" w:hAnsiTheme="majorHAnsi" w:cstheme="majorHAnsi"/>
          <w:sz w:val="22"/>
          <w:szCs w:val="22"/>
        </w:rPr>
        <w:t>lineamientos del Plan de Desarrollo y Ordenamiento Territorial, Plan de Uso y Gestión del Suelo</w:t>
      </w:r>
      <w:r w:rsidR="008C673C">
        <w:rPr>
          <w:rFonts w:asciiTheme="majorHAnsi" w:eastAsia="Calibri" w:hAnsiTheme="majorHAnsi" w:cstheme="majorHAnsi"/>
          <w:sz w:val="22"/>
          <w:szCs w:val="22"/>
        </w:rPr>
        <w:t xml:space="preserve"> </w:t>
      </w:r>
      <w:r w:rsidRPr="008C673C">
        <w:rPr>
          <w:rFonts w:asciiTheme="majorHAnsi" w:eastAsia="Calibri" w:hAnsiTheme="majorHAnsi" w:cstheme="majorHAnsi"/>
          <w:sz w:val="22"/>
          <w:szCs w:val="22"/>
        </w:rPr>
        <w:t xml:space="preserve">y/o Planes parciales y previa inspección al sitio. </w:t>
      </w:r>
    </w:p>
    <w:p w14:paraId="295B8176" w14:textId="77777777" w:rsidR="003318D5" w:rsidRPr="008C673C" w:rsidRDefault="003318D5" w:rsidP="003318D5">
      <w:pPr>
        <w:widowControl/>
        <w:tabs>
          <w:tab w:val="left" w:pos="851"/>
        </w:tabs>
        <w:spacing w:after="240" w:line="276" w:lineRule="auto"/>
        <w:ind w:right="-100"/>
        <w:rPr>
          <w:rFonts w:asciiTheme="majorHAnsi" w:eastAsia="Calibri" w:hAnsiTheme="majorHAnsi" w:cstheme="majorHAnsi"/>
          <w:sz w:val="22"/>
          <w:szCs w:val="22"/>
        </w:rPr>
      </w:pPr>
      <w:r w:rsidRPr="008C673C">
        <w:rPr>
          <w:rFonts w:asciiTheme="majorHAnsi" w:eastAsia="Calibri" w:hAnsiTheme="majorHAnsi" w:cstheme="majorHAnsi"/>
          <w:sz w:val="22"/>
          <w:szCs w:val="22"/>
        </w:rPr>
        <w:t>Los contenidos mínimos de este informe serán:</w:t>
      </w:r>
    </w:p>
    <w:p w14:paraId="432B866F" w14:textId="64E94FDA" w:rsidR="003318D5" w:rsidRPr="008C673C" w:rsidRDefault="003318D5" w:rsidP="008C673C">
      <w:pPr>
        <w:pStyle w:val="Prrafodelista"/>
        <w:widowControl/>
        <w:numPr>
          <w:ilvl w:val="0"/>
          <w:numId w:val="126"/>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Datos informativos del propietario;</w:t>
      </w:r>
    </w:p>
    <w:p w14:paraId="77D13660" w14:textId="05079863" w:rsidR="003318D5" w:rsidRPr="008C673C" w:rsidRDefault="003318D5" w:rsidP="008C673C">
      <w:pPr>
        <w:pStyle w:val="Prrafodelista"/>
        <w:widowControl/>
        <w:numPr>
          <w:ilvl w:val="0"/>
          <w:numId w:val="126"/>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Datos de ubicación del predio;</w:t>
      </w:r>
    </w:p>
    <w:p w14:paraId="301FE9DA" w14:textId="3E9DDBA7" w:rsidR="003318D5" w:rsidRPr="008C673C" w:rsidRDefault="003318D5" w:rsidP="008C673C">
      <w:pPr>
        <w:pStyle w:val="Prrafodelista"/>
        <w:widowControl/>
        <w:numPr>
          <w:ilvl w:val="0"/>
          <w:numId w:val="126"/>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Datos de las categorías de ordenamiento territorial del sector;</w:t>
      </w:r>
    </w:p>
    <w:p w14:paraId="535B161A" w14:textId="2239F118" w:rsidR="003318D5" w:rsidRPr="008C673C" w:rsidRDefault="003318D5" w:rsidP="008C673C">
      <w:pPr>
        <w:pStyle w:val="Prrafodelista"/>
        <w:widowControl/>
        <w:numPr>
          <w:ilvl w:val="0"/>
          <w:numId w:val="126"/>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Lineamientos generales para el proyecto:</w:t>
      </w:r>
    </w:p>
    <w:p w14:paraId="686BCF57" w14:textId="58C3502E" w:rsidR="003318D5" w:rsidRPr="008C673C" w:rsidRDefault="003318D5" w:rsidP="008C673C">
      <w:pPr>
        <w:pStyle w:val="Prrafodelista"/>
        <w:widowControl/>
        <w:numPr>
          <w:ilvl w:val="0"/>
          <w:numId w:val="127"/>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Del contexto urbano;</w:t>
      </w:r>
    </w:p>
    <w:p w14:paraId="0AFE2C07" w14:textId="0D58AA27" w:rsidR="003318D5" w:rsidRPr="008C673C" w:rsidRDefault="003318D5" w:rsidP="008C673C">
      <w:pPr>
        <w:pStyle w:val="Prrafodelista"/>
        <w:widowControl/>
        <w:numPr>
          <w:ilvl w:val="0"/>
          <w:numId w:val="127"/>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lastRenderedPageBreak/>
        <w:t>Del uso principal y los usos compatibles;</w:t>
      </w:r>
    </w:p>
    <w:p w14:paraId="53EBBFD7" w14:textId="0B7E2C85" w:rsidR="003318D5" w:rsidRPr="008C673C" w:rsidRDefault="003318D5" w:rsidP="008C673C">
      <w:pPr>
        <w:pStyle w:val="Prrafodelista"/>
        <w:widowControl/>
        <w:numPr>
          <w:ilvl w:val="0"/>
          <w:numId w:val="127"/>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De las formas de ocupación del suelo;</w:t>
      </w:r>
    </w:p>
    <w:p w14:paraId="3723A3C3" w14:textId="1B73624A" w:rsidR="003318D5" w:rsidRPr="008C673C" w:rsidRDefault="003318D5" w:rsidP="008C673C">
      <w:pPr>
        <w:pStyle w:val="Prrafodelista"/>
        <w:widowControl/>
        <w:numPr>
          <w:ilvl w:val="0"/>
          <w:numId w:val="127"/>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 xml:space="preserve">De los coeficientes de ocupación del suelo (COS); </w:t>
      </w:r>
    </w:p>
    <w:p w14:paraId="1C7CF63A" w14:textId="2CC058EA" w:rsidR="003318D5" w:rsidRPr="008C673C" w:rsidRDefault="003318D5" w:rsidP="008C673C">
      <w:pPr>
        <w:pStyle w:val="Prrafodelista"/>
        <w:widowControl/>
        <w:numPr>
          <w:ilvl w:val="0"/>
          <w:numId w:val="127"/>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De los coeficientes de utilización del suelo (CUS); y,</w:t>
      </w:r>
    </w:p>
    <w:p w14:paraId="00FECA0B" w14:textId="373CE354" w:rsidR="003318D5" w:rsidRPr="008C673C" w:rsidRDefault="003318D5" w:rsidP="008C673C">
      <w:pPr>
        <w:pStyle w:val="Prrafodelista"/>
        <w:widowControl/>
        <w:numPr>
          <w:ilvl w:val="0"/>
          <w:numId w:val="127"/>
        </w:numPr>
        <w:tabs>
          <w:tab w:val="left" w:pos="851"/>
        </w:tabs>
        <w:spacing w:after="240" w:line="276" w:lineRule="auto"/>
        <w:ind w:right="-100"/>
        <w:rPr>
          <w:rFonts w:asciiTheme="majorHAnsi" w:eastAsia="Calibri" w:hAnsiTheme="majorHAnsi" w:cstheme="majorHAnsi"/>
          <w:szCs w:val="22"/>
        </w:rPr>
      </w:pPr>
      <w:r w:rsidRPr="008C673C">
        <w:rPr>
          <w:rFonts w:asciiTheme="majorHAnsi" w:eastAsia="Calibri" w:hAnsiTheme="majorHAnsi" w:cstheme="majorHAnsi"/>
          <w:szCs w:val="22"/>
        </w:rPr>
        <w:t>De las redes de infraestructura de servicios básicos,</w:t>
      </w:r>
    </w:p>
    <w:p w14:paraId="58DCB265" w14:textId="297205DD" w:rsidR="003318D5" w:rsidRPr="008C673C" w:rsidRDefault="003318D5" w:rsidP="003318D5">
      <w:pPr>
        <w:widowControl/>
        <w:tabs>
          <w:tab w:val="left" w:pos="851"/>
        </w:tabs>
        <w:spacing w:after="240" w:line="276" w:lineRule="auto"/>
        <w:ind w:right="-100"/>
        <w:rPr>
          <w:rFonts w:asciiTheme="majorHAnsi" w:eastAsia="Calibri" w:hAnsiTheme="majorHAnsi" w:cstheme="majorHAnsi"/>
          <w:sz w:val="22"/>
          <w:szCs w:val="22"/>
        </w:rPr>
      </w:pPr>
      <w:r w:rsidRPr="008C673C">
        <w:rPr>
          <w:rFonts w:asciiTheme="majorHAnsi" w:eastAsia="Calibri" w:hAnsiTheme="majorHAnsi" w:cstheme="majorHAnsi"/>
          <w:sz w:val="22"/>
          <w:szCs w:val="22"/>
        </w:rPr>
        <w:t>El Informe Básico de fraccionamiento rural tendrá validez un año.</w:t>
      </w:r>
    </w:p>
    <w:p w14:paraId="03A704D1" w14:textId="0A7F806F" w:rsidR="00374835" w:rsidRPr="00374835" w:rsidRDefault="00374835" w:rsidP="00374835">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374835">
        <w:rPr>
          <w:rFonts w:asciiTheme="majorHAnsi" w:eastAsia="Calibri" w:hAnsiTheme="majorHAnsi" w:cstheme="majorHAnsi"/>
          <w:szCs w:val="22"/>
        </w:rPr>
        <w:t xml:space="preserve">Informe técnico de aprobación de fraccionamientos </w:t>
      </w:r>
      <w:r w:rsidR="00A35002">
        <w:rPr>
          <w:rFonts w:asciiTheme="majorHAnsi" w:eastAsia="Calibri" w:hAnsiTheme="majorHAnsi" w:cstheme="majorHAnsi"/>
          <w:szCs w:val="22"/>
        </w:rPr>
        <w:t>rural</w:t>
      </w:r>
      <w:r w:rsidRPr="00374835">
        <w:rPr>
          <w:rFonts w:asciiTheme="majorHAnsi" w:eastAsia="Calibri" w:hAnsiTheme="majorHAnsi" w:cstheme="majorHAnsi"/>
          <w:szCs w:val="22"/>
        </w:rPr>
        <w:t xml:space="preserve">.- Para su aprobación la Dirección de Gestión de Planificación emitirá informe técnico de aprobación de fraccionamiento </w:t>
      </w:r>
      <w:r w:rsidR="00A35002">
        <w:rPr>
          <w:rFonts w:asciiTheme="majorHAnsi" w:eastAsia="Calibri" w:hAnsiTheme="majorHAnsi" w:cstheme="majorHAnsi"/>
          <w:szCs w:val="22"/>
        </w:rPr>
        <w:t>rural</w:t>
      </w:r>
      <w:r w:rsidRPr="00374835">
        <w:rPr>
          <w:rFonts w:asciiTheme="majorHAnsi" w:eastAsia="Calibri" w:hAnsiTheme="majorHAnsi" w:cstheme="majorHAnsi"/>
          <w:szCs w:val="22"/>
        </w:rPr>
        <w:t>, sustentada en la revisión de la siguiente documentación:</w:t>
      </w:r>
    </w:p>
    <w:p w14:paraId="39707847" w14:textId="2D0FAA03" w:rsidR="00374835" w:rsidRPr="00374835" w:rsidRDefault="00374835" w:rsidP="00975AFF">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374835">
        <w:rPr>
          <w:rFonts w:asciiTheme="majorHAnsi" w:eastAsia="Calibri" w:hAnsiTheme="majorHAnsi" w:cstheme="majorHAnsi"/>
          <w:szCs w:val="22"/>
        </w:rPr>
        <w:t>Solicitud al Alcalde o Alcaldesa, en el formulario correspondiente, con la firma del o de todos los propietarios del predio o su representante legal</w:t>
      </w:r>
      <w:r w:rsidR="00866F2D">
        <w:rPr>
          <w:rFonts w:asciiTheme="majorHAnsi" w:eastAsia="Calibri" w:hAnsiTheme="majorHAnsi" w:cstheme="majorHAnsi"/>
          <w:szCs w:val="22"/>
        </w:rPr>
        <w:t>;</w:t>
      </w:r>
    </w:p>
    <w:p w14:paraId="2AC31808" w14:textId="7BAA21E5" w:rsidR="00374835" w:rsidRPr="00374835" w:rsidRDefault="00374835" w:rsidP="00975AFF">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374835">
        <w:rPr>
          <w:rFonts w:asciiTheme="majorHAnsi" w:eastAsia="Calibri" w:hAnsiTheme="majorHAnsi" w:cstheme="majorHAnsi"/>
          <w:szCs w:val="22"/>
        </w:rPr>
        <w:t>Memoria descriptiva del proyecto;</w:t>
      </w:r>
    </w:p>
    <w:p w14:paraId="30B2CFE6" w14:textId="48E355A9" w:rsidR="006D0FDE" w:rsidRDefault="00374835" w:rsidP="00975AFF">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374835">
        <w:rPr>
          <w:rFonts w:asciiTheme="majorHAnsi" w:eastAsia="Calibri" w:hAnsiTheme="majorHAnsi" w:cstheme="majorHAnsi"/>
          <w:szCs w:val="22"/>
        </w:rPr>
        <w:t>Propuesta de Fraccionamiento mismos que contengan:</w:t>
      </w:r>
    </w:p>
    <w:p w14:paraId="105E0AEB" w14:textId="77777777" w:rsidR="00386BDB" w:rsidRPr="00386BDB" w:rsidRDefault="00386BDB" w:rsidP="00386BDB">
      <w:pPr>
        <w:pStyle w:val="Prrafodelista"/>
        <w:widowControl/>
        <w:numPr>
          <w:ilvl w:val="1"/>
          <w:numId w:val="128"/>
        </w:numPr>
        <w:tabs>
          <w:tab w:val="left" w:pos="851"/>
        </w:tabs>
        <w:spacing w:after="240" w:line="276" w:lineRule="auto"/>
        <w:ind w:right="-100"/>
        <w:rPr>
          <w:rFonts w:asciiTheme="majorHAnsi" w:eastAsia="Calibri" w:hAnsiTheme="majorHAnsi" w:cstheme="majorHAnsi"/>
          <w:szCs w:val="22"/>
        </w:rPr>
      </w:pPr>
      <w:r w:rsidRPr="00386BDB">
        <w:rPr>
          <w:rFonts w:asciiTheme="majorHAnsi" w:eastAsia="Calibri" w:hAnsiTheme="majorHAnsi" w:cstheme="majorHAnsi"/>
          <w:szCs w:val="22"/>
        </w:rPr>
        <w:t>Levantamiento planimétrico a escala de acuerdo a norma técnica de dibujo conteniendo información sobre accidentes geográficos del terreno, construcciones existentes, líneas de alta tensión, vertientes, esteros, ríos, quebradas y  linderos dimensionados, cuadro de áreas, identificación del norte, los nombres de los colindantes e identificación;</w:t>
      </w:r>
    </w:p>
    <w:p w14:paraId="02D59E16" w14:textId="77777777" w:rsidR="00386BDB" w:rsidRPr="00386BDB" w:rsidRDefault="00386BDB" w:rsidP="00386BDB">
      <w:pPr>
        <w:pStyle w:val="Prrafodelista"/>
        <w:widowControl/>
        <w:numPr>
          <w:ilvl w:val="1"/>
          <w:numId w:val="128"/>
        </w:numPr>
        <w:tabs>
          <w:tab w:val="left" w:pos="851"/>
        </w:tabs>
        <w:spacing w:after="240" w:line="276" w:lineRule="auto"/>
        <w:ind w:right="-100"/>
        <w:rPr>
          <w:rFonts w:asciiTheme="majorHAnsi" w:eastAsia="Calibri" w:hAnsiTheme="majorHAnsi" w:cstheme="majorHAnsi"/>
          <w:szCs w:val="22"/>
        </w:rPr>
      </w:pPr>
      <w:r w:rsidRPr="00386BDB">
        <w:rPr>
          <w:rFonts w:asciiTheme="majorHAnsi" w:eastAsia="Calibri" w:hAnsiTheme="majorHAnsi" w:cstheme="majorHAnsi"/>
          <w:szCs w:val="22"/>
        </w:rPr>
        <w:t xml:space="preserve">Se presentará la implantación global de acuerdo a la escritura madre, con las ventas parciales que se hayan realizado y la propuesta de fraccionamiento; </w:t>
      </w:r>
    </w:p>
    <w:p w14:paraId="581E54C2" w14:textId="77777777" w:rsidR="00386BDB" w:rsidRPr="00386BDB" w:rsidRDefault="00386BDB" w:rsidP="00386BDB">
      <w:pPr>
        <w:pStyle w:val="Prrafodelista"/>
        <w:widowControl/>
        <w:numPr>
          <w:ilvl w:val="1"/>
          <w:numId w:val="128"/>
        </w:numPr>
        <w:tabs>
          <w:tab w:val="left" w:pos="851"/>
        </w:tabs>
        <w:spacing w:after="240" w:line="276" w:lineRule="auto"/>
        <w:ind w:right="-100"/>
        <w:rPr>
          <w:rFonts w:asciiTheme="majorHAnsi" w:eastAsia="Calibri" w:hAnsiTheme="majorHAnsi" w:cstheme="majorHAnsi"/>
          <w:szCs w:val="22"/>
        </w:rPr>
      </w:pPr>
      <w:r w:rsidRPr="00386BDB">
        <w:rPr>
          <w:rFonts w:asciiTheme="majorHAnsi" w:eastAsia="Calibri" w:hAnsiTheme="majorHAnsi" w:cstheme="majorHAnsi"/>
          <w:szCs w:val="22"/>
        </w:rPr>
        <w:t xml:space="preserve">Adicionalmente se adjuntará la fracción con las coordenadas, cuadros de resumen de áreas y linderos; </w:t>
      </w:r>
    </w:p>
    <w:p w14:paraId="1EA67B1C" w14:textId="77777777" w:rsidR="00386BDB" w:rsidRPr="00386BDB" w:rsidRDefault="00386BDB" w:rsidP="00386BDB">
      <w:pPr>
        <w:pStyle w:val="Prrafodelista"/>
        <w:widowControl/>
        <w:numPr>
          <w:ilvl w:val="1"/>
          <w:numId w:val="128"/>
        </w:numPr>
        <w:tabs>
          <w:tab w:val="left" w:pos="851"/>
        </w:tabs>
        <w:spacing w:after="240" w:line="276" w:lineRule="auto"/>
        <w:ind w:right="-100"/>
        <w:rPr>
          <w:rFonts w:asciiTheme="majorHAnsi" w:eastAsia="Calibri" w:hAnsiTheme="majorHAnsi" w:cstheme="majorHAnsi"/>
          <w:szCs w:val="22"/>
        </w:rPr>
      </w:pPr>
      <w:r w:rsidRPr="00386BDB">
        <w:rPr>
          <w:rFonts w:asciiTheme="majorHAnsi" w:eastAsia="Calibri" w:hAnsiTheme="majorHAnsi" w:cstheme="majorHAnsi"/>
          <w:szCs w:val="22"/>
        </w:rPr>
        <w:t>Estos planos podrán ser en formato A4 o a escala que se requiera, (aplica para todos los tipos de fraccionamientos, adjuntar plano original y 2 copias); y,</w:t>
      </w:r>
    </w:p>
    <w:p w14:paraId="13BED2D5" w14:textId="73CDA97A" w:rsidR="00386BDB" w:rsidRDefault="00386BDB" w:rsidP="00386BDB">
      <w:pPr>
        <w:pStyle w:val="Prrafodelista"/>
        <w:widowControl/>
        <w:numPr>
          <w:ilvl w:val="1"/>
          <w:numId w:val="128"/>
        </w:numPr>
        <w:tabs>
          <w:tab w:val="left" w:pos="851"/>
        </w:tabs>
        <w:spacing w:after="240" w:line="276" w:lineRule="auto"/>
        <w:ind w:right="-100"/>
        <w:rPr>
          <w:rFonts w:asciiTheme="majorHAnsi" w:eastAsia="Calibri" w:hAnsiTheme="majorHAnsi" w:cstheme="majorHAnsi"/>
          <w:szCs w:val="22"/>
        </w:rPr>
      </w:pPr>
      <w:r w:rsidRPr="00386BDB">
        <w:rPr>
          <w:rFonts w:asciiTheme="majorHAnsi" w:eastAsia="Calibri" w:hAnsiTheme="majorHAnsi" w:cstheme="majorHAnsi"/>
          <w:szCs w:val="22"/>
        </w:rPr>
        <w:t>Un CD debidamente identificado con Información digital de la planimetría en formato DWG, DXF, SHAPE FILE.</w:t>
      </w:r>
    </w:p>
    <w:p w14:paraId="53948A18" w14:textId="7ABDDC72" w:rsidR="00E6551A" w:rsidRPr="00E6551A" w:rsidRDefault="00E6551A" w:rsidP="00E6551A">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E6551A">
        <w:rPr>
          <w:rFonts w:asciiTheme="majorHAnsi" w:eastAsia="Calibri" w:hAnsiTheme="majorHAnsi" w:cstheme="majorHAnsi"/>
          <w:szCs w:val="22"/>
        </w:rPr>
        <w:t>Copia de la escritura pública;</w:t>
      </w:r>
    </w:p>
    <w:p w14:paraId="0482984F" w14:textId="2355D3EF" w:rsidR="00E6551A" w:rsidRPr="00E6551A" w:rsidRDefault="00E6551A" w:rsidP="00E6551A">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E6551A">
        <w:rPr>
          <w:rFonts w:asciiTheme="majorHAnsi" w:eastAsia="Calibri" w:hAnsiTheme="majorHAnsi" w:cstheme="majorHAnsi"/>
          <w:szCs w:val="22"/>
        </w:rPr>
        <w:t>Pago de Impuesto Predial del año en curso;</w:t>
      </w:r>
    </w:p>
    <w:p w14:paraId="2119BD28" w14:textId="7689345F" w:rsidR="00E6551A" w:rsidRPr="00E6551A" w:rsidRDefault="00E6551A" w:rsidP="00E6551A">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E6551A">
        <w:rPr>
          <w:rFonts w:asciiTheme="majorHAnsi" w:eastAsia="Calibri" w:hAnsiTheme="majorHAnsi" w:cstheme="majorHAnsi"/>
          <w:szCs w:val="22"/>
        </w:rPr>
        <w:t>Certificado de Gravámenes actualizado otorgado por el Registro de la Propiedad;</w:t>
      </w:r>
    </w:p>
    <w:p w14:paraId="737A72AE" w14:textId="08A0AD69" w:rsidR="00E6551A" w:rsidRPr="00E6551A" w:rsidRDefault="00E6551A" w:rsidP="00E6551A">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E6551A">
        <w:rPr>
          <w:rFonts w:asciiTheme="majorHAnsi" w:eastAsia="Calibri" w:hAnsiTheme="majorHAnsi" w:cstheme="majorHAnsi"/>
          <w:szCs w:val="22"/>
        </w:rPr>
        <w:t xml:space="preserve">Carnet de inscripción del profesional que elabora  la planimetría, presentación cédula de identidad y SENESCYT; </w:t>
      </w:r>
    </w:p>
    <w:p w14:paraId="3B8E8488" w14:textId="080D0E42" w:rsidR="00E6551A" w:rsidRPr="00E6551A" w:rsidRDefault="00E6551A" w:rsidP="00E6551A">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E6551A">
        <w:rPr>
          <w:rFonts w:asciiTheme="majorHAnsi" w:eastAsia="Calibri" w:hAnsiTheme="majorHAnsi" w:cstheme="majorHAnsi"/>
          <w:szCs w:val="22"/>
        </w:rPr>
        <w:t>Certificado de no adeudar al Municipio del o los solicitantes; y,</w:t>
      </w:r>
    </w:p>
    <w:p w14:paraId="40C07EF3" w14:textId="25B1F49D" w:rsidR="006639A1" w:rsidRDefault="00E6551A" w:rsidP="006639A1">
      <w:pPr>
        <w:pStyle w:val="Prrafodelista"/>
        <w:widowControl/>
        <w:numPr>
          <w:ilvl w:val="0"/>
          <w:numId w:val="128"/>
        </w:numPr>
        <w:tabs>
          <w:tab w:val="left" w:pos="851"/>
        </w:tabs>
        <w:spacing w:after="240" w:line="276" w:lineRule="auto"/>
        <w:ind w:right="-100"/>
        <w:rPr>
          <w:rFonts w:asciiTheme="majorHAnsi" w:eastAsia="Calibri" w:hAnsiTheme="majorHAnsi" w:cstheme="majorHAnsi"/>
          <w:szCs w:val="22"/>
        </w:rPr>
      </w:pPr>
      <w:r w:rsidRPr="00E6551A">
        <w:rPr>
          <w:rFonts w:asciiTheme="majorHAnsi" w:eastAsia="Calibri" w:hAnsiTheme="majorHAnsi" w:cstheme="majorHAnsi"/>
          <w:szCs w:val="22"/>
        </w:rPr>
        <w:t>Copias de cédula y papeleta de votación de los solicitantes.</w:t>
      </w:r>
    </w:p>
    <w:p w14:paraId="6367F835" w14:textId="77777777" w:rsidR="00DA7564" w:rsidRPr="00DA7564" w:rsidRDefault="00DA7564" w:rsidP="00DA7564">
      <w:pPr>
        <w:widowControl/>
        <w:tabs>
          <w:tab w:val="left" w:pos="851"/>
        </w:tabs>
        <w:spacing w:after="240" w:line="276" w:lineRule="auto"/>
        <w:ind w:right="-100"/>
        <w:rPr>
          <w:rFonts w:asciiTheme="majorHAnsi" w:eastAsia="Calibri" w:hAnsiTheme="majorHAnsi" w:cstheme="majorHAnsi"/>
          <w:szCs w:val="22"/>
        </w:rPr>
      </w:pPr>
    </w:p>
    <w:p w14:paraId="111E1C42" w14:textId="0C58A3F9" w:rsidR="006639A1" w:rsidRDefault="006639A1" w:rsidP="006639A1">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0433B8">
        <w:rPr>
          <w:rFonts w:asciiTheme="majorHAnsi" w:eastAsia="Calibri" w:hAnsiTheme="majorHAnsi" w:cstheme="majorHAnsi"/>
          <w:b/>
          <w:szCs w:val="22"/>
        </w:rPr>
        <w:t>Informe legal de aprobación de división o fraccionamiento</w:t>
      </w:r>
      <w:r>
        <w:rPr>
          <w:rFonts w:asciiTheme="majorHAnsi" w:eastAsia="Calibri" w:hAnsiTheme="majorHAnsi" w:cstheme="majorHAnsi"/>
          <w:b/>
          <w:szCs w:val="22"/>
        </w:rPr>
        <w:t xml:space="preserve"> </w:t>
      </w:r>
      <w:r>
        <w:rPr>
          <w:rFonts w:asciiTheme="majorHAnsi" w:eastAsia="Calibri" w:hAnsiTheme="majorHAnsi" w:cstheme="majorHAnsi"/>
          <w:b/>
          <w:szCs w:val="22"/>
        </w:rPr>
        <w:t>rural</w:t>
      </w:r>
      <w:r w:rsidRPr="000433B8">
        <w:rPr>
          <w:rFonts w:asciiTheme="majorHAnsi" w:eastAsia="Calibri" w:hAnsiTheme="majorHAnsi" w:cstheme="majorHAnsi"/>
          <w:b/>
          <w:szCs w:val="22"/>
        </w:rPr>
        <w:t xml:space="preserve">.- </w:t>
      </w:r>
      <w:r w:rsidRPr="000433B8">
        <w:rPr>
          <w:rFonts w:asciiTheme="majorHAnsi" w:eastAsia="Calibri" w:hAnsiTheme="majorHAnsi" w:cstheme="majorHAnsi"/>
          <w:bCs/>
          <w:szCs w:val="22"/>
        </w:rPr>
        <w:t>Una vez que la Dirección de Gestión de Planificación entregue el informe técnico de aprobación del proyecto definitivo de la urbanización o fraccionamiento, y la Unidad de Avalúos y Catastros entregue las claves catastrales provisionales, Procuraduría Síndica emitirá el informe legal favorable de la aprobación de la urbanización o fraccionamiento y el proyecto de la ordenanza para aprobación del Concejo Municipal, o de la Resolución Administrativa de aprobación del fraccionamiento, según sea el caso.</w:t>
      </w:r>
    </w:p>
    <w:p w14:paraId="4B2EBAD6" w14:textId="77777777" w:rsidR="006639A1" w:rsidRDefault="006639A1" w:rsidP="006639A1">
      <w:pPr>
        <w:pStyle w:val="Prrafodelista"/>
        <w:widowControl/>
        <w:tabs>
          <w:tab w:val="left" w:pos="851"/>
        </w:tabs>
        <w:spacing w:after="240" w:line="276" w:lineRule="auto"/>
        <w:ind w:left="0" w:right="-100"/>
        <w:rPr>
          <w:rFonts w:asciiTheme="majorHAnsi" w:eastAsia="Calibri" w:hAnsiTheme="majorHAnsi" w:cstheme="majorHAnsi"/>
          <w:b/>
          <w:szCs w:val="22"/>
        </w:rPr>
      </w:pPr>
    </w:p>
    <w:p w14:paraId="5C6B6AD5" w14:textId="0EAAAC35" w:rsidR="00FB1B94" w:rsidRPr="004B565D" w:rsidRDefault="006639A1" w:rsidP="00FB1B94">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570EC6">
        <w:rPr>
          <w:rFonts w:asciiTheme="majorHAnsi" w:eastAsia="Calibri" w:hAnsiTheme="majorHAnsi" w:cstheme="majorHAnsi"/>
          <w:b/>
          <w:szCs w:val="22"/>
        </w:rPr>
        <w:lastRenderedPageBreak/>
        <w:t>De la aprobación de división o fraccionamiento</w:t>
      </w:r>
      <w:r>
        <w:rPr>
          <w:rFonts w:asciiTheme="majorHAnsi" w:eastAsia="Calibri" w:hAnsiTheme="majorHAnsi" w:cstheme="majorHAnsi"/>
          <w:b/>
          <w:szCs w:val="22"/>
        </w:rPr>
        <w:t xml:space="preserve"> </w:t>
      </w:r>
      <w:r>
        <w:rPr>
          <w:rFonts w:asciiTheme="majorHAnsi" w:eastAsia="Calibri" w:hAnsiTheme="majorHAnsi" w:cstheme="majorHAnsi"/>
          <w:b/>
          <w:szCs w:val="22"/>
        </w:rPr>
        <w:t>rural</w:t>
      </w:r>
      <w:r w:rsidRPr="00570EC6">
        <w:rPr>
          <w:rFonts w:asciiTheme="majorHAnsi" w:eastAsia="Calibri" w:hAnsiTheme="majorHAnsi" w:cstheme="majorHAnsi"/>
          <w:b/>
          <w:szCs w:val="22"/>
        </w:rPr>
        <w:t xml:space="preserve">. - </w:t>
      </w:r>
      <w:r w:rsidRPr="00570EC6">
        <w:rPr>
          <w:rFonts w:asciiTheme="majorHAnsi" w:eastAsia="Calibri" w:hAnsiTheme="majorHAnsi" w:cstheme="majorHAnsi"/>
          <w:bCs/>
          <w:szCs w:val="22"/>
        </w:rPr>
        <w:t>Las urbanizaciones las aprobará el Concejo Municipal a través de una ordenanza, previos informes técnicos de la Dirección de Gestión de Planificación, e informe legal de Procuraduría Sindica, en tanto que los fraccionamientos de hasta 10 lotes se las aprobará a través de resolución administrativa por parte de Alcaldía, igualmente sustentada en los correspondientes informes técnicos y legales.</w:t>
      </w:r>
    </w:p>
    <w:p w14:paraId="1C144190" w14:textId="1341D2ED" w:rsidR="00FB1B94" w:rsidRPr="00AB3CBA" w:rsidRDefault="001C1880" w:rsidP="000F5109">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AB3CBA">
        <w:rPr>
          <w:rFonts w:asciiTheme="majorHAnsi" w:eastAsia="Calibri" w:hAnsiTheme="majorHAnsi" w:cstheme="majorHAnsi"/>
          <w:b/>
          <w:bCs/>
          <w:szCs w:val="22"/>
        </w:rPr>
        <w:t>Avalúo de los predios a dividirse o fraccionarse.</w:t>
      </w:r>
      <w:r w:rsidRPr="00A110EF">
        <w:rPr>
          <w:rFonts w:asciiTheme="majorHAnsi" w:eastAsia="Calibri" w:hAnsiTheme="majorHAnsi" w:cstheme="majorHAnsi"/>
          <w:szCs w:val="22"/>
        </w:rPr>
        <w:t xml:space="preserve">  La Unidad de Avalúos</w:t>
      </w:r>
      <w:r w:rsidR="000F5109" w:rsidRPr="00A110EF">
        <w:rPr>
          <w:rFonts w:asciiTheme="majorHAnsi" w:eastAsia="Calibri" w:hAnsiTheme="majorHAnsi" w:cstheme="majorHAnsi"/>
          <w:szCs w:val="22"/>
        </w:rPr>
        <w:t xml:space="preserve"> </w:t>
      </w:r>
      <w:r w:rsidRPr="00A110EF">
        <w:rPr>
          <w:rFonts w:asciiTheme="majorHAnsi" w:eastAsia="Calibri" w:hAnsiTheme="majorHAnsi" w:cstheme="majorHAnsi"/>
          <w:szCs w:val="22"/>
        </w:rPr>
        <w:t>y Catastros establecerá el avalúo catastral de los lotes individuales de la</w:t>
      </w:r>
      <w:r w:rsidR="000F5109" w:rsidRPr="00A110EF">
        <w:rPr>
          <w:rFonts w:asciiTheme="majorHAnsi" w:eastAsia="Calibri" w:hAnsiTheme="majorHAnsi" w:cstheme="majorHAnsi"/>
          <w:szCs w:val="22"/>
        </w:rPr>
        <w:t xml:space="preserve"> </w:t>
      </w:r>
      <w:r w:rsidRPr="00A110EF">
        <w:rPr>
          <w:rFonts w:asciiTheme="majorHAnsi" w:eastAsia="Calibri" w:hAnsiTheme="majorHAnsi" w:cstheme="majorHAnsi"/>
          <w:szCs w:val="22"/>
        </w:rPr>
        <w:t>urbanización o fraccionamiento, y lo incorporará al catastro urbano.</w:t>
      </w:r>
    </w:p>
    <w:p w14:paraId="61A5ABAD" w14:textId="77777777" w:rsidR="00AB3CBA" w:rsidRPr="00AB3CBA" w:rsidRDefault="00AB3CBA" w:rsidP="00AB3CBA">
      <w:pPr>
        <w:pStyle w:val="Prrafodelista"/>
        <w:widowControl/>
        <w:tabs>
          <w:tab w:val="left" w:pos="851"/>
        </w:tabs>
        <w:spacing w:after="240" w:line="276" w:lineRule="auto"/>
        <w:ind w:left="0" w:right="-100"/>
        <w:rPr>
          <w:rFonts w:asciiTheme="majorHAnsi" w:eastAsia="Calibri" w:hAnsiTheme="majorHAnsi" w:cstheme="majorHAnsi"/>
          <w:b/>
          <w:szCs w:val="22"/>
        </w:rPr>
      </w:pPr>
    </w:p>
    <w:p w14:paraId="0C678AB1" w14:textId="2256DAFD" w:rsidR="00E57825" w:rsidRPr="00AB3CBA" w:rsidRDefault="00E57825" w:rsidP="00E57825">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AB3CBA">
        <w:rPr>
          <w:rFonts w:asciiTheme="majorHAnsi" w:eastAsia="Calibri" w:hAnsiTheme="majorHAnsi" w:cstheme="majorHAnsi"/>
          <w:b/>
          <w:bCs/>
          <w:szCs w:val="22"/>
        </w:rPr>
        <w:t>Inspecciones y control de las divisiones o fraccionamientos.-</w:t>
      </w:r>
      <w:r w:rsidRPr="00AB3CBA">
        <w:rPr>
          <w:rFonts w:asciiTheme="majorHAnsi" w:eastAsia="Calibri" w:hAnsiTheme="majorHAnsi" w:cstheme="majorHAnsi"/>
          <w:szCs w:val="22"/>
        </w:rPr>
        <w:t xml:space="preserve"> Para el</w:t>
      </w:r>
      <w:r w:rsidR="00AB3CBA">
        <w:rPr>
          <w:rFonts w:asciiTheme="majorHAnsi" w:eastAsia="Calibri" w:hAnsiTheme="majorHAnsi" w:cstheme="majorHAnsi"/>
          <w:szCs w:val="22"/>
        </w:rPr>
        <w:t xml:space="preserve"> </w:t>
      </w:r>
      <w:r w:rsidRPr="00AB3CBA">
        <w:rPr>
          <w:rFonts w:asciiTheme="majorHAnsi" w:eastAsia="Calibri" w:hAnsiTheme="majorHAnsi" w:cstheme="majorHAnsi"/>
          <w:szCs w:val="22"/>
        </w:rPr>
        <w:t>control de las urbanizaciones o fraccionamientos de más de diez predios, la</w:t>
      </w:r>
      <w:r w:rsidR="00AB3CBA">
        <w:rPr>
          <w:rFonts w:asciiTheme="majorHAnsi" w:eastAsia="Calibri" w:hAnsiTheme="majorHAnsi" w:cstheme="majorHAnsi"/>
          <w:szCs w:val="22"/>
        </w:rPr>
        <w:t xml:space="preserve"> </w:t>
      </w:r>
      <w:r w:rsidRPr="00AB3CBA">
        <w:rPr>
          <w:rFonts w:asciiTheme="majorHAnsi" w:eastAsia="Calibri" w:hAnsiTheme="majorHAnsi" w:cstheme="majorHAnsi"/>
          <w:szCs w:val="22"/>
        </w:rPr>
        <w:t>Dirección de Gestión de Obras Públicas y/o Dirección de Gestión Agua Potable y Alcantarillado  designará un fiscalizador quien receptará la ordenanza o resolución de la urbanización, según el caso y realizará inspecciones de oficio para constatar la ejecución del proceso de habilitación del suelo en las siguientes fases:</w:t>
      </w:r>
    </w:p>
    <w:p w14:paraId="341A1E09" w14:textId="77777777" w:rsidR="00AB3CBA" w:rsidRDefault="00E57825" w:rsidP="00AB3CBA">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AB3CBA">
        <w:rPr>
          <w:rFonts w:asciiTheme="majorHAnsi" w:eastAsia="Calibri" w:hAnsiTheme="majorHAnsi" w:cstheme="majorHAnsi"/>
          <w:szCs w:val="22"/>
        </w:rPr>
        <w:t xml:space="preserve">Replanteo de ejes de vías nivelados. </w:t>
      </w:r>
    </w:p>
    <w:p w14:paraId="63F4B1D3" w14:textId="77777777" w:rsidR="00AB3CBA" w:rsidRDefault="00E57825" w:rsidP="00AB3CBA">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AB3CBA">
        <w:rPr>
          <w:rFonts w:asciiTheme="majorHAnsi" w:eastAsia="Calibri" w:hAnsiTheme="majorHAnsi" w:cstheme="majorHAnsi"/>
          <w:szCs w:val="22"/>
        </w:rPr>
        <w:t>Construcción de bordillos en aceras y redes eléctricas y telecomunicaciones.</w:t>
      </w:r>
    </w:p>
    <w:p w14:paraId="3EB2CFFD" w14:textId="77777777" w:rsidR="00AB3CBA" w:rsidRDefault="00E57825" w:rsidP="00AB3CBA">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AB3CBA">
        <w:rPr>
          <w:rFonts w:asciiTheme="majorHAnsi" w:eastAsia="Calibri" w:hAnsiTheme="majorHAnsi" w:cstheme="majorHAnsi"/>
          <w:szCs w:val="22"/>
        </w:rPr>
        <w:t>Antes de cubrir las redes de infraestructura subterráneas, previa s</w:t>
      </w:r>
      <w:r w:rsidR="00AB3CBA">
        <w:rPr>
          <w:rFonts w:asciiTheme="majorHAnsi" w:eastAsia="Calibri" w:hAnsiTheme="majorHAnsi" w:cstheme="majorHAnsi"/>
          <w:szCs w:val="22"/>
        </w:rPr>
        <w:t xml:space="preserve">u </w:t>
      </w:r>
      <w:r w:rsidRPr="00AB3CBA">
        <w:rPr>
          <w:rFonts w:asciiTheme="majorHAnsi" w:eastAsia="Calibri" w:hAnsiTheme="majorHAnsi" w:cstheme="majorHAnsi"/>
          <w:szCs w:val="22"/>
        </w:rPr>
        <w:t>aprobación por la empresa correspondiente.</w:t>
      </w:r>
      <w:r w:rsidR="00AB3CBA">
        <w:rPr>
          <w:rFonts w:asciiTheme="majorHAnsi" w:eastAsia="Calibri" w:hAnsiTheme="majorHAnsi" w:cstheme="majorHAnsi"/>
          <w:szCs w:val="22"/>
        </w:rPr>
        <w:t xml:space="preserve"> </w:t>
      </w:r>
    </w:p>
    <w:p w14:paraId="05C60592" w14:textId="77777777" w:rsidR="00AB3CBA" w:rsidRDefault="00E57825" w:rsidP="00AB3CBA">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AB3CBA">
        <w:rPr>
          <w:rFonts w:asciiTheme="majorHAnsi" w:eastAsia="Calibri" w:hAnsiTheme="majorHAnsi" w:cstheme="majorHAnsi"/>
          <w:szCs w:val="22"/>
        </w:rPr>
        <w:t>Antes de colocar la capa de rodadura de las vías.</w:t>
      </w:r>
    </w:p>
    <w:p w14:paraId="1C0FF2EC" w14:textId="01D93B56" w:rsidR="00E57825" w:rsidRDefault="00E57825" w:rsidP="00AB3CBA">
      <w:pPr>
        <w:pStyle w:val="Prrafodelista"/>
        <w:widowControl/>
        <w:numPr>
          <w:ilvl w:val="1"/>
          <w:numId w:val="114"/>
        </w:numPr>
        <w:tabs>
          <w:tab w:val="left" w:pos="851"/>
        </w:tabs>
        <w:spacing w:after="240" w:line="276" w:lineRule="auto"/>
        <w:ind w:right="-100"/>
        <w:rPr>
          <w:rFonts w:asciiTheme="majorHAnsi" w:eastAsia="Calibri" w:hAnsiTheme="majorHAnsi" w:cstheme="majorHAnsi"/>
          <w:szCs w:val="22"/>
        </w:rPr>
      </w:pPr>
      <w:r w:rsidRPr="00AB3CBA">
        <w:rPr>
          <w:rFonts w:asciiTheme="majorHAnsi" w:eastAsia="Calibri" w:hAnsiTheme="majorHAnsi" w:cstheme="majorHAnsi"/>
          <w:szCs w:val="22"/>
        </w:rPr>
        <w:t>Cuando las obras de urbanización hayan concluido</w:t>
      </w:r>
    </w:p>
    <w:p w14:paraId="7002F6B7" w14:textId="77777777" w:rsidR="00AB3CBA" w:rsidRDefault="00AB3CBA" w:rsidP="00AB3CBA">
      <w:pPr>
        <w:pStyle w:val="Prrafodelista"/>
        <w:widowControl/>
        <w:tabs>
          <w:tab w:val="left" w:pos="851"/>
        </w:tabs>
        <w:spacing w:after="240" w:line="276" w:lineRule="auto"/>
        <w:ind w:left="1440" w:right="-100"/>
        <w:rPr>
          <w:rFonts w:asciiTheme="majorHAnsi" w:eastAsia="Calibri" w:hAnsiTheme="majorHAnsi" w:cstheme="majorHAnsi"/>
          <w:szCs w:val="22"/>
        </w:rPr>
      </w:pPr>
    </w:p>
    <w:p w14:paraId="449CC77B" w14:textId="17FD1972" w:rsidR="003A23FC" w:rsidRPr="00AB3CBA" w:rsidRDefault="003A23FC" w:rsidP="00AB3CBA">
      <w:pPr>
        <w:pStyle w:val="Prrafodelista"/>
        <w:widowControl/>
        <w:numPr>
          <w:ilvl w:val="0"/>
          <w:numId w:val="114"/>
        </w:numPr>
        <w:tabs>
          <w:tab w:val="left" w:pos="851"/>
        </w:tabs>
        <w:spacing w:after="240" w:line="276" w:lineRule="auto"/>
        <w:ind w:left="0" w:right="-100" w:firstLine="66"/>
        <w:rPr>
          <w:rFonts w:asciiTheme="majorHAnsi" w:eastAsia="Calibri" w:hAnsiTheme="majorHAnsi" w:cstheme="majorHAnsi"/>
          <w:szCs w:val="22"/>
        </w:rPr>
      </w:pPr>
      <w:r w:rsidRPr="00AB3CBA">
        <w:rPr>
          <w:rFonts w:asciiTheme="majorHAnsi" w:eastAsia="Calibri" w:hAnsiTheme="majorHAnsi" w:cstheme="majorHAnsi"/>
          <w:b/>
          <w:bCs/>
          <w:szCs w:val="22"/>
        </w:rPr>
        <w:t>Recepción de urbanizaciones o fraccionamientos. -</w:t>
      </w:r>
      <w:r w:rsidRPr="00AB3CBA">
        <w:rPr>
          <w:rFonts w:asciiTheme="majorHAnsi" w:eastAsia="Calibri" w:hAnsiTheme="majorHAnsi" w:cstheme="majorHAnsi"/>
          <w:szCs w:val="22"/>
        </w:rPr>
        <w:t xml:space="preserve"> La Dirección de</w:t>
      </w:r>
      <w:r w:rsidR="00AB3CBA">
        <w:rPr>
          <w:rFonts w:asciiTheme="majorHAnsi" w:eastAsia="Calibri" w:hAnsiTheme="majorHAnsi" w:cstheme="majorHAnsi"/>
          <w:szCs w:val="22"/>
        </w:rPr>
        <w:t xml:space="preserve"> </w:t>
      </w:r>
      <w:r w:rsidRPr="00AB3CBA">
        <w:rPr>
          <w:rFonts w:asciiTheme="majorHAnsi" w:eastAsia="Calibri" w:hAnsiTheme="majorHAnsi" w:cstheme="majorHAnsi"/>
          <w:szCs w:val="22"/>
        </w:rPr>
        <w:t>Gestión de Obras</w:t>
      </w:r>
      <w:r w:rsidR="00AB3CBA">
        <w:rPr>
          <w:rFonts w:asciiTheme="majorHAnsi" w:eastAsia="Calibri" w:hAnsiTheme="majorHAnsi" w:cstheme="majorHAnsi"/>
          <w:szCs w:val="22"/>
        </w:rPr>
        <w:t xml:space="preserve"> </w:t>
      </w:r>
      <w:r w:rsidRPr="00AB3CBA">
        <w:rPr>
          <w:rFonts w:asciiTheme="majorHAnsi" w:eastAsia="Calibri" w:hAnsiTheme="majorHAnsi" w:cstheme="majorHAnsi"/>
          <w:szCs w:val="22"/>
        </w:rPr>
        <w:t>Públicas y/o Dirección de Gestión Agua Potable y Alcantarillado receptará las siguientes obras cuando hayan concluido:</w:t>
      </w:r>
    </w:p>
    <w:p w14:paraId="275BC31D"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Construcción de los sistemas de agua potable y alcantarillado con conexión a los lotes y a las redes de servicio urbano,</w:t>
      </w:r>
    </w:p>
    <w:p w14:paraId="0658FF0A"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Construcción de calzadas, aceras, parterres, bordillos y áreas encepadas o arborizadas.</w:t>
      </w:r>
    </w:p>
    <w:p w14:paraId="1F3CCB65"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Construcción de instalaciones del sistema eléctrico,</w:t>
      </w:r>
    </w:p>
    <w:p w14:paraId="7A53B456"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Construcción e instalación del sistema de telecomunicaciones,</w:t>
      </w:r>
    </w:p>
    <w:p w14:paraId="783A2E7E"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Construcción e instalación del sistema contraincendios</w:t>
      </w:r>
    </w:p>
    <w:p w14:paraId="6B167D4D"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Construcción y habilitación de áreas verdes y parques,</w:t>
      </w:r>
    </w:p>
    <w:p w14:paraId="58D1D19B" w14:textId="77777777" w:rsidR="00AB3CBA" w:rsidRPr="0060245B" w:rsidRDefault="00AB3CBA" w:rsidP="00AB3CBA">
      <w:pPr>
        <w:pStyle w:val="Prrafodelista"/>
        <w:widowControl/>
        <w:numPr>
          <w:ilvl w:val="1"/>
          <w:numId w:val="114"/>
        </w:numPr>
        <w:tabs>
          <w:tab w:val="left" w:pos="851"/>
        </w:tabs>
        <w:spacing w:after="240" w:line="276" w:lineRule="auto"/>
        <w:ind w:right="-100"/>
        <w:jc w:val="left"/>
        <w:rPr>
          <w:rFonts w:asciiTheme="majorHAnsi" w:eastAsia="Calibri" w:hAnsiTheme="majorHAnsi" w:cstheme="majorHAnsi"/>
          <w:szCs w:val="22"/>
        </w:rPr>
      </w:pPr>
      <w:r w:rsidRPr="0060245B">
        <w:rPr>
          <w:rFonts w:asciiTheme="majorHAnsi" w:eastAsia="Calibri" w:hAnsiTheme="majorHAnsi" w:cstheme="majorHAnsi"/>
          <w:szCs w:val="22"/>
        </w:rPr>
        <w:t>Delimitación de lotes con mojones de hormigón,</w:t>
      </w:r>
    </w:p>
    <w:p w14:paraId="04631109" w14:textId="14AA52CE" w:rsidR="00AB3CBA" w:rsidRPr="008F6764" w:rsidRDefault="00AB3CBA" w:rsidP="00AB3CBA">
      <w:pPr>
        <w:pStyle w:val="Prrafodelista"/>
        <w:widowControl/>
        <w:numPr>
          <w:ilvl w:val="1"/>
          <w:numId w:val="114"/>
        </w:numPr>
        <w:spacing w:after="160" w:line="278" w:lineRule="auto"/>
        <w:jc w:val="left"/>
      </w:pPr>
      <w:r w:rsidRPr="0060245B">
        <w:rPr>
          <w:rFonts w:asciiTheme="majorHAnsi" w:eastAsia="Calibri" w:hAnsiTheme="majorHAnsi" w:cstheme="majorHAnsi"/>
          <w:szCs w:val="22"/>
        </w:rPr>
        <w:t>Señalización de lotes y su demarcación clara y visible</w:t>
      </w:r>
      <w:r w:rsidR="008F6764">
        <w:rPr>
          <w:rFonts w:asciiTheme="majorHAnsi" w:eastAsia="Calibri" w:hAnsiTheme="majorHAnsi" w:cstheme="majorHAnsi"/>
          <w:szCs w:val="22"/>
        </w:rPr>
        <w:t>.</w:t>
      </w:r>
    </w:p>
    <w:p w14:paraId="72DDDC0A" w14:textId="77777777" w:rsidR="008F6764" w:rsidRPr="008F6764" w:rsidRDefault="008F6764" w:rsidP="008F6764">
      <w:pPr>
        <w:pStyle w:val="Prrafodelista"/>
        <w:widowControl/>
        <w:spacing w:after="160" w:line="278" w:lineRule="auto"/>
        <w:ind w:left="360"/>
        <w:jc w:val="left"/>
      </w:pPr>
    </w:p>
    <w:p w14:paraId="203BACF6" w14:textId="66E1D71C" w:rsidR="00E8496B" w:rsidRPr="008F6764" w:rsidRDefault="00E8496B" w:rsidP="008F6764">
      <w:pPr>
        <w:pStyle w:val="Prrafodelista"/>
        <w:widowControl/>
        <w:numPr>
          <w:ilvl w:val="0"/>
          <w:numId w:val="114"/>
        </w:numPr>
        <w:spacing w:after="160" w:line="278" w:lineRule="auto"/>
        <w:ind w:left="0" w:hanging="76"/>
      </w:pPr>
      <w:r w:rsidRPr="00D967A2">
        <w:rPr>
          <w:rFonts w:asciiTheme="majorHAnsi" w:eastAsia="Calibri" w:hAnsiTheme="majorHAnsi" w:cstheme="majorHAnsi"/>
          <w:b/>
          <w:bCs/>
          <w:szCs w:val="22"/>
        </w:rPr>
        <w:t>Procedimiento para la entrega recepción de obras de urbanizaciones</w:t>
      </w:r>
      <w:r w:rsidR="008F6764" w:rsidRPr="00D967A2">
        <w:rPr>
          <w:rFonts w:asciiTheme="majorHAnsi" w:eastAsia="Calibri" w:hAnsiTheme="majorHAnsi" w:cstheme="majorHAnsi"/>
          <w:b/>
          <w:bCs/>
          <w:szCs w:val="22"/>
        </w:rPr>
        <w:t xml:space="preserve"> </w:t>
      </w:r>
      <w:r w:rsidRPr="00D967A2">
        <w:rPr>
          <w:rFonts w:asciiTheme="majorHAnsi" w:eastAsia="Calibri" w:hAnsiTheme="majorHAnsi" w:cstheme="majorHAnsi"/>
          <w:b/>
          <w:bCs/>
          <w:szCs w:val="22"/>
        </w:rPr>
        <w:t>o fraccionamientos. Previa a la entrega -</w:t>
      </w:r>
      <w:r w:rsidRPr="008F6764">
        <w:rPr>
          <w:rFonts w:asciiTheme="majorHAnsi" w:eastAsia="Calibri" w:hAnsiTheme="majorHAnsi" w:cstheme="majorHAnsi"/>
          <w:szCs w:val="22"/>
        </w:rPr>
        <w:t xml:space="preserve"> recepción de las obras de infraestructura,</w:t>
      </w:r>
      <w:r w:rsidR="008F6764">
        <w:rPr>
          <w:rFonts w:asciiTheme="majorHAnsi" w:eastAsia="Calibri" w:hAnsiTheme="majorHAnsi" w:cstheme="majorHAnsi"/>
          <w:szCs w:val="22"/>
        </w:rPr>
        <w:t xml:space="preserve"> </w:t>
      </w:r>
      <w:r w:rsidRPr="008F6764">
        <w:rPr>
          <w:rFonts w:asciiTheme="majorHAnsi" w:eastAsia="Calibri" w:hAnsiTheme="majorHAnsi" w:cstheme="majorHAnsi"/>
          <w:szCs w:val="22"/>
        </w:rPr>
        <w:t xml:space="preserve">la Dirección de Gestión de Obras Públicas y/o Dirección de Gestión Agua Potable y </w:t>
      </w:r>
      <w:r w:rsidR="006D114A" w:rsidRPr="008F6764">
        <w:rPr>
          <w:rFonts w:asciiTheme="majorHAnsi" w:eastAsia="Calibri" w:hAnsiTheme="majorHAnsi" w:cstheme="majorHAnsi"/>
          <w:szCs w:val="22"/>
        </w:rPr>
        <w:t>Alcantarillado dispondrá</w:t>
      </w:r>
      <w:r w:rsidRPr="008F6764">
        <w:rPr>
          <w:rFonts w:asciiTheme="majorHAnsi" w:eastAsia="Calibri" w:hAnsiTheme="majorHAnsi" w:cstheme="majorHAnsi"/>
          <w:szCs w:val="22"/>
        </w:rPr>
        <w:t xml:space="preserve"> que las empresas de servicios efectúen la inspección final de las obras y emitan los informes correspondientes. Si todos los informes son favorables, el departamento legal elaborará el acta de entrega - recepción de las obras, que será suscrita por el director de esta Dirección en representación del Gobierno Autónomo Descentralizado Municipal del Cantón La Joya de los Sachas y por el propietario de la urbanización o su representante y se procederá de oficio o a petición de parte, al trámite de devolución de la garantía de la obra.</w:t>
      </w:r>
    </w:p>
    <w:p w14:paraId="21EE874A" w14:textId="01B35347" w:rsidR="00E8496B" w:rsidRPr="008F6764" w:rsidRDefault="00E8496B" w:rsidP="00E8496B">
      <w:pPr>
        <w:widowControl/>
        <w:tabs>
          <w:tab w:val="left" w:pos="851"/>
        </w:tabs>
        <w:spacing w:after="240" w:line="276" w:lineRule="auto"/>
        <w:ind w:right="-100"/>
        <w:rPr>
          <w:rFonts w:asciiTheme="majorHAnsi" w:eastAsia="Calibri" w:hAnsiTheme="majorHAnsi" w:cstheme="majorHAnsi"/>
          <w:sz w:val="22"/>
          <w:szCs w:val="20"/>
        </w:rPr>
      </w:pPr>
      <w:r w:rsidRPr="008F6764">
        <w:rPr>
          <w:rFonts w:asciiTheme="majorHAnsi" w:eastAsia="Calibri" w:hAnsiTheme="majorHAnsi" w:cstheme="majorHAnsi"/>
          <w:sz w:val="22"/>
          <w:szCs w:val="20"/>
        </w:rPr>
        <w:lastRenderedPageBreak/>
        <w:t>Si uno o más de tales informes fuera desfavorable, se informará por escrito al propietario, su representante y/o profesional responsable de la obra, las observaciones que deben cumplirse y el plazo correspondiente.</w:t>
      </w:r>
    </w:p>
    <w:p w14:paraId="6CC168C9" w14:textId="77777777" w:rsidR="008F6764" w:rsidRDefault="008F6764" w:rsidP="00E8496B">
      <w:pPr>
        <w:widowControl/>
        <w:tabs>
          <w:tab w:val="left" w:pos="851"/>
        </w:tabs>
        <w:spacing w:after="240" w:line="276" w:lineRule="auto"/>
        <w:ind w:right="-100"/>
        <w:rPr>
          <w:rFonts w:asciiTheme="majorHAnsi" w:eastAsia="Calibri" w:hAnsiTheme="majorHAnsi" w:cstheme="majorHAnsi"/>
          <w:szCs w:val="22"/>
        </w:rPr>
      </w:pPr>
    </w:p>
    <w:p w14:paraId="5A85BA26" w14:textId="28FEF747" w:rsidR="00C77BDC" w:rsidRDefault="00C77BDC" w:rsidP="00052401">
      <w:pPr>
        <w:pStyle w:val="Prrafodelista"/>
        <w:widowControl/>
        <w:numPr>
          <w:ilvl w:val="0"/>
          <w:numId w:val="114"/>
        </w:numPr>
        <w:spacing w:after="160" w:line="278" w:lineRule="auto"/>
        <w:ind w:left="0" w:hanging="76"/>
        <w:rPr>
          <w:rFonts w:asciiTheme="majorHAnsi" w:eastAsia="Calibri" w:hAnsiTheme="majorHAnsi" w:cstheme="majorHAnsi"/>
          <w:szCs w:val="22"/>
        </w:rPr>
      </w:pPr>
      <w:r w:rsidRPr="003B552C">
        <w:rPr>
          <w:rFonts w:asciiTheme="majorHAnsi" w:eastAsia="Calibri" w:hAnsiTheme="majorHAnsi" w:cstheme="majorHAnsi"/>
          <w:b/>
          <w:bCs/>
          <w:szCs w:val="22"/>
        </w:rPr>
        <w:t>Aportaciones condicionadas. -</w:t>
      </w:r>
      <w:r w:rsidRPr="00052401">
        <w:rPr>
          <w:rFonts w:asciiTheme="majorHAnsi" w:eastAsia="Calibri" w:hAnsiTheme="majorHAnsi" w:cstheme="majorHAnsi"/>
          <w:szCs w:val="22"/>
        </w:rPr>
        <w:t xml:space="preserve"> Cuando un predio colinde o se encuentre afectado por el desbordamiento de ríos, quebradas o presencia de laguna, la aportación a la Municipalidad se efectuará bajo las consideraciones previstas en las leyes que rigen la materia.</w:t>
      </w:r>
    </w:p>
    <w:p w14:paraId="50D45261" w14:textId="77777777" w:rsidR="00C21F44" w:rsidRDefault="00C21F44" w:rsidP="00C21F44">
      <w:pPr>
        <w:pStyle w:val="Prrafodelista"/>
        <w:widowControl/>
        <w:spacing w:after="160" w:line="278" w:lineRule="auto"/>
        <w:ind w:left="0"/>
        <w:rPr>
          <w:rFonts w:asciiTheme="majorHAnsi" w:eastAsia="Calibri" w:hAnsiTheme="majorHAnsi" w:cstheme="majorHAnsi"/>
          <w:szCs w:val="22"/>
        </w:rPr>
      </w:pPr>
    </w:p>
    <w:p w14:paraId="50901C73" w14:textId="77777777" w:rsidR="003B552C" w:rsidRDefault="005E1C3E" w:rsidP="00B426BD">
      <w:pPr>
        <w:pStyle w:val="Prrafodelista"/>
        <w:widowControl/>
        <w:numPr>
          <w:ilvl w:val="0"/>
          <w:numId w:val="114"/>
        </w:numPr>
        <w:tabs>
          <w:tab w:val="left" w:pos="851"/>
        </w:tabs>
        <w:spacing w:after="240" w:line="276" w:lineRule="auto"/>
        <w:ind w:left="0" w:right="-100" w:hanging="76"/>
        <w:rPr>
          <w:rFonts w:asciiTheme="majorHAnsi" w:eastAsia="Calibri" w:hAnsiTheme="majorHAnsi" w:cstheme="majorHAnsi"/>
          <w:szCs w:val="22"/>
        </w:rPr>
      </w:pPr>
      <w:r w:rsidRPr="003B552C">
        <w:rPr>
          <w:rFonts w:asciiTheme="majorHAnsi" w:eastAsia="Calibri" w:hAnsiTheme="majorHAnsi" w:cstheme="majorHAnsi"/>
          <w:b/>
          <w:bCs/>
          <w:szCs w:val="22"/>
        </w:rPr>
        <w:t>Trazado de los lotes. -</w:t>
      </w:r>
      <w:r w:rsidRPr="003B552C">
        <w:rPr>
          <w:rFonts w:asciiTheme="majorHAnsi" w:eastAsia="Calibri" w:hAnsiTheme="majorHAnsi" w:cstheme="majorHAnsi"/>
          <w:szCs w:val="22"/>
        </w:rPr>
        <w:t xml:space="preserve"> Los lotes tendrán un trazado perpendicular a las vías, salvo que las características del terreno obliguen a otra solución técnica. Tendrán como mínimo la superficie, tipo de implantación, dimensiones de frente, lote y retiros aquellos que han sido asignados para cada PIT de conformidad a lo establecido en la presente Ordenanza </w:t>
      </w:r>
    </w:p>
    <w:p w14:paraId="43A04104" w14:textId="77777777" w:rsidR="003B552C" w:rsidRPr="003B552C" w:rsidRDefault="003B552C" w:rsidP="003B552C">
      <w:pPr>
        <w:pStyle w:val="Prrafodelista"/>
        <w:rPr>
          <w:rFonts w:asciiTheme="majorHAnsi" w:eastAsia="Calibri" w:hAnsiTheme="majorHAnsi" w:cstheme="majorHAnsi"/>
          <w:color w:val="FF0000"/>
          <w:szCs w:val="22"/>
        </w:rPr>
      </w:pPr>
    </w:p>
    <w:p w14:paraId="7611045E" w14:textId="4272E337" w:rsidR="00FB1B94" w:rsidRPr="003B552C" w:rsidRDefault="001275CB" w:rsidP="00B426BD">
      <w:pPr>
        <w:pStyle w:val="Prrafodelista"/>
        <w:widowControl/>
        <w:numPr>
          <w:ilvl w:val="0"/>
          <w:numId w:val="114"/>
        </w:numPr>
        <w:tabs>
          <w:tab w:val="left" w:pos="851"/>
        </w:tabs>
        <w:spacing w:after="240" w:line="276" w:lineRule="auto"/>
        <w:ind w:left="0" w:right="-100" w:hanging="76"/>
        <w:rPr>
          <w:rFonts w:asciiTheme="majorHAnsi" w:eastAsia="Calibri" w:hAnsiTheme="majorHAnsi" w:cstheme="majorHAnsi"/>
          <w:szCs w:val="22"/>
        </w:rPr>
      </w:pPr>
      <w:r w:rsidRPr="003B552C">
        <w:rPr>
          <w:rFonts w:asciiTheme="majorHAnsi" w:eastAsia="Calibri" w:hAnsiTheme="majorHAnsi" w:cstheme="majorHAnsi"/>
          <w:b/>
          <w:bCs/>
          <w:szCs w:val="22"/>
        </w:rPr>
        <w:t>Prohibición de división o fraccionamiento de lotes. –</w:t>
      </w:r>
      <w:r w:rsidRPr="003B552C">
        <w:rPr>
          <w:rFonts w:asciiTheme="majorHAnsi" w:eastAsia="Calibri" w:hAnsiTheme="majorHAnsi" w:cstheme="majorHAnsi"/>
          <w:szCs w:val="22"/>
        </w:rPr>
        <w:t xml:space="preserve"> Queda terminantemente prohibido el fraccionamiento de los lotes en superficies inferiores a las dimensiones establecidas en cada PIT, excepto </w:t>
      </w:r>
      <w:r w:rsidR="0090015A" w:rsidRPr="003B552C">
        <w:rPr>
          <w:rFonts w:asciiTheme="majorHAnsi" w:eastAsia="Calibri" w:hAnsiTheme="majorHAnsi" w:cstheme="majorHAnsi"/>
          <w:szCs w:val="22"/>
        </w:rPr>
        <w:t xml:space="preserve">en los casos </w:t>
      </w:r>
      <w:r w:rsidRPr="003B552C">
        <w:rPr>
          <w:rFonts w:asciiTheme="majorHAnsi" w:eastAsia="Calibri" w:hAnsiTheme="majorHAnsi" w:cstheme="majorHAnsi"/>
          <w:szCs w:val="22"/>
        </w:rPr>
        <w:t>establecido</w:t>
      </w:r>
      <w:r w:rsidR="0090015A" w:rsidRPr="003B552C">
        <w:rPr>
          <w:rFonts w:asciiTheme="majorHAnsi" w:eastAsia="Calibri" w:hAnsiTheme="majorHAnsi" w:cstheme="majorHAnsi"/>
          <w:szCs w:val="22"/>
        </w:rPr>
        <w:t>s</w:t>
      </w:r>
      <w:r w:rsidRPr="003B552C">
        <w:rPr>
          <w:rFonts w:asciiTheme="majorHAnsi" w:eastAsia="Calibri" w:hAnsiTheme="majorHAnsi" w:cstheme="majorHAnsi"/>
          <w:szCs w:val="22"/>
        </w:rPr>
        <w:t xml:space="preserve"> en la presente Ordenanza.</w:t>
      </w:r>
    </w:p>
    <w:p w14:paraId="01CA413A" w14:textId="52493611" w:rsidR="00C822E0" w:rsidRPr="00767139" w:rsidRDefault="00767139" w:rsidP="00767139">
      <w:pPr>
        <w:pStyle w:val="Ttulo3"/>
        <w:spacing w:before="100" w:after="100"/>
      </w:pPr>
      <w:bookmarkStart w:id="202" w:name="_Toc181374100"/>
      <w:r w:rsidRPr="00767139">
        <w:t>CAPÍTULO VI</w:t>
      </w:r>
      <w:bookmarkEnd w:id="202"/>
    </w:p>
    <w:p w14:paraId="11DAB319" w14:textId="1DAE49EE" w:rsidR="00DC27E8" w:rsidRPr="00B24A80" w:rsidRDefault="00EB5C24" w:rsidP="008E28D4">
      <w:pPr>
        <w:pStyle w:val="Ttulo4"/>
        <w:rPr>
          <w:rFonts w:cstheme="majorHAnsi"/>
          <w:sz w:val="22"/>
          <w:szCs w:val="22"/>
        </w:rPr>
      </w:pPr>
      <w:bookmarkStart w:id="203" w:name="_heading=h.1gf8i83" w:colFirst="0" w:colLast="0"/>
      <w:bookmarkStart w:id="204" w:name="_Toc81085661"/>
      <w:bookmarkStart w:id="205" w:name="_Toc181374101"/>
      <w:bookmarkEnd w:id="203"/>
      <w:r w:rsidRPr="00B24A80">
        <w:rPr>
          <w:rFonts w:cstheme="majorHAnsi"/>
          <w:sz w:val="22"/>
          <w:szCs w:val="22"/>
        </w:rPr>
        <w:t>SECCIÓN</w:t>
      </w:r>
      <w:r w:rsidR="002A28BC" w:rsidRPr="00B24A80">
        <w:rPr>
          <w:rFonts w:cstheme="majorHAnsi"/>
          <w:sz w:val="22"/>
          <w:szCs w:val="22"/>
        </w:rPr>
        <w:t xml:space="preserve"> I</w:t>
      </w:r>
      <w:r w:rsidR="008E28D4" w:rsidRPr="00B24A80">
        <w:rPr>
          <w:rFonts w:cstheme="majorHAnsi"/>
          <w:sz w:val="22"/>
          <w:szCs w:val="22"/>
        </w:rPr>
        <w:br/>
      </w:r>
      <w:r w:rsidR="007F5505" w:rsidRPr="00B24A80">
        <w:rPr>
          <w:rFonts w:cstheme="majorHAnsi"/>
          <w:sz w:val="22"/>
          <w:szCs w:val="22"/>
        </w:rPr>
        <w:t>Aprobación de planos para edificaciones</w:t>
      </w:r>
      <w:bookmarkEnd w:id="204"/>
      <w:bookmarkEnd w:id="205"/>
      <w:r w:rsidR="007F5505" w:rsidRPr="00B24A80">
        <w:rPr>
          <w:rFonts w:cstheme="majorHAnsi"/>
          <w:sz w:val="22"/>
          <w:szCs w:val="22"/>
        </w:rPr>
        <w:t xml:space="preserve"> </w:t>
      </w:r>
    </w:p>
    <w:p w14:paraId="3C9CF98F" w14:textId="20E89803" w:rsidR="00E30FC2" w:rsidRPr="00B24A80" w:rsidRDefault="00E30FC2" w:rsidP="002178AA">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Toda persona natural o jurídica que desee construir una nueva edificación, ampliar, remodelar o restaurar una existente dentro del perímetro urbano de la ciudad, sus parroquias o cualquier otra área urbana, deberá presentar una solicitud de aprobación ante la Dirección de Gestión de Planificación. Esta solicitud deberá estar acompañada del respectivo proyecto y los siguientes documentos:</w:t>
      </w:r>
    </w:p>
    <w:p w14:paraId="6B88B63A" w14:textId="4D381ECC" w:rsidR="00DC27E8" w:rsidRPr="00B24A80" w:rsidRDefault="007F5505" w:rsidP="00E30FC2">
      <w:pPr>
        <w:numPr>
          <w:ilvl w:val="0"/>
          <w:numId w:val="14"/>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Informe Predial de Regulaciones de Uso del Suelo -IPRUS;</w:t>
      </w:r>
    </w:p>
    <w:p w14:paraId="76C3C574" w14:textId="77777777" w:rsidR="00DC27E8" w:rsidRPr="00B24A80" w:rsidRDefault="007F5505" w:rsidP="009F132D">
      <w:pPr>
        <w:numPr>
          <w:ilvl w:val="0"/>
          <w:numId w:val="14"/>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Copias de la cédula de ciudadanía del propietario y proyectista</w:t>
      </w:r>
      <w:r w:rsidR="00465C77" w:rsidRPr="00B24A80">
        <w:rPr>
          <w:rFonts w:asciiTheme="majorHAnsi" w:eastAsia="Calibri" w:hAnsiTheme="majorHAnsi" w:cstheme="majorHAnsi"/>
          <w:color w:val="000000"/>
          <w:sz w:val="22"/>
          <w:szCs w:val="22"/>
        </w:rPr>
        <w:t>;</w:t>
      </w:r>
    </w:p>
    <w:p w14:paraId="4F7AF30B" w14:textId="77777777" w:rsidR="00465C77" w:rsidRPr="00B24A80" w:rsidRDefault="00465C77" w:rsidP="009F132D">
      <w:pPr>
        <w:numPr>
          <w:ilvl w:val="0"/>
          <w:numId w:val="14"/>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Certificado de registro profesional en la municipalidad</w:t>
      </w:r>
      <w:r w:rsidR="00C52970" w:rsidRPr="00B24A80">
        <w:rPr>
          <w:rFonts w:asciiTheme="majorHAnsi" w:eastAsia="Calibri" w:hAnsiTheme="majorHAnsi" w:cstheme="majorHAnsi"/>
          <w:color w:val="000000"/>
          <w:sz w:val="22"/>
          <w:szCs w:val="22"/>
        </w:rPr>
        <w:t>;</w:t>
      </w:r>
    </w:p>
    <w:p w14:paraId="3ACAC93C" w14:textId="77777777" w:rsidR="00DC27E8" w:rsidRPr="00B24A80" w:rsidRDefault="00465C77" w:rsidP="009F132D">
      <w:pPr>
        <w:numPr>
          <w:ilvl w:val="0"/>
          <w:numId w:val="14"/>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Certificado de no adeudar a la municipalidad</w:t>
      </w:r>
      <w:r w:rsidR="007F5505" w:rsidRPr="00B24A80">
        <w:rPr>
          <w:rFonts w:asciiTheme="majorHAnsi" w:eastAsia="Calibri" w:hAnsiTheme="majorHAnsi" w:cstheme="majorHAnsi"/>
          <w:color w:val="000000"/>
          <w:sz w:val="22"/>
          <w:szCs w:val="22"/>
        </w:rPr>
        <w:t>;</w:t>
      </w:r>
    </w:p>
    <w:p w14:paraId="1096CD47" w14:textId="77777777" w:rsidR="00DC27E8" w:rsidRPr="00B24A80" w:rsidRDefault="007F5505" w:rsidP="009F132D">
      <w:pPr>
        <w:numPr>
          <w:ilvl w:val="0"/>
          <w:numId w:val="14"/>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Copia simple de la escritura del predio, inscrita en el Registro de la Propiedad o historial en el caso que lo amerite;</w:t>
      </w:r>
    </w:p>
    <w:p w14:paraId="16F4338A" w14:textId="722BBCBB" w:rsidR="001D4740" w:rsidRPr="00B24A80" w:rsidRDefault="007F5505" w:rsidP="0087508E">
      <w:pPr>
        <w:numPr>
          <w:ilvl w:val="0"/>
          <w:numId w:val="14"/>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Planos que cumplan con las regulaciones exigidas en la presente Ordenanza;</w:t>
      </w:r>
    </w:p>
    <w:p w14:paraId="12F44327" w14:textId="77777777" w:rsidR="0087508E" w:rsidRPr="00B24A80" w:rsidRDefault="0087508E" w:rsidP="0087508E">
      <w:pPr>
        <w:pBdr>
          <w:top w:val="nil"/>
          <w:left w:val="nil"/>
          <w:bottom w:val="nil"/>
          <w:right w:val="nil"/>
          <w:between w:val="nil"/>
        </w:pBdr>
        <w:spacing w:line="276" w:lineRule="auto"/>
        <w:ind w:left="720" w:right="42"/>
        <w:rPr>
          <w:rFonts w:asciiTheme="majorHAnsi" w:eastAsia="Calibri" w:hAnsiTheme="majorHAnsi" w:cstheme="majorHAnsi"/>
          <w:color w:val="000000"/>
          <w:sz w:val="22"/>
          <w:szCs w:val="22"/>
        </w:rPr>
      </w:pPr>
    </w:p>
    <w:p w14:paraId="5FBBA937" w14:textId="197A5A3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Presentación de los planos. -</w:t>
      </w:r>
      <w:r w:rsidR="00DE1314" w:rsidRPr="00B24A80">
        <w:rPr>
          <w:rFonts w:asciiTheme="majorHAnsi" w:hAnsiTheme="majorHAnsi" w:cstheme="majorHAnsi"/>
          <w:b/>
          <w:bCs/>
          <w:szCs w:val="22"/>
        </w:rPr>
        <w:t xml:space="preserve"> </w:t>
      </w:r>
      <w:r w:rsidR="005327A0" w:rsidRPr="00B24A80">
        <w:rPr>
          <w:rFonts w:asciiTheme="majorHAnsi" w:hAnsiTheme="majorHAnsi" w:cstheme="majorHAnsi"/>
          <w:b/>
          <w:bCs/>
          <w:szCs w:val="22"/>
        </w:rPr>
        <w:t xml:space="preserve"> </w:t>
      </w:r>
      <w:r w:rsidR="005327A0" w:rsidRPr="00B24A80">
        <w:rPr>
          <w:rFonts w:asciiTheme="majorHAnsi" w:hAnsiTheme="majorHAnsi" w:cstheme="majorHAnsi"/>
          <w:szCs w:val="22"/>
        </w:rPr>
        <w:t xml:space="preserve">Los planos que deban presentarse en papel impreso y en sistema digital (formato </w:t>
      </w:r>
      <w:r w:rsidR="00BB2014" w:rsidRPr="00B24A80">
        <w:rPr>
          <w:rFonts w:asciiTheme="majorHAnsi" w:hAnsiTheme="majorHAnsi" w:cstheme="majorHAnsi"/>
          <w:szCs w:val="22"/>
        </w:rPr>
        <w:t>.</w:t>
      </w:r>
      <w:r w:rsidR="00BB2014" w:rsidRPr="00B24A80">
        <w:rPr>
          <w:rFonts w:asciiTheme="majorHAnsi" w:hAnsiTheme="majorHAnsi" w:cstheme="majorHAnsi"/>
          <w:i/>
          <w:iCs/>
          <w:szCs w:val="22"/>
        </w:rPr>
        <w:t>d</w:t>
      </w:r>
      <w:r w:rsidR="005327A0" w:rsidRPr="00B24A80">
        <w:rPr>
          <w:rFonts w:asciiTheme="majorHAnsi" w:hAnsiTheme="majorHAnsi" w:cstheme="majorHAnsi"/>
          <w:i/>
          <w:iCs/>
          <w:szCs w:val="22"/>
        </w:rPr>
        <w:t>wg</w:t>
      </w:r>
      <w:r w:rsidR="000B2A62" w:rsidRPr="00B24A80">
        <w:rPr>
          <w:rFonts w:asciiTheme="majorHAnsi" w:hAnsiTheme="majorHAnsi" w:cstheme="majorHAnsi"/>
          <w:szCs w:val="22"/>
        </w:rPr>
        <w:t>,</w:t>
      </w:r>
      <w:r w:rsidR="005327A0" w:rsidRPr="00B24A80">
        <w:rPr>
          <w:rFonts w:asciiTheme="majorHAnsi" w:hAnsiTheme="majorHAnsi" w:cstheme="majorHAnsi"/>
          <w:szCs w:val="22"/>
        </w:rPr>
        <w:t xml:space="preserve">) para su revisión, aprobación o trámite se sujetarán a las disposiciones contenidas en esta sección, además de </w:t>
      </w:r>
      <w:r w:rsidR="001D4740" w:rsidRPr="00B24A80">
        <w:rPr>
          <w:rFonts w:asciiTheme="majorHAnsi" w:eastAsia="Calibri" w:hAnsiTheme="majorHAnsi" w:cstheme="majorHAnsi"/>
          <w:color w:val="000000"/>
          <w:szCs w:val="22"/>
        </w:rPr>
        <w:t>l</w:t>
      </w:r>
      <w:r w:rsidRPr="00B24A80">
        <w:rPr>
          <w:rFonts w:asciiTheme="majorHAnsi" w:eastAsia="Calibri" w:hAnsiTheme="majorHAnsi" w:cstheme="majorHAnsi"/>
          <w:color w:val="000000"/>
          <w:szCs w:val="22"/>
        </w:rPr>
        <w:t>os planos deberán sujetarse a lo que establecen las siguientes normas INEN:</w:t>
      </w:r>
    </w:p>
    <w:p w14:paraId="3D578E21" w14:textId="77777777" w:rsidR="00DC27E8" w:rsidRPr="00B24A80" w:rsidRDefault="007F5505" w:rsidP="009F132D">
      <w:pPr>
        <w:numPr>
          <w:ilvl w:val="0"/>
          <w:numId w:val="13"/>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Código de práctica para dibujo de arquitectura y construcción;</w:t>
      </w:r>
    </w:p>
    <w:p w14:paraId="62F45816" w14:textId="77777777" w:rsidR="00DC27E8" w:rsidRPr="00B24A80" w:rsidRDefault="007F5505" w:rsidP="009F132D">
      <w:pPr>
        <w:numPr>
          <w:ilvl w:val="0"/>
          <w:numId w:val="13"/>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Dibujo de arquitectura y construcción. Definiciones generales y clasificación de los dibujos;</w:t>
      </w:r>
    </w:p>
    <w:p w14:paraId="52E42480" w14:textId="77777777" w:rsidR="00DC27E8" w:rsidRPr="00B24A80" w:rsidRDefault="007F5505" w:rsidP="009F132D">
      <w:pPr>
        <w:numPr>
          <w:ilvl w:val="0"/>
          <w:numId w:val="13"/>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Dibujo de arquitectura y construcción. Formas de presentación, formatos y escalas; y,</w:t>
      </w:r>
    </w:p>
    <w:p w14:paraId="15591A8B" w14:textId="477DFF8D" w:rsidR="00DC27E8" w:rsidRPr="00B24A80" w:rsidRDefault="007F5505" w:rsidP="009F132D">
      <w:pPr>
        <w:numPr>
          <w:ilvl w:val="0"/>
          <w:numId w:val="13"/>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Dibujo de arquitectura y construcción. Dimensionado de planos de trabajo.</w:t>
      </w:r>
    </w:p>
    <w:p w14:paraId="0E00C390" w14:textId="362AAC6E" w:rsidR="0081553B" w:rsidRPr="00B24A80" w:rsidRDefault="00196534" w:rsidP="00CA24CF">
      <w:pPr>
        <w:pStyle w:val="Prrafodelista"/>
        <w:numPr>
          <w:ilvl w:val="0"/>
          <w:numId w:val="92"/>
        </w:numPr>
        <w:pBdr>
          <w:top w:val="nil"/>
          <w:left w:val="nil"/>
          <w:bottom w:val="nil"/>
          <w:right w:val="nil"/>
          <w:between w:val="nil"/>
        </w:pBdr>
        <w:spacing w:after="240" w:line="276" w:lineRule="auto"/>
        <w:ind w:right="42"/>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Dimensiones de Laminas</w:t>
      </w:r>
      <w:r w:rsidR="00BD315A" w:rsidRPr="00B24A80">
        <w:rPr>
          <w:rFonts w:asciiTheme="majorHAnsi" w:eastAsia="Calibri" w:hAnsiTheme="majorHAnsi" w:cstheme="majorHAnsi"/>
          <w:b/>
          <w:color w:val="000000"/>
          <w:szCs w:val="22"/>
        </w:rPr>
        <w:t xml:space="preserve">. </w:t>
      </w:r>
      <w:r w:rsidR="00BD315A" w:rsidRPr="00B24A80">
        <w:rPr>
          <w:rFonts w:asciiTheme="majorHAnsi" w:eastAsia="Calibri" w:hAnsiTheme="majorHAnsi" w:cstheme="majorHAnsi"/>
          <w:color w:val="000000"/>
          <w:szCs w:val="22"/>
        </w:rPr>
        <w:t>Las dimensiones de las láminas de dibujo de un proyecto, deberán regirse a los siguientes formatos:</w:t>
      </w:r>
    </w:p>
    <w:p w14:paraId="27F987DA" w14:textId="1E25CF08" w:rsidR="00AD68BB" w:rsidRDefault="00AD68BB" w:rsidP="009E73C4">
      <w:pPr>
        <w:pBdr>
          <w:top w:val="nil"/>
          <w:left w:val="nil"/>
          <w:bottom w:val="nil"/>
          <w:right w:val="nil"/>
          <w:between w:val="nil"/>
        </w:pBdr>
        <w:spacing w:after="240" w:line="276" w:lineRule="auto"/>
        <w:ind w:right="42"/>
        <w:jc w:val="center"/>
        <w:rPr>
          <w:rFonts w:asciiTheme="majorHAnsi" w:eastAsia="Calibri" w:hAnsiTheme="majorHAnsi" w:cstheme="majorHAnsi"/>
          <w:b/>
          <w:color w:val="000000"/>
          <w:sz w:val="22"/>
          <w:szCs w:val="22"/>
        </w:rPr>
      </w:pPr>
      <w:r w:rsidRPr="00B24A80">
        <w:rPr>
          <w:rFonts w:asciiTheme="majorHAnsi" w:eastAsia="Calibri" w:hAnsiTheme="majorHAnsi" w:cstheme="majorHAnsi"/>
          <w:noProof/>
          <w:color w:val="000000"/>
          <w:sz w:val="22"/>
          <w:szCs w:val="22"/>
          <w:lang w:val="es-EC" w:eastAsia="es-EC"/>
        </w:rPr>
        <w:drawing>
          <wp:inline distT="0" distB="0" distL="0" distR="0" wp14:anchorId="5CB8471C" wp14:editId="7D550157">
            <wp:extent cx="2390408" cy="19326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90408" cy="1932670"/>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896"/>
        <w:gridCol w:w="5592"/>
      </w:tblGrid>
      <w:tr w:rsidR="009E73C4" w14:paraId="30739B44" w14:textId="77777777" w:rsidTr="009E73C4">
        <w:tc>
          <w:tcPr>
            <w:tcW w:w="1706" w:type="pct"/>
          </w:tcPr>
          <w:p w14:paraId="1CD2B949" w14:textId="28484549" w:rsidR="009E73C4" w:rsidRDefault="009E73C4" w:rsidP="009E73C4">
            <w:pPr>
              <w:spacing w:after="0" w:line="276" w:lineRule="auto"/>
              <w:ind w:right="42"/>
              <w:rPr>
                <w:rFonts w:asciiTheme="majorHAnsi" w:eastAsia="Calibri" w:hAnsiTheme="majorHAnsi" w:cstheme="majorHAnsi"/>
                <w:b/>
                <w:color w:val="000000"/>
              </w:rPr>
            </w:pPr>
            <w:r w:rsidRPr="0024384F">
              <w:t>Formato</w:t>
            </w:r>
          </w:p>
        </w:tc>
        <w:tc>
          <w:tcPr>
            <w:tcW w:w="3294" w:type="pct"/>
          </w:tcPr>
          <w:p w14:paraId="5B1ADBEB" w14:textId="7796C613" w:rsidR="009E73C4" w:rsidRDefault="009E73C4" w:rsidP="009E73C4">
            <w:pPr>
              <w:spacing w:after="0" w:line="276" w:lineRule="auto"/>
              <w:ind w:right="42"/>
              <w:rPr>
                <w:rFonts w:asciiTheme="majorHAnsi" w:eastAsia="Calibri" w:hAnsiTheme="majorHAnsi" w:cstheme="majorHAnsi"/>
                <w:b/>
                <w:color w:val="000000"/>
              </w:rPr>
            </w:pPr>
            <w:r w:rsidRPr="0024384F">
              <w:t>Dimensiones (mm)</w:t>
            </w:r>
          </w:p>
        </w:tc>
      </w:tr>
      <w:tr w:rsidR="009E73C4" w14:paraId="586EDF45" w14:textId="77777777" w:rsidTr="009E73C4">
        <w:tc>
          <w:tcPr>
            <w:tcW w:w="1706" w:type="pct"/>
          </w:tcPr>
          <w:p w14:paraId="5E1851D3" w14:textId="6E39CED2" w:rsidR="009E73C4" w:rsidRDefault="009E73C4" w:rsidP="009E73C4">
            <w:pPr>
              <w:spacing w:after="0" w:line="276" w:lineRule="auto"/>
              <w:ind w:right="42"/>
              <w:rPr>
                <w:rFonts w:asciiTheme="majorHAnsi" w:eastAsia="Calibri" w:hAnsiTheme="majorHAnsi" w:cstheme="majorHAnsi"/>
                <w:b/>
                <w:color w:val="000000"/>
              </w:rPr>
            </w:pPr>
            <w:r w:rsidRPr="0024384F">
              <w:t>4A0</w:t>
            </w:r>
          </w:p>
        </w:tc>
        <w:tc>
          <w:tcPr>
            <w:tcW w:w="3294" w:type="pct"/>
          </w:tcPr>
          <w:p w14:paraId="6607E87D" w14:textId="3AC03B4F" w:rsidR="009E73C4" w:rsidRDefault="009E73C4" w:rsidP="009E73C4">
            <w:pPr>
              <w:spacing w:after="0" w:line="276" w:lineRule="auto"/>
              <w:ind w:right="42"/>
              <w:rPr>
                <w:rFonts w:asciiTheme="majorHAnsi" w:eastAsia="Calibri" w:hAnsiTheme="majorHAnsi" w:cstheme="majorHAnsi"/>
                <w:b/>
                <w:color w:val="000000"/>
              </w:rPr>
            </w:pPr>
            <w:r w:rsidRPr="0024384F">
              <w:t>1682 X 2378</w:t>
            </w:r>
          </w:p>
        </w:tc>
      </w:tr>
      <w:tr w:rsidR="009E73C4" w14:paraId="61FE0353" w14:textId="77777777" w:rsidTr="009E73C4">
        <w:tc>
          <w:tcPr>
            <w:tcW w:w="1706" w:type="pct"/>
          </w:tcPr>
          <w:p w14:paraId="30784E6E" w14:textId="7BB02AA0" w:rsidR="009E73C4" w:rsidRDefault="009E73C4" w:rsidP="009E73C4">
            <w:pPr>
              <w:spacing w:after="0" w:line="276" w:lineRule="auto"/>
              <w:ind w:right="42"/>
              <w:rPr>
                <w:rFonts w:asciiTheme="majorHAnsi" w:eastAsia="Calibri" w:hAnsiTheme="majorHAnsi" w:cstheme="majorHAnsi"/>
                <w:b/>
                <w:color w:val="000000"/>
              </w:rPr>
            </w:pPr>
            <w:r w:rsidRPr="0024384F">
              <w:t>2A0</w:t>
            </w:r>
          </w:p>
        </w:tc>
        <w:tc>
          <w:tcPr>
            <w:tcW w:w="3294" w:type="pct"/>
          </w:tcPr>
          <w:p w14:paraId="1265AF2D" w14:textId="30602FAA" w:rsidR="009E73C4" w:rsidRDefault="009E73C4" w:rsidP="009E73C4">
            <w:pPr>
              <w:spacing w:after="0" w:line="276" w:lineRule="auto"/>
              <w:ind w:right="42"/>
              <w:rPr>
                <w:rFonts w:asciiTheme="majorHAnsi" w:eastAsia="Calibri" w:hAnsiTheme="majorHAnsi" w:cstheme="majorHAnsi"/>
                <w:b/>
                <w:color w:val="000000"/>
              </w:rPr>
            </w:pPr>
            <w:r w:rsidRPr="0024384F">
              <w:t>1189 X1682</w:t>
            </w:r>
          </w:p>
        </w:tc>
      </w:tr>
      <w:tr w:rsidR="009E73C4" w14:paraId="4FDAE7AA" w14:textId="77777777" w:rsidTr="009E73C4">
        <w:tc>
          <w:tcPr>
            <w:tcW w:w="1706" w:type="pct"/>
          </w:tcPr>
          <w:p w14:paraId="68D266E9" w14:textId="75116A31" w:rsidR="009E73C4" w:rsidRDefault="009E73C4" w:rsidP="009E73C4">
            <w:pPr>
              <w:spacing w:after="0" w:line="276" w:lineRule="auto"/>
              <w:ind w:right="42"/>
              <w:rPr>
                <w:rFonts w:asciiTheme="majorHAnsi" w:eastAsia="Calibri" w:hAnsiTheme="majorHAnsi" w:cstheme="majorHAnsi"/>
                <w:b/>
                <w:color w:val="000000"/>
              </w:rPr>
            </w:pPr>
            <w:r w:rsidRPr="0024384F">
              <w:t>A0</w:t>
            </w:r>
          </w:p>
        </w:tc>
        <w:tc>
          <w:tcPr>
            <w:tcW w:w="3294" w:type="pct"/>
          </w:tcPr>
          <w:p w14:paraId="6AC2D7BA" w14:textId="3823C70C" w:rsidR="009E73C4" w:rsidRDefault="009E73C4" w:rsidP="009E73C4">
            <w:pPr>
              <w:spacing w:after="0" w:line="276" w:lineRule="auto"/>
              <w:ind w:right="42"/>
              <w:rPr>
                <w:rFonts w:asciiTheme="majorHAnsi" w:eastAsia="Calibri" w:hAnsiTheme="majorHAnsi" w:cstheme="majorHAnsi"/>
                <w:b/>
                <w:color w:val="000000"/>
              </w:rPr>
            </w:pPr>
            <w:r w:rsidRPr="0024384F">
              <w:t>841X1189</w:t>
            </w:r>
          </w:p>
        </w:tc>
      </w:tr>
      <w:tr w:rsidR="009E73C4" w14:paraId="298CEDC3" w14:textId="77777777" w:rsidTr="009E73C4">
        <w:tc>
          <w:tcPr>
            <w:tcW w:w="1706" w:type="pct"/>
          </w:tcPr>
          <w:p w14:paraId="1BF65095" w14:textId="4F97EAE7" w:rsidR="009E73C4" w:rsidRDefault="009E73C4" w:rsidP="009E73C4">
            <w:pPr>
              <w:spacing w:after="0" w:line="276" w:lineRule="auto"/>
              <w:ind w:right="42"/>
              <w:rPr>
                <w:rFonts w:asciiTheme="majorHAnsi" w:eastAsia="Calibri" w:hAnsiTheme="majorHAnsi" w:cstheme="majorHAnsi"/>
                <w:b/>
                <w:color w:val="000000"/>
              </w:rPr>
            </w:pPr>
            <w:r w:rsidRPr="0024384F">
              <w:t>Al</w:t>
            </w:r>
          </w:p>
        </w:tc>
        <w:tc>
          <w:tcPr>
            <w:tcW w:w="3294" w:type="pct"/>
          </w:tcPr>
          <w:p w14:paraId="537E2637" w14:textId="121B8E11" w:rsidR="009E73C4" w:rsidRDefault="009E73C4" w:rsidP="009E73C4">
            <w:pPr>
              <w:spacing w:after="0" w:line="276" w:lineRule="auto"/>
              <w:ind w:right="42"/>
              <w:rPr>
                <w:rFonts w:asciiTheme="majorHAnsi" w:eastAsia="Calibri" w:hAnsiTheme="majorHAnsi" w:cstheme="majorHAnsi"/>
                <w:b/>
                <w:color w:val="000000"/>
              </w:rPr>
            </w:pPr>
            <w:r w:rsidRPr="0024384F">
              <w:t>594 X 841</w:t>
            </w:r>
          </w:p>
        </w:tc>
      </w:tr>
      <w:tr w:rsidR="009E73C4" w14:paraId="5B28FE32" w14:textId="77777777" w:rsidTr="009E73C4">
        <w:tc>
          <w:tcPr>
            <w:tcW w:w="1706" w:type="pct"/>
          </w:tcPr>
          <w:p w14:paraId="1E8A2D41" w14:textId="4625D61A" w:rsidR="009E73C4" w:rsidRDefault="009E73C4" w:rsidP="009E73C4">
            <w:pPr>
              <w:spacing w:after="0" w:line="276" w:lineRule="auto"/>
              <w:ind w:right="42"/>
              <w:rPr>
                <w:rFonts w:asciiTheme="majorHAnsi" w:eastAsia="Calibri" w:hAnsiTheme="majorHAnsi" w:cstheme="majorHAnsi"/>
                <w:b/>
                <w:color w:val="000000"/>
              </w:rPr>
            </w:pPr>
            <w:r w:rsidRPr="0024384F">
              <w:t>A2</w:t>
            </w:r>
          </w:p>
        </w:tc>
        <w:tc>
          <w:tcPr>
            <w:tcW w:w="3294" w:type="pct"/>
          </w:tcPr>
          <w:p w14:paraId="35F6E12B" w14:textId="34937891" w:rsidR="009E73C4" w:rsidRDefault="009E73C4" w:rsidP="009E73C4">
            <w:pPr>
              <w:spacing w:after="0" w:line="276" w:lineRule="auto"/>
              <w:ind w:right="42"/>
              <w:rPr>
                <w:rFonts w:asciiTheme="majorHAnsi" w:eastAsia="Calibri" w:hAnsiTheme="majorHAnsi" w:cstheme="majorHAnsi"/>
                <w:b/>
                <w:color w:val="000000"/>
              </w:rPr>
            </w:pPr>
            <w:r w:rsidRPr="0024384F">
              <w:t>420 X 594</w:t>
            </w:r>
          </w:p>
        </w:tc>
      </w:tr>
      <w:tr w:rsidR="009E73C4" w14:paraId="6A01AA20" w14:textId="77777777" w:rsidTr="009E73C4">
        <w:tc>
          <w:tcPr>
            <w:tcW w:w="1706" w:type="pct"/>
          </w:tcPr>
          <w:p w14:paraId="4EAC9A42" w14:textId="18851357" w:rsidR="009E73C4" w:rsidRDefault="009E73C4" w:rsidP="009E73C4">
            <w:pPr>
              <w:spacing w:after="0" w:line="276" w:lineRule="auto"/>
              <w:ind w:right="42"/>
              <w:rPr>
                <w:rFonts w:asciiTheme="majorHAnsi" w:eastAsia="Calibri" w:hAnsiTheme="majorHAnsi" w:cstheme="majorHAnsi"/>
                <w:b/>
                <w:color w:val="000000"/>
              </w:rPr>
            </w:pPr>
            <w:r w:rsidRPr="0024384F">
              <w:t>A3</w:t>
            </w:r>
          </w:p>
        </w:tc>
        <w:tc>
          <w:tcPr>
            <w:tcW w:w="3294" w:type="pct"/>
          </w:tcPr>
          <w:p w14:paraId="4EA6A480" w14:textId="4443C114" w:rsidR="009E73C4" w:rsidRDefault="009E73C4" w:rsidP="009E73C4">
            <w:pPr>
              <w:spacing w:after="0" w:line="276" w:lineRule="auto"/>
              <w:ind w:right="42"/>
              <w:rPr>
                <w:rFonts w:asciiTheme="majorHAnsi" w:eastAsia="Calibri" w:hAnsiTheme="majorHAnsi" w:cstheme="majorHAnsi"/>
                <w:b/>
                <w:color w:val="000000"/>
              </w:rPr>
            </w:pPr>
            <w:r w:rsidRPr="0024384F">
              <w:t>297 X 420</w:t>
            </w:r>
          </w:p>
        </w:tc>
      </w:tr>
      <w:tr w:rsidR="009E73C4" w14:paraId="78E7E69B" w14:textId="77777777" w:rsidTr="009E73C4">
        <w:tc>
          <w:tcPr>
            <w:tcW w:w="1706" w:type="pct"/>
          </w:tcPr>
          <w:p w14:paraId="5CE86F7B" w14:textId="7652F940" w:rsidR="009E73C4" w:rsidRDefault="009E73C4" w:rsidP="009E73C4">
            <w:pPr>
              <w:spacing w:after="0" w:line="276" w:lineRule="auto"/>
              <w:ind w:right="42"/>
              <w:rPr>
                <w:rFonts w:asciiTheme="majorHAnsi" w:eastAsia="Calibri" w:hAnsiTheme="majorHAnsi" w:cstheme="majorHAnsi"/>
                <w:b/>
                <w:color w:val="000000"/>
              </w:rPr>
            </w:pPr>
            <w:r w:rsidRPr="0024384F">
              <w:t>A4</w:t>
            </w:r>
          </w:p>
        </w:tc>
        <w:tc>
          <w:tcPr>
            <w:tcW w:w="3294" w:type="pct"/>
          </w:tcPr>
          <w:p w14:paraId="5C09A410" w14:textId="6830F60C" w:rsidR="009E73C4" w:rsidRDefault="009E73C4" w:rsidP="009E73C4">
            <w:pPr>
              <w:spacing w:after="0" w:line="276" w:lineRule="auto"/>
              <w:ind w:right="42"/>
              <w:rPr>
                <w:rFonts w:asciiTheme="majorHAnsi" w:eastAsia="Calibri" w:hAnsiTheme="majorHAnsi" w:cstheme="majorHAnsi"/>
                <w:b/>
                <w:color w:val="000000"/>
              </w:rPr>
            </w:pPr>
            <w:r w:rsidRPr="0024384F">
              <w:t>210 X 297</w:t>
            </w:r>
          </w:p>
        </w:tc>
      </w:tr>
    </w:tbl>
    <w:p w14:paraId="22276E6F" w14:textId="77777777" w:rsidR="009E73C4" w:rsidRPr="00B24A80" w:rsidRDefault="009E73C4" w:rsidP="00AD68BB">
      <w:pPr>
        <w:pBdr>
          <w:top w:val="nil"/>
          <w:left w:val="nil"/>
          <w:bottom w:val="nil"/>
          <w:right w:val="nil"/>
          <w:between w:val="nil"/>
        </w:pBdr>
        <w:spacing w:after="240" w:line="276" w:lineRule="auto"/>
        <w:ind w:right="42"/>
        <w:rPr>
          <w:rFonts w:asciiTheme="majorHAnsi" w:eastAsia="Calibri" w:hAnsiTheme="majorHAnsi" w:cstheme="majorHAnsi"/>
          <w:b/>
          <w:color w:val="000000"/>
          <w:sz w:val="22"/>
          <w:szCs w:val="22"/>
        </w:rPr>
      </w:pPr>
    </w:p>
    <w:p w14:paraId="2EF91144" w14:textId="022E9414" w:rsidR="00BD315A" w:rsidRPr="00B24A80" w:rsidRDefault="00C65F8A" w:rsidP="0081553B">
      <w:pPr>
        <w:pBdr>
          <w:top w:val="nil"/>
          <w:left w:val="nil"/>
          <w:bottom w:val="nil"/>
          <w:right w:val="nil"/>
          <w:between w:val="nil"/>
        </w:pBdr>
        <w:spacing w:after="240" w:line="276" w:lineRule="auto"/>
        <w:ind w:left="720"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Fuente: Norma INEN 568</w:t>
      </w:r>
    </w:p>
    <w:p w14:paraId="18424058" w14:textId="2B5FEC27" w:rsidR="006A0AD6" w:rsidRPr="00B24A80" w:rsidRDefault="006A0AD6" w:rsidP="00CA24CF">
      <w:pPr>
        <w:pStyle w:val="Prrafodelista"/>
        <w:numPr>
          <w:ilvl w:val="0"/>
          <w:numId w:val="92"/>
        </w:numPr>
        <w:pBdr>
          <w:top w:val="nil"/>
          <w:left w:val="nil"/>
          <w:bottom w:val="nil"/>
          <w:right w:val="nil"/>
          <w:between w:val="nil"/>
        </w:pBdr>
        <w:spacing w:after="240" w:line="276" w:lineRule="auto"/>
        <w:ind w:right="42"/>
        <w:rPr>
          <w:rFonts w:asciiTheme="majorHAnsi" w:eastAsia="Calibri" w:hAnsiTheme="majorHAnsi" w:cstheme="majorHAnsi"/>
          <w:b/>
          <w:color w:val="000000"/>
          <w:szCs w:val="22"/>
        </w:rPr>
      </w:pPr>
      <w:r w:rsidRPr="00B24A80">
        <w:rPr>
          <w:rFonts w:asciiTheme="majorHAnsi" w:hAnsiTheme="majorHAnsi" w:cstheme="majorHAnsi"/>
          <w:b/>
          <w:szCs w:val="22"/>
        </w:rPr>
        <w:t>Cuadro de títulos y sellos de aprobación. –</w:t>
      </w:r>
    </w:p>
    <w:p w14:paraId="11FC167A" w14:textId="77777777" w:rsidR="006A0AD6" w:rsidRPr="00B24A80" w:rsidRDefault="006A0AD6" w:rsidP="00CA24CF">
      <w:pPr>
        <w:pStyle w:val="Cuerpodeltexto0"/>
        <w:numPr>
          <w:ilvl w:val="0"/>
          <w:numId w:val="93"/>
        </w:numPr>
        <w:tabs>
          <w:tab w:val="left" w:pos="713"/>
        </w:tabs>
        <w:spacing w:after="0" w:line="276" w:lineRule="auto"/>
        <w:rPr>
          <w:rFonts w:asciiTheme="majorHAnsi" w:hAnsiTheme="majorHAnsi" w:cstheme="majorHAnsi"/>
          <w:sz w:val="22"/>
          <w:szCs w:val="22"/>
        </w:rPr>
      </w:pPr>
      <w:r w:rsidRPr="00B24A80">
        <w:rPr>
          <w:rFonts w:asciiTheme="majorHAnsi" w:hAnsiTheme="majorHAnsi" w:cstheme="majorHAnsi"/>
          <w:sz w:val="22"/>
          <w:szCs w:val="22"/>
        </w:rPr>
        <w:t>Cuadro de Títulos: Todo plano de construcción deberá llevar para su identificación, un cuadro de títulos, el mismo que se ubicará junto al espacio destinado para sellos de aprobación.</w:t>
      </w:r>
    </w:p>
    <w:p w14:paraId="0EF6F335" w14:textId="77777777" w:rsidR="006A0AD6" w:rsidRPr="00B24A80" w:rsidRDefault="006A0AD6" w:rsidP="00CA24CF">
      <w:pPr>
        <w:pStyle w:val="Cuerpodeltexto0"/>
        <w:numPr>
          <w:ilvl w:val="0"/>
          <w:numId w:val="93"/>
        </w:numPr>
        <w:tabs>
          <w:tab w:val="left" w:pos="713"/>
        </w:tabs>
        <w:spacing w:after="0" w:line="276" w:lineRule="auto"/>
        <w:rPr>
          <w:rFonts w:asciiTheme="majorHAnsi" w:hAnsiTheme="majorHAnsi" w:cstheme="majorHAnsi"/>
          <w:sz w:val="22"/>
          <w:szCs w:val="22"/>
        </w:rPr>
      </w:pPr>
      <w:bookmarkStart w:id="206" w:name="bookmark2498"/>
      <w:bookmarkEnd w:id="206"/>
      <w:r w:rsidRPr="00B24A80">
        <w:rPr>
          <w:rFonts w:asciiTheme="majorHAnsi" w:hAnsiTheme="majorHAnsi" w:cstheme="majorHAnsi"/>
          <w:sz w:val="22"/>
          <w:szCs w:val="22"/>
        </w:rPr>
        <w:t>Sellos de Aprobación: Los planos de construcción deberán disponer en su extremo inferior derecho de un espacio libre para los sellos de aprobación necesarios, acorde al formato utilizado hasta un máximo de 0,15 x 0.15 m.</w:t>
      </w:r>
    </w:p>
    <w:p w14:paraId="05F41CE4" w14:textId="77777777" w:rsidR="006A0AD6" w:rsidRPr="00B24A80" w:rsidRDefault="006A0AD6" w:rsidP="00CA24CF">
      <w:pPr>
        <w:pStyle w:val="Cuerpodeltexto0"/>
        <w:numPr>
          <w:ilvl w:val="0"/>
          <w:numId w:val="93"/>
        </w:numPr>
        <w:tabs>
          <w:tab w:val="left" w:pos="713"/>
        </w:tabs>
        <w:spacing w:after="160" w:line="276" w:lineRule="auto"/>
        <w:rPr>
          <w:rFonts w:asciiTheme="majorHAnsi" w:hAnsiTheme="majorHAnsi" w:cstheme="majorHAnsi"/>
          <w:sz w:val="22"/>
          <w:szCs w:val="22"/>
        </w:rPr>
      </w:pPr>
      <w:bookmarkStart w:id="207" w:name="bookmark2499"/>
      <w:bookmarkEnd w:id="207"/>
      <w:r w:rsidRPr="00B24A80">
        <w:rPr>
          <w:rFonts w:asciiTheme="majorHAnsi" w:hAnsiTheme="majorHAnsi" w:cstheme="majorHAnsi"/>
          <w:sz w:val="22"/>
          <w:szCs w:val="22"/>
        </w:rPr>
        <w:t>Los cuadros de títulos se diseñarán de acuerdo a la información que se necesite registrar en cada proyecto, pero deberán contener como mínimo, los siguientes datos:</w:t>
      </w:r>
    </w:p>
    <w:p w14:paraId="32DCE42A" w14:textId="1FB8A8D8" w:rsidR="006A0AD6" w:rsidRPr="00B24A80" w:rsidRDefault="006A0AD6" w:rsidP="00CA24CF">
      <w:pPr>
        <w:pStyle w:val="TableParagraph"/>
        <w:numPr>
          <w:ilvl w:val="0"/>
          <w:numId w:val="94"/>
        </w:numPr>
        <w:spacing w:line="276" w:lineRule="auto"/>
        <w:rPr>
          <w:rFonts w:asciiTheme="majorHAnsi" w:hAnsiTheme="majorHAnsi" w:cstheme="majorHAnsi"/>
        </w:rPr>
      </w:pPr>
      <w:r w:rsidRPr="00B24A80">
        <w:rPr>
          <w:rFonts w:asciiTheme="majorHAnsi" w:hAnsiTheme="majorHAnsi" w:cstheme="majorHAnsi"/>
        </w:rPr>
        <w:t>Clave catastral y número de predio.</w:t>
      </w:r>
    </w:p>
    <w:p w14:paraId="5F29E3AA" w14:textId="77777777" w:rsidR="006A0AD6" w:rsidRPr="00B24A80" w:rsidRDefault="006A0AD6" w:rsidP="00CA24CF">
      <w:pPr>
        <w:pStyle w:val="TableParagraph"/>
        <w:numPr>
          <w:ilvl w:val="0"/>
          <w:numId w:val="94"/>
        </w:numPr>
        <w:spacing w:line="276" w:lineRule="auto"/>
        <w:rPr>
          <w:rFonts w:asciiTheme="majorHAnsi" w:hAnsiTheme="majorHAnsi" w:cstheme="majorHAnsi"/>
        </w:rPr>
      </w:pPr>
      <w:r w:rsidRPr="00B24A80">
        <w:rPr>
          <w:rFonts w:asciiTheme="majorHAnsi" w:hAnsiTheme="majorHAnsi" w:cstheme="majorHAnsi"/>
        </w:rPr>
        <w:lastRenderedPageBreak/>
        <w:t>Nombre del proyecto.</w:t>
      </w:r>
    </w:p>
    <w:p w14:paraId="650FEABD" w14:textId="77777777" w:rsidR="006A0AD6" w:rsidRPr="00B24A80" w:rsidRDefault="006A0AD6" w:rsidP="00CA24CF">
      <w:pPr>
        <w:pStyle w:val="TableParagraph"/>
        <w:numPr>
          <w:ilvl w:val="0"/>
          <w:numId w:val="94"/>
        </w:numPr>
        <w:spacing w:line="276" w:lineRule="auto"/>
        <w:rPr>
          <w:rFonts w:asciiTheme="majorHAnsi" w:hAnsiTheme="majorHAnsi" w:cstheme="majorHAnsi"/>
        </w:rPr>
      </w:pPr>
      <w:r w:rsidRPr="00B24A80">
        <w:rPr>
          <w:rFonts w:asciiTheme="majorHAnsi" w:hAnsiTheme="majorHAnsi" w:cstheme="majorHAnsi"/>
        </w:rPr>
        <w:t>Nombre, número de cédula y firma del propietario.</w:t>
      </w:r>
    </w:p>
    <w:p w14:paraId="2EAD49C6" w14:textId="77777777" w:rsidR="006A0AD6" w:rsidRPr="00B24A80" w:rsidRDefault="006A0AD6" w:rsidP="00CA24CF">
      <w:pPr>
        <w:pStyle w:val="TableParagraph"/>
        <w:numPr>
          <w:ilvl w:val="0"/>
          <w:numId w:val="94"/>
        </w:numPr>
        <w:spacing w:line="276" w:lineRule="auto"/>
        <w:rPr>
          <w:rFonts w:asciiTheme="majorHAnsi" w:hAnsiTheme="majorHAnsi" w:cstheme="majorHAnsi"/>
        </w:rPr>
      </w:pPr>
      <w:r w:rsidRPr="00B24A80">
        <w:rPr>
          <w:rFonts w:asciiTheme="majorHAnsi" w:hAnsiTheme="majorHAnsi" w:cstheme="majorHAnsi"/>
        </w:rPr>
        <w:t>Nombre, firma, número de registro y cédula del profesional responsable.</w:t>
      </w:r>
    </w:p>
    <w:p w14:paraId="475E3CE7" w14:textId="77777777" w:rsidR="006A0AD6" w:rsidRPr="00B24A80" w:rsidRDefault="006A0AD6" w:rsidP="00CA24CF">
      <w:pPr>
        <w:pStyle w:val="TableParagraph"/>
        <w:numPr>
          <w:ilvl w:val="0"/>
          <w:numId w:val="94"/>
        </w:numPr>
        <w:spacing w:line="276" w:lineRule="auto"/>
        <w:rPr>
          <w:rFonts w:asciiTheme="majorHAnsi" w:hAnsiTheme="majorHAnsi" w:cstheme="majorHAnsi"/>
        </w:rPr>
      </w:pPr>
      <w:r w:rsidRPr="00B24A80">
        <w:rPr>
          <w:rFonts w:asciiTheme="majorHAnsi" w:hAnsiTheme="majorHAnsi" w:cstheme="majorHAnsi"/>
        </w:rPr>
        <w:t>Título de la lámina - Escala o escalas - Fecha - Número de lámina.</w:t>
      </w:r>
    </w:p>
    <w:p w14:paraId="667F85F8" w14:textId="77777777" w:rsidR="006A0AD6" w:rsidRPr="00B24A80" w:rsidRDefault="006A0AD6" w:rsidP="009B6280">
      <w:pPr>
        <w:pStyle w:val="TableParagraph"/>
        <w:spacing w:line="276" w:lineRule="auto"/>
        <w:rPr>
          <w:rFonts w:asciiTheme="majorHAnsi" w:hAnsiTheme="majorHAnsi" w:cstheme="majorHAnsi"/>
        </w:rPr>
      </w:pPr>
    </w:p>
    <w:p w14:paraId="69E566B3" w14:textId="09B0ADB1" w:rsidR="006A0AD6" w:rsidRPr="00B24A80" w:rsidRDefault="006A0AD6" w:rsidP="009B6280">
      <w:pPr>
        <w:pStyle w:val="TableParagraph"/>
        <w:spacing w:line="276" w:lineRule="auto"/>
        <w:rPr>
          <w:rFonts w:asciiTheme="majorHAnsi" w:hAnsiTheme="majorHAnsi" w:cstheme="majorHAnsi"/>
        </w:rPr>
      </w:pPr>
      <w:r w:rsidRPr="00B24A80">
        <w:rPr>
          <w:rFonts w:asciiTheme="majorHAnsi" w:hAnsiTheme="majorHAnsi" w:cstheme="majorHAnsi"/>
        </w:rPr>
        <w:t>En el caso de proyectos de construcción donde sean necesarias varias series de láminas, deberán llevar las iniciales del tipo de trabajo, antepuestos al número de láminas, de acuerdo a las siguientes abreviaturas:</w:t>
      </w:r>
    </w:p>
    <w:p w14:paraId="7C3B4A3C" w14:textId="77777777" w:rsidR="006A0AD6" w:rsidRPr="00B24A80" w:rsidRDefault="006A0AD6" w:rsidP="006A0AD6">
      <w:pPr>
        <w:rPr>
          <w:rFonts w:asciiTheme="majorHAnsi" w:hAnsiTheme="majorHAnsi" w:cstheme="majorHAnsi"/>
          <w:sz w:val="22"/>
          <w:szCs w:val="22"/>
        </w:rPr>
      </w:pPr>
    </w:p>
    <w:p w14:paraId="20A1E0B5" w14:textId="378ECC2A" w:rsidR="006A0AD6" w:rsidRPr="00B24A80" w:rsidRDefault="006A0AD6" w:rsidP="006A0AD6">
      <w:pPr>
        <w:rPr>
          <w:rFonts w:asciiTheme="majorHAnsi" w:hAnsiTheme="majorHAnsi" w:cstheme="majorHAnsi"/>
          <w:sz w:val="22"/>
          <w:szCs w:val="22"/>
        </w:rPr>
      </w:pPr>
      <w:r w:rsidRPr="00B24A80">
        <w:rPr>
          <w:rFonts w:asciiTheme="majorHAnsi" w:hAnsiTheme="majorHAnsi" w:cstheme="majorHAnsi"/>
          <w:sz w:val="22"/>
          <w:szCs w:val="22"/>
        </w:rPr>
        <w:t>A: planos arquitectónicos</w:t>
      </w:r>
    </w:p>
    <w:p w14:paraId="7D364702" w14:textId="77777777" w:rsidR="006A0AD6" w:rsidRPr="00B24A80" w:rsidRDefault="006A0AD6" w:rsidP="006A0AD6">
      <w:pPr>
        <w:rPr>
          <w:rFonts w:asciiTheme="majorHAnsi" w:hAnsiTheme="majorHAnsi" w:cstheme="majorHAnsi"/>
          <w:sz w:val="22"/>
          <w:szCs w:val="22"/>
        </w:rPr>
      </w:pPr>
      <w:r w:rsidRPr="00B24A80">
        <w:rPr>
          <w:rFonts w:asciiTheme="majorHAnsi" w:hAnsiTheme="majorHAnsi" w:cstheme="majorHAnsi"/>
          <w:sz w:val="22"/>
          <w:szCs w:val="22"/>
        </w:rPr>
        <w:t>E: planos estructurales</w:t>
      </w:r>
    </w:p>
    <w:p w14:paraId="264F0DF7" w14:textId="77777777" w:rsidR="006A0AD6" w:rsidRPr="00B24A80" w:rsidRDefault="006A0AD6" w:rsidP="006A0AD6">
      <w:pPr>
        <w:rPr>
          <w:rFonts w:asciiTheme="majorHAnsi" w:hAnsiTheme="majorHAnsi" w:cstheme="majorHAnsi"/>
          <w:sz w:val="22"/>
          <w:szCs w:val="22"/>
        </w:rPr>
      </w:pPr>
      <w:r w:rsidRPr="00B24A80">
        <w:rPr>
          <w:rFonts w:asciiTheme="majorHAnsi" w:hAnsiTheme="majorHAnsi" w:cstheme="majorHAnsi"/>
          <w:sz w:val="22"/>
          <w:szCs w:val="22"/>
        </w:rPr>
        <w:t>IS: planos de instalaciones sanitarias</w:t>
      </w:r>
    </w:p>
    <w:p w14:paraId="41D7887C" w14:textId="77777777" w:rsidR="006A0AD6" w:rsidRPr="00B24A80" w:rsidRDefault="006A0AD6" w:rsidP="006A0AD6">
      <w:pPr>
        <w:rPr>
          <w:rFonts w:asciiTheme="majorHAnsi" w:hAnsiTheme="majorHAnsi" w:cstheme="majorHAnsi"/>
          <w:sz w:val="22"/>
          <w:szCs w:val="22"/>
        </w:rPr>
      </w:pPr>
      <w:r w:rsidRPr="00B24A80">
        <w:rPr>
          <w:rFonts w:asciiTheme="majorHAnsi" w:hAnsiTheme="majorHAnsi" w:cstheme="majorHAnsi"/>
          <w:sz w:val="22"/>
          <w:szCs w:val="22"/>
        </w:rPr>
        <w:t>IE: planos de instalaciones eléctricas</w:t>
      </w:r>
    </w:p>
    <w:p w14:paraId="049BC907" w14:textId="77777777" w:rsidR="006A0AD6" w:rsidRPr="00B24A80" w:rsidRDefault="006A0AD6" w:rsidP="006A0AD6">
      <w:pPr>
        <w:rPr>
          <w:rFonts w:asciiTheme="majorHAnsi" w:hAnsiTheme="majorHAnsi" w:cstheme="majorHAnsi"/>
          <w:sz w:val="22"/>
          <w:szCs w:val="22"/>
        </w:rPr>
      </w:pPr>
      <w:r w:rsidRPr="00B24A80">
        <w:rPr>
          <w:rFonts w:asciiTheme="majorHAnsi" w:hAnsiTheme="majorHAnsi" w:cstheme="majorHAnsi"/>
          <w:sz w:val="22"/>
          <w:szCs w:val="22"/>
        </w:rPr>
        <w:t>IM: planos de instalaciones mecánicas</w:t>
      </w:r>
    </w:p>
    <w:p w14:paraId="20A831B8" w14:textId="49A198F8" w:rsidR="00925177" w:rsidRPr="00B24A80" w:rsidRDefault="006A0AD6" w:rsidP="00925177">
      <w:pPr>
        <w:rPr>
          <w:rFonts w:asciiTheme="majorHAnsi" w:hAnsiTheme="majorHAnsi" w:cstheme="majorHAnsi"/>
          <w:sz w:val="22"/>
          <w:szCs w:val="22"/>
        </w:rPr>
      </w:pPr>
      <w:r w:rsidRPr="00B24A80">
        <w:rPr>
          <w:rFonts w:asciiTheme="majorHAnsi" w:hAnsiTheme="majorHAnsi" w:cstheme="majorHAnsi"/>
          <w:sz w:val="22"/>
          <w:szCs w:val="22"/>
        </w:rPr>
        <w:t>IC: planos de instalaciones electrónicas y comunicación.</w:t>
      </w:r>
    </w:p>
    <w:p w14:paraId="57763231" w14:textId="77777777" w:rsidR="00925177" w:rsidRPr="00B24A80" w:rsidRDefault="00925177" w:rsidP="00925177">
      <w:pPr>
        <w:rPr>
          <w:rFonts w:asciiTheme="majorHAnsi" w:hAnsiTheme="majorHAnsi" w:cstheme="majorHAnsi"/>
          <w:sz w:val="22"/>
          <w:szCs w:val="22"/>
        </w:rPr>
      </w:pPr>
    </w:p>
    <w:p w14:paraId="549F396D" w14:textId="0CF94885" w:rsidR="00925177" w:rsidRPr="00B24A80" w:rsidRDefault="00925177" w:rsidP="000753F8">
      <w:pPr>
        <w:pStyle w:val="Prrafodelista"/>
        <w:numPr>
          <w:ilvl w:val="0"/>
          <w:numId w:val="92"/>
        </w:numPr>
        <w:rPr>
          <w:rFonts w:asciiTheme="majorHAnsi" w:hAnsiTheme="majorHAnsi" w:cstheme="majorHAnsi"/>
          <w:szCs w:val="22"/>
        </w:rPr>
      </w:pPr>
      <w:r w:rsidRPr="00B24A80">
        <w:rPr>
          <w:rFonts w:asciiTheme="majorHAnsi" w:hAnsiTheme="majorHAnsi" w:cstheme="majorHAnsi"/>
          <w:b/>
          <w:bCs/>
          <w:szCs w:val="22"/>
        </w:rPr>
        <w:t xml:space="preserve">La Responsabilidad Técnica Profesional. - </w:t>
      </w:r>
      <w:r w:rsidRPr="00B24A80">
        <w:rPr>
          <w:rFonts w:asciiTheme="majorHAnsi" w:hAnsiTheme="majorHAnsi" w:cstheme="majorHAnsi"/>
          <w:szCs w:val="22"/>
        </w:rPr>
        <w:t>Los trabajos de planificación arquitectónica de las edificaciones, y los diseños de cálculo estructural e instalaciones, así como las construcciones en general, deberán ser ejecutados necesariamente bajo la responsabilidad técnica de un profesional calificado y comprobado,</w:t>
      </w:r>
      <w:r w:rsidR="001D4740" w:rsidRPr="00B24A80">
        <w:rPr>
          <w:rFonts w:asciiTheme="majorHAnsi" w:hAnsiTheme="majorHAnsi" w:cstheme="majorHAnsi"/>
          <w:szCs w:val="22"/>
        </w:rPr>
        <w:t xml:space="preserve"> </w:t>
      </w:r>
      <w:r w:rsidRPr="00B24A80">
        <w:rPr>
          <w:rFonts w:asciiTheme="majorHAnsi" w:hAnsiTheme="majorHAnsi" w:cstheme="majorHAnsi"/>
          <w:szCs w:val="22"/>
        </w:rPr>
        <w:t>de acuerdo con las correspondientes Leyes de ejercicio profesional.</w:t>
      </w:r>
    </w:p>
    <w:p w14:paraId="5937BB55" w14:textId="77777777" w:rsidR="00925177" w:rsidRPr="00B24A80" w:rsidRDefault="00925177" w:rsidP="00925177">
      <w:pPr>
        <w:pStyle w:val="Prrafodelista"/>
        <w:ind w:left="1440"/>
        <w:rPr>
          <w:rFonts w:asciiTheme="majorHAnsi" w:hAnsiTheme="majorHAnsi" w:cstheme="majorHAnsi"/>
          <w:szCs w:val="22"/>
        </w:rPr>
      </w:pPr>
    </w:p>
    <w:p w14:paraId="7B6AFB5D" w14:textId="34E61272" w:rsidR="00925177" w:rsidRPr="00BA23E8" w:rsidRDefault="00925177" w:rsidP="000753F8">
      <w:pPr>
        <w:pStyle w:val="Cuerpodeltexto0"/>
        <w:spacing w:after="300"/>
        <w:rPr>
          <w:rFonts w:asciiTheme="majorHAnsi" w:hAnsiTheme="majorHAnsi" w:cstheme="majorHAnsi"/>
          <w:color w:val="auto"/>
          <w:sz w:val="22"/>
          <w:szCs w:val="22"/>
        </w:rPr>
      </w:pPr>
      <w:r w:rsidRPr="00BA23E8">
        <w:rPr>
          <w:rFonts w:asciiTheme="majorHAnsi" w:hAnsiTheme="majorHAnsi" w:cstheme="majorHAnsi"/>
          <w:color w:val="auto"/>
          <w:sz w:val="22"/>
          <w:szCs w:val="22"/>
        </w:rPr>
        <w:t xml:space="preserve">Para el libre ejercicio de los profesionales facultados por la Ley, para la planificación y construcción de las edificaciones y/o construcciones a realizarse dentro del </w:t>
      </w:r>
      <w:r w:rsidR="00CD4F27" w:rsidRPr="00BA23E8">
        <w:rPr>
          <w:rFonts w:asciiTheme="majorHAnsi" w:hAnsiTheme="majorHAnsi" w:cstheme="majorHAnsi"/>
          <w:color w:val="auto"/>
          <w:sz w:val="22"/>
          <w:szCs w:val="22"/>
        </w:rPr>
        <w:t>cantón La Joya de los Sachas</w:t>
      </w:r>
      <w:r w:rsidRPr="00BA23E8">
        <w:rPr>
          <w:rFonts w:asciiTheme="majorHAnsi" w:hAnsiTheme="majorHAnsi" w:cstheme="majorHAnsi"/>
          <w:color w:val="auto"/>
          <w:sz w:val="22"/>
          <w:szCs w:val="22"/>
        </w:rPr>
        <w:t xml:space="preserve">, deberán inscribirse obligatoriamente en el Gobierno Autónomo Descentralizado Municipalidad de </w:t>
      </w:r>
      <w:r w:rsidR="00E30701" w:rsidRPr="00BA23E8">
        <w:rPr>
          <w:rFonts w:asciiTheme="majorHAnsi" w:hAnsiTheme="majorHAnsi" w:cstheme="majorHAnsi"/>
          <w:color w:val="auto"/>
          <w:sz w:val="22"/>
          <w:szCs w:val="22"/>
        </w:rPr>
        <w:t>La Joya de los Sachas</w:t>
      </w:r>
      <w:r w:rsidRPr="00BA23E8">
        <w:rPr>
          <w:rFonts w:asciiTheme="majorHAnsi" w:hAnsiTheme="majorHAnsi" w:cstheme="majorHAnsi"/>
          <w:color w:val="auto"/>
          <w:sz w:val="22"/>
          <w:szCs w:val="22"/>
        </w:rPr>
        <w:t xml:space="preserve">, la misma que otorgará un certificado del Registro Profesional Municipal, por intermedio de la </w:t>
      </w:r>
      <w:r w:rsidR="00D01697" w:rsidRPr="00BA23E8">
        <w:rPr>
          <w:rFonts w:asciiTheme="majorHAnsi" w:hAnsiTheme="majorHAnsi" w:cstheme="majorHAnsi"/>
          <w:color w:val="auto"/>
          <w:sz w:val="22"/>
          <w:szCs w:val="22"/>
        </w:rPr>
        <w:t xml:space="preserve">Dirección de Gestión </w:t>
      </w:r>
      <w:r w:rsidR="00236CA3" w:rsidRPr="00BA23E8">
        <w:rPr>
          <w:rFonts w:asciiTheme="majorHAnsi" w:hAnsiTheme="majorHAnsi" w:cstheme="majorHAnsi"/>
          <w:color w:val="auto"/>
          <w:sz w:val="22"/>
          <w:szCs w:val="22"/>
        </w:rPr>
        <w:t xml:space="preserve">de </w:t>
      </w:r>
      <w:r w:rsidR="00D01697" w:rsidRPr="00BA23E8">
        <w:rPr>
          <w:rFonts w:asciiTheme="majorHAnsi" w:hAnsiTheme="majorHAnsi" w:cstheme="majorHAnsi"/>
          <w:color w:val="auto"/>
          <w:sz w:val="22"/>
          <w:szCs w:val="22"/>
        </w:rPr>
        <w:t>Planificación</w:t>
      </w:r>
      <w:r w:rsidRPr="00BA23E8">
        <w:rPr>
          <w:rFonts w:asciiTheme="majorHAnsi" w:hAnsiTheme="majorHAnsi" w:cstheme="majorHAnsi"/>
          <w:color w:val="auto"/>
          <w:sz w:val="22"/>
          <w:szCs w:val="22"/>
        </w:rPr>
        <w:t>, el mismo que tendrá una validez de un año calendario, para lo cual se presentará los siguiente requisitos:</w:t>
      </w:r>
    </w:p>
    <w:p w14:paraId="523A06C9" w14:textId="77777777" w:rsidR="00925177" w:rsidRPr="00BA23E8" w:rsidRDefault="00925177" w:rsidP="00CA24CF">
      <w:pPr>
        <w:pStyle w:val="Cuerpodeltexto0"/>
        <w:numPr>
          <w:ilvl w:val="0"/>
          <w:numId w:val="95"/>
        </w:numPr>
        <w:tabs>
          <w:tab w:val="left" w:pos="926"/>
        </w:tabs>
        <w:spacing w:after="0" w:line="264" w:lineRule="auto"/>
        <w:rPr>
          <w:rFonts w:asciiTheme="majorHAnsi" w:hAnsiTheme="majorHAnsi" w:cstheme="majorHAnsi"/>
          <w:color w:val="auto"/>
          <w:sz w:val="22"/>
          <w:szCs w:val="22"/>
        </w:rPr>
      </w:pPr>
      <w:bookmarkStart w:id="208" w:name="bookmark2500"/>
      <w:bookmarkEnd w:id="208"/>
      <w:r w:rsidRPr="00BA23E8">
        <w:rPr>
          <w:rFonts w:asciiTheme="majorHAnsi" w:hAnsiTheme="majorHAnsi" w:cstheme="majorHAnsi"/>
          <w:color w:val="auto"/>
          <w:sz w:val="22"/>
          <w:szCs w:val="22"/>
        </w:rPr>
        <w:t>Cédula de Identidad y certificado de votación.</w:t>
      </w:r>
    </w:p>
    <w:p w14:paraId="3B430FD6" w14:textId="77777777" w:rsidR="00925177" w:rsidRPr="00BA23E8" w:rsidRDefault="00925177" w:rsidP="00CA24CF">
      <w:pPr>
        <w:pStyle w:val="Cuerpodeltexto0"/>
        <w:numPr>
          <w:ilvl w:val="0"/>
          <w:numId w:val="95"/>
        </w:numPr>
        <w:tabs>
          <w:tab w:val="left" w:pos="926"/>
        </w:tabs>
        <w:spacing w:after="0" w:line="262" w:lineRule="auto"/>
        <w:rPr>
          <w:rFonts w:asciiTheme="majorHAnsi" w:hAnsiTheme="majorHAnsi" w:cstheme="majorHAnsi"/>
          <w:color w:val="auto"/>
          <w:sz w:val="22"/>
          <w:szCs w:val="22"/>
        </w:rPr>
      </w:pPr>
      <w:bookmarkStart w:id="209" w:name="bookmark2501"/>
      <w:bookmarkStart w:id="210" w:name="bookmark2502"/>
      <w:bookmarkEnd w:id="209"/>
      <w:bookmarkEnd w:id="210"/>
      <w:r w:rsidRPr="00BA23E8">
        <w:rPr>
          <w:rFonts w:asciiTheme="majorHAnsi" w:hAnsiTheme="majorHAnsi" w:cstheme="majorHAnsi"/>
          <w:color w:val="auto"/>
          <w:sz w:val="22"/>
          <w:szCs w:val="22"/>
        </w:rPr>
        <w:t>Certificación de ser Ingeniero Civil, Arquitecto o profesional calificado, otorgado por la institución rectora nacional. (De Educación Superior).</w:t>
      </w:r>
    </w:p>
    <w:p w14:paraId="16C34D0D" w14:textId="77777777" w:rsidR="00925177" w:rsidRPr="00BA23E8" w:rsidRDefault="00925177" w:rsidP="00CA24CF">
      <w:pPr>
        <w:pStyle w:val="Cuerpodeltexto0"/>
        <w:numPr>
          <w:ilvl w:val="0"/>
          <w:numId w:val="95"/>
        </w:numPr>
        <w:tabs>
          <w:tab w:val="left" w:pos="926"/>
        </w:tabs>
        <w:spacing w:after="0" w:line="264" w:lineRule="auto"/>
        <w:rPr>
          <w:rFonts w:asciiTheme="majorHAnsi" w:hAnsiTheme="majorHAnsi" w:cstheme="majorHAnsi"/>
          <w:color w:val="auto"/>
          <w:sz w:val="22"/>
          <w:szCs w:val="22"/>
        </w:rPr>
      </w:pPr>
      <w:bookmarkStart w:id="211" w:name="bookmark2503"/>
      <w:bookmarkEnd w:id="211"/>
      <w:r w:rsidRPr="00BA23E8">
        <w:rPr>
          <w:rFonts w:asciiTheme="majorHAnsi" w:hAnsiTheme="majorHAnsi" w:cstheme="majorHAnsi"/>
          <w:color w:val="auto"/>
          <w:sz w:val="22"/>
          <w:szCs w:val="22"/>
        </w:rPr>
        <w:t>Formulario de datos personales otorgado por Planificación</w:t>
      </w:r>
    </w:p>
    <w:p w14:paraId="5B67C26E" w14:textId="77777777" w:rsidR="00925177" w:rsidRPr="00BA23E8" w:rsidRDefault="00925177" w:rsidP="00CA24CF">
      <w:pPr>
        <w:pStyle w:val="Cuerpodeltexto0"/>
        <w:numPr>
          <w:ilvl w:val="0"/>
          <w:numId w:val="95"/>
        </w:numPr>
        <w:tabs>
          <w:tab w:val="left" w:pos="926"/>
        </w:tabs>
        <w:spacing w:after="0" w:line="264" w:lineRule="auto"/>
        <w:rPr>
          <w:rFonts w:asciiTheme="majorHAnsi" w:hAnsiTheme="majorHAnsi" w:cstheme="majorHAnsi"/>
          <w:color w:val="auto"/>
          <w:sz w:val="22"/>
          <w:szCs w:val="22"/>
        </w:rPr>
      </w:pPr>
      <w:bookmarkStart w:id="212" w:name="bookmark2504"/>
      <w:bookmarkEnd w:id="212"/>
      <w:r w:rsidRPr="00BA23E8">
        <w:rPr>
          <w:rFonts w:asciiTheme="majorHAnsi" w:hAnsiTheme="majorHAnsi" w:cstheme="majorHAnsi"/>
          <w:color w:val="auto"/>
          <w:sz w:val="22"/>
          <w:szCs w:val="22"/>
        </w:rPr>
        <w:t>Dos fotos a color tamaño carnet</w:t>
      </w:r>
      <w:bookmarkStart w:id="213" w:name="bookmark2505"/>
      <w:bookmarkEnd w:id="213"/>
    </w:p>
    <w:p w14:paraId="541C1C2F" w14:textId="2084F98E" w:rsidR="006A0AD6" w:rsidRPr="00BA23E8" w:rsidRDefault="00925177" w:rsidP="00CA24CF">
      <w:pPr>
        <w:pStyle w:val="Cuerpodeltexto0"/>
        <w:numPr>
          <w:ilvl w:val="0"/>
          <w:numId w:val="95"/>
        </w:numPr>
        <w:tabs>
          <w:tab w:val="left" w:pos="926"/>
        </w:tabs>
        <w:spacing w:after="0" w:line="264" w:lineRule="auto"/>
        <w:rPr>
          <w:rFonts w:asciiTheme="majorHAnsi" w:hAnsiTheme="majorHAnsi" w:cstheme="majorHAnsi"/>
          <w:color w:val="auto"/>
          <w:sz w:val="22"/>
          <w:szCs w:val="22"/>
        </w:rPr>
      </w:pPr>
      <w:r w:rsidRPr="00BA23E8">
        <w:rPr>
          <w:rFonts w:asciiTheme="majorHAnsi" w:hAnsiTheme="majorHAnsi" w:cstheme="majorHAnsi"/>
          <w:color w:val="auto"/>
          <w:sz w:val="22"/>
          <w:szCs w:val="22"/>
        </w:rPr>
        <w:t>Comprobante de Pago del 12,5% RBU (Remuneración Básica Unificada) dólares americanos, por concepto de Tasa Municipal por la emisión del certificado de Registro Municipal Profesional, cancelados en las ventanillas de recaudación Municipal.</w:t>
      </w:r>
    </w:p>
    <w:p w14:paraId="28668292" w14:textId="77777777" w:rsidR="00925177" w:rsidRPr="00B24A80" w:rsidRDefault="00925177" w:rsidP="00925177">
      <w:pPr>
        <w:pStyle w:val="Cuerpodeltexto0"/>
        <w:tabs>
          <w:tab w:val="left" w:pos="926"/>
        </w:tabs>
        <w:spacing w:after="0" w:line="264" w:lineRule="auto"/>
        <w:ind w:left="1494"/>
        <w:rPr>
          <w:rFonts w:asciiTheme="majorHAnsi" w:hAnsiTheme="majorHAnsi" w:cstheme="majorHAnsi"/>
          <w:sz w:val="22"/>
          <w:szCs w:val="22"/>
        </w:rPr>
      </w:pPr>
    </w:p>
    <w:p w14:paraId="165C0A62" w14:textId="501F662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En todos los proyectos para edificaciones se deberán hacer constar los detalles constructivos estructurales, los que obligatoriamente cumplirán con las disposiciones de las </w:t>
      </w:r>
      <w:r w:rsidRPr="00B24A80">
        <w:rPr>
          <w:rFonts w:asciiTheme="majorHAnsi" w:eastAsia="Calibri" w:hAnsiTheme="majorHAnsi" w:cstheme="majorHAnsi"/>
          <w:color w:val="000000"/>
          <w:szCs w:val="22"/>
        </w:rPr>
        <w:lastRenderedPageBreak/>
        <w:t>Normas de Arquitectura, Norma Ecuatoriana de Constru</w:t>
      </w:r>
      <w:r w:rsidR="00737949" w:rsidRPr="00B24A80">
        <w:rPr>
          <w:rFonts w:asciiTheme="majorHAnsi" w:eastAsia="Calibri" w:hAnsiTheme="majorHAnsi" w:cstheme="majorHAnsi"/>
          <w:color w:val="000000"/>
          <w:szCs w:val="22"/>
        </w:rPr>
        <w:t>cción (NEC) y a las siguientes Normas Técnicas Ecuatoriana</w:t>
      </w:r>
      <w:r w:rsidRPr="00B24A80">
        <w:rPr>
          <w:rFonts w:asciiTheme="majorHAnsi" w:eastAsia="Calibri" w:hAnsiTheme="majorHAnsi" w:cstheme="majorHAnsi"/>
          <w:color w:val="000000"/>
          <w:szCs w:val="22"/>
        </w:rPr>
        <w:t xml:space="preserve"> INEN del Código Ecuatoriano de la Construcción:</w:t>
      </w:r>
    </w:p>
    <w:p w14:paraId="64071ACE" w14:textId="77777777" w:rsidR="00DC27E8" w:rsidRPr="00B24A80" w:rsidRDefault="007F5505" w:rsidP="009F132D">
      <w:pPr>
        <w:numPr>
          <w:ilvl w:val="0"/>
          <w:numId w:val="15"/>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Requisitos generales de diseño;</w:t>
      </w:r>
    </w:p>
    <w:p w14:paraId="7F9C3C6E" w14:textId="7C09AC25" w:rsidR="00DC27E8" w:rsidRPr="00B24A80" w:rsidRDefault="007F5505" w:rsidP="009F132D">
      <w:pPr>
        <w:numPr>
          <w:ilvl w:val="0"/>
          <w:numId w:val="15"/>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Requisitos generales de diseño: peligro sísmico, espectros de diseño</w:t>
      </w:r>
      <w:r w:rsidR="006D6CAD">
        <w:rPr>
          <w:rFonts w:asciiTheme="majorHAnsi" w:eastAsia="Calibri" w:hAnsiTheme="majorHAnsi" w:cstheme="majorHAnsi"/>
          <w:color w:val="000000"/>
          <w:sz w:val="22"/>
          <w:szCs w:val="22"/>
        </w:rPr>
        <w:t xml:space="preserve">, periodos </w:t>
      </w:r>
      <w:r w:rsidRPr="00B24A80">
        <w:rPr>
          <w:rFonts w:asciiTheme="majorHAnsi" w:eastAsia="Calibri" w:hAnsiTheme="majorHAnsi" w:cstheme="majorHAnsi"/>
          <w:color w:val="000000"/>
          <w:sz w:val="22"/>
          <w:szCs w:val="22"/>
        </w:rPr>
        <w:t>y requisitos mínimos de cálculos para diseño sismo resistente;</w:t>
      </w:r>
    </w:p>
    <w:p w14:paraId="27C741DF" w14:textId="77777777" w:rsidR="00DC27E8" w:rsidRPr="00B24A80" w:rsidRDefault="007F5505" w:rsidP="009F132D">
      <w:pPr>
        <w:numPr>
          <w:ilvl w:val="0"/>
          <w:numId w:val="15"/>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Requisitos de diseño de hormigón armado;</w:t>
      </w:r>
    </w:p>
    <w:p w14:paraId="2236CFDF" w14:textId="77777777" w:rsidR="00DC27E8" w:rsidRPr="00B24A80" w:rsidRDefault="007F5505" w:rsidP="009F132D">
      <w:pPr>
        <w:numPr>
          <w:ilvl w:val="0"/>
          <w:numId w:val="15"/>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Requisitos de diseño y construcción de escaleras; y,</w:t>
      </w:r>
    </w:p>
    <w:p w14:paraId="2BD158E8" w14:textId="4B10FFFC" w:rsidR="00DC27E8" w:rsidRPr="00692C76" w:rsidRDefault="00BA23E8" w:rsidP="009F132D">
      <w:pPr>
        <w:numPr>
          <w:ilvl w:val="0"/>
          <w:numId w:val="15"/>
        </w:numPr>
        <w:pBdr>
          <w:top w:val="nil"/>
          <w:left w:val="nil"/>
          <w:bottom w:val="nil"/>
          <w:right w:val="nil"/>
          <w:between w:val="nil"/>
        </w:pBdr>
        <w:spacing w:after="240" w:line="276" w:lineRule="auto"/>
        <w:ind w:right="42"/>
        <w:rPr>
          <w:rFonts w:asciiTheme="majorHAnsi" w:eastAsia="Calibri" w:hAnsiTheme="majorHAnsi" w:cstheme="majorHAnsi"/>
          <w:sz w:val="22"/>
          <w:szCs w:val="22"/>
        </w:rPr>
      </w:pPr>
      <w:r w:rsidRPr="00692C76">
        <w:rPr>
          <w:rFonts w:asciiTheme="majorHAnsi" w:eastAsia="Calibri" w:hAnsiTheme="majorHAnsi" w:cstheme="majorHAnsi"/>
          <w:sz w:val="22"/>
          <w:szCs w:val="22"/>
        </w:rPr>
        <w:t xml:space="preserve">Diseño de </w:t>
      </w:r>
      <w:r w:rsidR="007B32EC" w:rsidRPr="00692C76">
        <w:rPr>
          <w:rFonts w:asciiTheme="majorHAnsi" w:eastAsia="Calibri" w:hAnsiTheme="majorHAnsi" w:cstheme="majorHAnsi"/>
          <w:sz w:val="22"/>
          <w:szCs w:val="22"/>
        </w:rPr>
        <w:t xml:space="preserve">sistema de </w:t>
      </w:r>
      <w:r w:rsidRPr="00692C76">
        <w:rPr>
          <w:rFonts w:asciiTheme="majorHAnsi" w:eastAsia="Calibri" w:hAnsiTheme="majorHAnsi" w:cstheme="majorHAnsi"/>
          <w:sz w:val="22"/>
          <w:szCs w:val="22"/>
        </w:rPr>
        <w:t>p</w:t>
      </w:r>
      <w:r w:rsidR="007F5505" w:rsidRPr="00692C76">
        <w:rPr>
          <w:rFonts w:asciiTheme="majorHAnsi" w:eastAsia="Calibri" w:hAnsiTheme="majorHAnsi" w:cstheme="majorHAnsi"/>
          <w:sz w:val="22"/>
          <w:szCs w:val="22"/>
        </w:rPr>
        <w:t>rotección contra incendios.</w:t>
      </w:r>
    </w:p>
    <w:p w14:paraId="128B62D1" w14:textId="66945FAA" w:rsidR="007E313B"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En caso de proyectos de una unidad habitacional cuyo uso sea vivienda unifamiliar de hasta dos plantas (altura máxima seis metros desde el nivel de la acera y/o hasta un máximo de doscientos metros de construcción), el estudio </w:t>
      </w:r>
      <w:r w:rsidR="003827F8">
        <w:rPr>
          <w:rFonts w:asciiTheme="majorHAnsi" w:eastAsia="Calibri" w:hAnsiTheme="majorHAnsi" w:cstheme="majorHAnsi"/>
          <w:color w:val="000000"/>
          <w:sz w:val="22"/>
          <w:szCs w:val="22"/>
        </w:rPr>
        <w:t xml:space="preserve">de suelo </w:t>
      </w:r>
      <w:r w:rsidR="007E313B" w:rsidRPr="00B24A80">
        <w:rPr>
          <w:rFonts w:asciiTheme="majorHAnsi" w:eastAsia="Calibri" w:hAnsiTheme="majorHAnsi" w:cstheme="majorHAnsi"/>
          <w:color w:val="000000"/>
          <w:sz w:val="22"/>
          <w:szCs w:val="22"/>
        </w:rPr>
        <w:t>no</w:t>
      </w:r>
      <w:r w:rsidR="00737949" w:rsidRPr="00B24A80">
        <w:rPr>
          <w:rFonts w:asciiTheme="majorHAnsi" w:eastAsia="Calibri" w:hAnsiTheme="majorHAnsi" w:cstheme="majorHAnsi"/>
          <w:color w:val="000000"/>
          <w:sz w:val="22"/>
          <w:szCs w:val="22"/>
        </w:rPr>
        <w:t xml:space="preserve"> será</w:t>
      </w:r>
      <w:r w:rsidR="007E313B" w:rsidRPr="00B24A80">
        <w:rPr>
          <w:rFonts w:asciiTheme="majorHAnsi" w:eastAsia="Calibri" w:hAnsiTheme="majorHAnsi" w:cstheme="majorHAnsi"/>
          <w:color w:val="000000"/>
          <w:sz w:val="22"/>
          <w:szCs w:val="22"/>
        </w:rPr>
        <w:t xml:space="preserve"> obligatorio salvo el caso</w:t>
      </w:r>
      <w:r w:rsidR="00737949" w:rsidRPr="00B24A80">
        <w:rPr>
          <w:rFonts w:asciiTheme="majorHAnsi" w:eastAsia="Calibri" w:hAnsiTheme="majorHAnsi" w:cstheme="majorHAnsi"/>
          <w:color w:val="000000"/>
          <w:sz w:val="22"/>
          <w:szCs w:val="22"/>
        </w:rPr>
        <w:t xml:space="preserve"> de</w:t>
      </w:r>
      <w:r w:rsidR="007E313B" w:rsidRPr="00B24A80">
        <w:rPr>
          <w:rFonts w:asciiTheme="majorHAnsi" w:eastAsia="Calibri" w:hAnsiTheme="majorHAnsi" w:cstheme="majorHAnsi"/>
          <w:color w:val="000000"/>
          <w:sz w:val="22"/>
          <w:szCs w:val="22"/>
        </w:rPr>
        <w:t xml:space="preserve"> proyectos de futuro crecimiento vertical</w:t>
      </w:r>
      <w:r w:rsidR="00D8095E">
        <w:rPr>
          <w:rFonts w:asciiTheme="majorHAnsi" w:eastAsia="Calibri" w:hAnsiTheme="majorHAnsi" w:cstheme="majorHAnsi"/>
          <w:color w:val="000000"/>
          <w:sz w:val="22"/>
          <w:szCs w:val="22"/>
        </w:rPr>
        <w:t xml:space="preserve">, sin </w:t>
      </w:r>
      <w:r w:rsidR="00DD6608">
        <w:rPr>
          <w:rFonts w:asciiTheme="majorHAnsi" w:eastAsia="Calibri" w:hAnsiTheme="majorHAnsi" w:cstheme="majorHAnsi"/>
          <w:color w:val="000000"/>
          <w:sz w:val="22"/>
          <w:szCs w:val="22"/>
        </w:rPr>
        <w:t>embargo,</w:t>
      </w:r>
      <w:r w:rsidR="00D8095E">
        <w:rPr>
          <w:rFonts w:asciiTheme="majorHAnsi" w:eastAsia="Calibri" w:hAnsiTheme="majorHAnsi" w:cstheme="majorHAnsi"/>
          <w:color w:val="000000"/>
          <w:sz w:val="22"/>
          <w:szCs w:val="22"/>
        </w:rPr>
        <w:t xml:space="preserve"> deberá presentar la memoria estructural.</w:t>
      </w:r>
    </w:p>
    <w:p w14:paraId="393CD88C" w14:textId="2096181E" w:rsidR="00DB523F" w:rsidRPr="00B24A80" w:rsidRDefault="007F5505" w:rsidP="00DB523F">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 requerirá de estudios complementarios de las edificaciones</w:t>
      </w:r>
      <w:r w:rsidR="0086209A">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que superen los</w:t>
      </w:r>
      <w:r w:rsidR="00B30B7F">
        <w:rPr>
          <w:rFonts w:asciiTheme="majorHAnsi" w:eastAsia="Calibri" w:hAnsiTheme="majorHAnsi" w:cstheme="majorHAnsi"/>
          <w:color w:val="000000"/>
          <w:sz w:val="22"/>
          <w:szCs w:val="22"/>
        </w:rPr>
        <w:t xml:space="preserve"> </w:t>
      </w:r>
      <w:r w:rsidRPr="0086209A">
        <w:rPr>
          <w:rFonts w:asciiTheme="majorHAnsi" w:eastAsia="Calibri" w:hAnsiTheme="majorHAnsi" w:cstheme="majorHAnsi"/>
          <w:sz w:val="22"/>
          <w:szCs w:val="22"/>
        </w:rPr>
        <w:t>200</w:t>
      </w:r>
      <w:r w:rsidR="0059350A" w:rsidRPr="0086209A">
        <w:rPr>
          <w:rFonts w:asciiTheme="majorHAnsi" w:eastAsia="Calibri" w:hAnsiTheme="majorHAnsi" w:cstheme="majorHAnsi"/>
          <w:sz w:val="22"/>
          <w:szCs w:val="22"/>
        </w:rPr>
        <w:t xml:space="preserve"> </w:t>
      </w:r>
      <w:r w:rsidRPr="00B24A80">
        <w:rPr>
          <w:rFonts w:asciiTheme="majorHAnsi" w:eastAsia="Calibri" w:hAnsiTheme="majorHAnsi" w:cstheme="majorHAnsi"/>
          <w:color w:val="000000"/>
          <w:sz w:val="22"/>
          <w:szCs w:val="22"/>
        </w:rPr>
        <w:t>metros cuadrados de construcción</w:t>
      </w:r>
      <w:r w:rsidR="00BC648E">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los mismos que deb</w:t>
      </w:r>
      <w:r w:rsidR="00236CA3" w:rsidRPr="00B24A80">
        <w:rPr>
          <w:rFonts w:asciiTheme="majorHAnsi" w:eastAsia="Calibri" w:hAnsiTheme="majorHAnsi" w:cstheme="majorHAnsi"/>
          <w:color w:val="000000"/>
          <w:sz w:val="22"/>
          <w:szCs w:val="22"/>
        </w:rPr>
        <w:t xml:space="preserve">erán ser aprobados por </w:t>
      </w:r>
      <w:r w:rsidR="00545E60" w:rsidRPr="00B24A80">
        <w:rPr>
          <w:rFonts w:asciiTheme="majorHAnsi" w:eastAsia="Calibri" w:hAnsiTheme="majorHAnsi" w:cstheme="majorHAnsi"/>
          <w:color w:val="000000"/>
          <w:sz w:val="22"/>
          <w:szCs w:val="22"/>
        </w:rPr>
        <w:t>la Dirección</w:t>
      </w:r>
      <w:r w:rsidR="00236CA3" w:rsidRPr="00B24A80">
        <w:rPr>
          <w:rFonts w:asciiTheme="majorHAnsi" w:eastAsia="Calibri" w:hAnsiTheme="majorHAnsi" w:cstheme="majorHAnsi"/>
          <w:color w:val="000000"/>
          <w:sz w:val="22"/>
          <w:szCs w:val="22"/>
        </w:rPr>
        <w:t xml:space="preserve"> </w:t>
      </w:r>
      <w:r w:rsidR="00545E60" w:rsidRPr="00B24A80">
        <w:rPr>
          <w:rFonts w:asciiTheme="majorHAnsi" w:eastAsia="Calibri" w:hAnsiTheme="majorHAnsi" w:cstheme="majorHAnsi"/>
          <w:color w:val="000000"/>
          <w:sz w:val="22"/>
          <w:szCs w:val="22"/>
        </w:rPr>
        <w:t xml:space="preserve">de </w:t>
      </w:r>
      <w:r w:rsidR="00E32002">
        <w:rPr>
          <w:rFonts w:asciiTheme="majorHAnsi" w:eastAsia="Calibri" w:hAnsiTheme="majorHAnsi" w:cstheme="majorHAnsi"/>
          <w:color w:val="000000"/>
          <w:sz w:val="22"/>
          <w:szCs w:val="22"/>
        </w:rPr>
        <w:t xml:space="preserve">Obras Públicas </w:t>
      </w:r>
      <w:r w:rsidRPr="00B24A80">
        <w:rPr>
          <w:rFonts w:asciiTheme="majorHAnsi" w:eastAsia="Calibri" w:hAnsiTheme="majorHAnsi" w:cstheme="majorHAnsi"/>
          <w:color w:val="000000"/>
          <w:sz w:val="22"/>
          <w:szCs w:val="22"/>
        </w:rPr>
        <w:t xml:space="preserve">Empresa Eléctrica </w:t>
      </w:r>
      <w:r w:rsidR="00FE7E23" w:rsidRPr="00B24A80">
        <w:rPr>
          <w:rFonts w:asciiTheme="majorHAnsi" w:eastAsia="Calibri" w:hAnsiTheme="majorHAnsi" w:cstheme="majorHAnsi"/>
          <w:color w:val="000000"/>
          <w:sz w:val="22"/>
          <w:szCs w:val="22"/>
        </w:rPr>
        <w:t>CNEL</w:t>
      </w:r>
      <w:r w:rsidRPr="00B24A80">
        <w:rPr>
          <w:rFonts w:asciiTheme="majorHAnsi" w:eastAsia="Calibri" w:hAnsiTheme="majorHAnsi" w:cstheme="majorHAnsi"/>
          <w:color w:val="000000"/>
          <w:sz w:val="22"/>
          <w:szCs w:val="22"/>
        </w:rPr>
        <w:t xml:space="preserve"> </w:t>
      </w:r>
      <w:r w:rsidR="00601122" w:rsidRPr="001B33BB">
        <w:rPr>
          <w:rFonts w:asciiTheme="majorHAnsi" w:eastAsia="Calibri" w:hAnsiTheme="majorHAnsi" w:cstheme="majorHAnsi"/>
          <w:sz w:val="22"/>
          <w:szCs w:val="22"/>
        </w:rPr>
        <w:t xml:space="preserve">para casos </w:t>
      </w:r>
      <w:r w:rsidR="008044D0" w:rsidRPr="001B33BB">
        <w:rPr>
          <w:rFonts w:asciiTheme="majorHAnsi" w:eastAsia="Calibri" w:hAnsiTheme="majorHAnsi" w:cstheme="majorHAnsi"/>
          <w:sz w:val="22"/>
          <w:szCs w:val="22"/>
        </w:rPr>
        <w:t xml:space="preserve">especiales establecidos en </w:t>
      </w:r>
      <w:r w:rsidR="001B33BB" w:rsidRPr="001B33BB">
        <w:rPr>
          <w:rFonts w:asciiTheme="majorHAnsi" w:eastAsia="Calibri" w:hAnsiTheme="majorHAnsi" w:cstheme="majorHAnsi"/>
          <w:sz w:val="22"/>
          <w:szCs w:val="22"/>
        </w:rPr>
        <w:t>la presente Ordenanza.</w:t>
      </w:r>
      <w:r w:rsidR="00A11103" w:rsidRPr="001B33BB">
        <w:rPr>
          <w:rFonts w:asciiTheme="majorHAnsi" w:eastAsia="Calibri" w:hAnsiTheme="majorHAnsi" w:cstheme="majorHAnsi"/>
          <w:sz w:val="22"/>
          <w:szCs w:val="22"/>
        </w:rPr>
        <w:t xml:space="preserve"> </w:t>
      </w:r>
      <w:r w:rsidRPr="001B33BB">
        <w:rPr>
          <w:rFonts w:asciiTheme="majorHAnsi" w:eastAsia="Calibri" w:hAnsiTheme="majorHAnsi" w:cstheme="majorHAnsi"/>
          <w:sz w:val="22"/>
          <w:szCs w:val="22"/>
        </w:rPr>
        <w:t xml:space="preserve">Corporación Nacional de Telecomunicaciones </w:t>
      </w:r>
      <w:r w:rsidRPr="00B24A80">
        <w:rPr>
          <w:rFonts w:asciiTheme="majorHAnsi" w:eastAsia="Calibri" w:hAnsiTheme="majorHAnsi" w:cstheme="majorHAnsi"/>
          <w:color w:val="000000"/>
          <w:sz w:val="22"/>
          <w:szCs w:val="22"/>
        </w:rPr>
        <w:t>y otros Sistemas Alternativos de Comunicación. En el caso de estudios de suelos y est</w:t>
      </w:r>
      <w:r w:rsidR="00E15B8F" w:rsidRPr="00B24A80">
        <w:rPr>
          <w:rFonts w:asciiTheme="majorHAnsi" w:eastAsia="Calibri" w:hAnsiTheme="majorHAnsi" w:cstheme="majorHAnsi"/>
          <w:color w:val="000000"/>
          <w:sz w:val="22"/>
          <w:szCs w:val="22"/>
        </w:rPr>
        <w:t>ructural serán revisados por la Unidad de Control Territorial.</w:t>
      </w:r>
    </w:p>
    <w:p w14:paraId="70E9BB3A" w14:textId="77777777" w:rsidR="00DB523F" w:rsidRDefault="00DB523F" w:rsidP="00DB523F">
      <w:pPr>
        <w:spacing w:after="240" w:line="276" w:lineRule="auto"/>
        <w:ind w:right="42"/>
        <w:rPr>
          <w:rFonts w:asciiTheme="majorHAnsi" w:hAnsiTheme="majorHAnsi" w:cstheme="majorHAnsi"/>
          <w:b/>
          <w:bCs/>
          <w:sz w:val="22"/>
          <w:szCs w:val="22"/>
        </w:rPr>
      </w:pPr>
      <w:r w:rsidRPr="00B24A80">
        <w:rPr>
          <w:rFonts w:asciiTheme="majorHAnsi" w:hAnsiTheme="majorHAnsi" w:cstheme="majorHAnsi"/>
          <w:b/>
          <w:bCs/>
          <w:sz w:val="22"/>
          <w:szCs w:val="22"/>
        </w:rPr>
        <w:t>Contenido mínimo de los proyectos.</w:t>
      </w:r>
    </w:p>
    <w:p w14:paraId="0C541B9B" w14:textId="623CBE79" w:rsidR="00E94DBF" w:rsidRPr="00430037" w:rsidRDefault="00430037" w:rsidP="00DB523F">
      <w:pPr>
        <w:spacing w:after="240" w:line="276" w:lineRule="auto"/>
        <w:ind w:right="42"/>
        <w:rPr>
          <w:rFonts w:asciiTheme="majorHAnsi" w:hAnsiTheme="majorHAnsi" w:cstheme="majorHAnsi"/>
          <w:sz w:val="22"/>
          <w:szCs w:val="22"/>
        </w:rPr>
      </w:pPr>
      <w:r>
        <w:rPr>
          <w:rFonts w:asciiTheme="majorHAnsi" w:hAnsiTheme="majorHAnsi" w:cstheme="majorHAnsi"/>
          <w:sz w:val="22"/>
          <w:szCs w:val="22"/>
        </w:rPr>
        <w:t>Para la presentación de proyectos se deberá tomar en consideración tomar la norma CPE INEN 002: Código de práctica de dibujo para arquitectura y construcción.</w:t>
      </w:r>
    </w:p>
    <w:p w14:paraId="2C29CC3A" w14:textId="28FC44D7" w:rsidR="00DB523F" w:rsidRPr="00B24A80" w:rsidRDefault="00DB523F" w:rsidP="00CA24CF">
      <w:pPr>
        <w:pStyle w:val="Prrafodelista"/>
        <w:numPr>
          <w:ilvl w:val="0"/>
          <w:numId w:val="97"/>
        </w:numPr>
        <w:spacing w:after="240" w:line="276" w:lineRule="auto"/>
        <w:ind w:right="42"/>
        <w:rPr>
          <w:rFonts w:asciiTheme="majorHAnsi" w:eastAsia="Calibri" w:hAnsiTheme="majorHAnsi" w:cstheme="majorHAnsi"/>
          <w:color w:val="000000"/>
          <w:szCs w:val="22"/>
        </w:rPr>
      </w:pPr>
      <w:r w:rsidRPr="00B24A80">
        <w:rPr>
          <w:rFonts w:asciiTheme="majorHAnsi" w:hAnsiTheme="majorHAnsi" w:cstheme="majorHAnsi"/>
          <w:b/>
          <w:bCs/>
          <w:szCs w:val="22"/>
        </w:rPr>
        <w:t xml:space="preserve">Arquitectónicos. - </w:t>
      </w:r>
      <w:r w:rsidRPr="00B24A80">
        <w:rPr>
          <w:rFonts w:asciiTheme="majorHAnsi" w:hAnsiTheme="majorHAnsi" w:cstheme="majorHAnsi"/>
          <w:szCs w:val="22"/>
        </w:rPr>
        <w:t>Para la aprobación de todo proyecto presentado, los requisitos mínimos exigidos serán:</w:t>
      </w:r>
    </w:p>
    <w:p w14:paraId="5A8CA988" w14:textId="14C18555" w:rsidR="00DB523F" w:rsidRPr="00B24A80" w:rsidRDefault="00A62A47" w:rsidP="00CA24CF">
      <w:pPr>
        <w:pStyle w:val="Cuerpodeltexto0"/>
        <w:numPr>
          <w:ilvl w:val="0"/>
          <w:numId w:val="96"/>
        </w:numPr>
        <w:tabs>
          <w:tab w:val="left" w:pos="678"/>
        </w:tabs>
        <w:spacing w:after="0" w:line="266" w:lineRule="auto"/>
        <w:rPr>
          <w:rFonts w:asciiTheme="majorHAnsi" w:hAnsiTheme="majorHAnsi" w:cstheme="majorHAnsi"/>
          <w:sz w:val="22"/>
          <w:szCs w:val="22"/>
        </w:rPr>
      </w:pPr>
      <w:bookmarkStart w:id="214" w:name="bookmark2517"/>
      <w:bookmarkEnd w:id="214"/>
      <w:r w:rsidRPr="00B24A80">
        <w:rPr>
          <w:rFonts w:asciiTheme="majorHAnsi" w:hAnsiTheme="majorHAnsi" w:cstheme="majorHAnsi"/>
          <w:sz w:val="22"/>
          <w:szCs w:val="22"/>
        </w:rPr>
        <w:t>Levantamientos planimétricos</w:t>
      </w:r>
      <w:r w:rsidR="00DB523F" w:rsidRPr="00B24A80">
        <w:rPr>
          <w:rFonts w:asciiTheme="majorHAnsi" w:hAnsiTheme="majorHAnsi" w:cstheme="majorHAnsi"/>
          <w:sz w:val="22"/>
          <w:szCs w:val="22"/>
        </w:rPr>
        <w:t xml:space="preserve"> o topográfico cuando existan cambios sustantivos de nivel.</w:t>
      </w:r>
    </w:p>
    <w:p w14:paraId="6150A5CA" w14:textId="574D2D44" w:rsidR="00DB523F" w:rsidRPr="00B24A80" w:rsidRDefault="00DB523F" w:rsidP="00CA24CF">
      <w:pPr>
        <w:pStyle w:val="Cuerpodeltexto0"/>
        <w:numPr>
          <w:ilvl w:val="0"/>
          <w:numId w:val="96"/>
        </w:numPr>
        <w:tabs>
          <w:tab w:val="left" w:pos="718"/>
        </w:tabs>
        <w:spacing w:after="0" w:line="266" w:lineRule="auto"/>
        <w:rPr>
          <w:rFonts w:asciiTheme="majorHAnsi" w:hAnsiTheme="majorHAnsi" w:cstheme="majorHAnsi"/>
          <w:sz w:val="22"/>
          <w:szCs w:val="22"/>
        </w:rPr>
      </w:pPr>
      <w:bookmarkStart w:id="215" w:name="bookmark2518"/>
      <w:bookmarkEnd w:id="215"/>
      <w:r w:rsidRPr="00B24A80">
        <w:rPr>
          <w:rFonts w:asciiTheme="majorHAnsi" w:hAnsiTheme="majorHAnsi" w:cstheme="majorHAnsi"/>
          <w:sz w:val="22"/>
          <w:szCs w:val="22"/>
        </w:rPr>
        <w:t xml:space="preserve">Cuando el predio límite con quebradas o sea producto del relleno de las mismas, se requerirá el informe de </w:t>
      </w:r>
      <w:r w:rsidR="000541BA" w:rsidRPr="00B24A80">
        <w:rPr>
          <w:rFonts w:asciiTheme="majorHAnsi" w:hAnsiTheme="majorHAnsi" w:cstheme="majorHAnsi"/>
          <w:sz w:val="22"/>
          <w:szCs w:val="22"/>
        </w:rPr>
        <w:t>la Dirección de Ambiente</w:t>
      </w:r>
      <w:r w:rsidRPr="00B24A80">
        <w:rPr>
          <w:rFonts w:asciiTheme="majorHAnsi" w:hAnsiTheme="majorHAnsi" w:cstheme="majorHAnsi"/>
          <w:sz w:val="22"/>
          <w:szCs w:val="22"/>
        </w:rPr>
        <w:t xml:space="preserve"> y del departamento de gestión de riesgos del </w:t>
      </w:r>
      <w:r w:rsidR="006D2464" w:rsidRPr="00B24A80">
        <w:rPr>
          <w:rFonts w:asciiTheme="majorHAnsi" w:hAnsiTheme="majorHAnsi" w:cstheme="majorHAnsi"/>
          <w:sz w:val="22"/>
          <w:szCs w:val="22"/>
        </w:rPr>
        <w:t xml:space="preserve">GADM del </w:t>
      </w:r>
      <w:r w:rsidR="00545E60" w:rsidRPr="00B24A80">
        <w:rPr>
          <w:rFonts w:asciiTheme="majorHAnsi" w:hAnsiTheme="majorHAnsi" w:cstheme="majorHAnsi"/>
          <w:sz w:val="22"/>
          <w:szCs w:val="22"/>
        </w:rPr>
        <w:t>cantón La</w:t>
      </w:r>
      <w:r w:rsidR="006D2464" w:rsidRPr="00B24A80">
        <w:rPr>
          <w:rFonts w:asciiTheme="majorHAnsi" w:hAnsiTheme="majorHAnsi" w:cstheme="majorHAnsi"/>
          <w:sz w:val="22"/>
          <w:szCs w:val="22"/>
        </w:rPr>
        <w:t xml:space="preserve"> Joya de los Sachas.</w:t>
      </w:r>
    </w:p>
    <w:p w14:paraId="6DF518FC" w14:textId="24F5528F" w:rsidR="00DB523F" w:rsidRPr="00B24A80" w:rsidRDefault="00DB523F" w:rsidP="00CA24CF">
      <w:pPr>
        <w:pStyle w:val="Cuerpodeltexto0"/>
        <w:numPr>
          <w:ilvl w:val="0"/>
          <w:numId w:val="96"/>
        </w:numPr>
        <w:tabs>
          <w:tab w:val="left" w:pos="718"/>
        </w:tabs>
        <w:spacing w:after="160" w:line="266" w:lineRule="auto"/>
        <w:rPr>
          <w:rFonts w:asciiTheme="majorHAnsi" w:hAnsiTheme="majorHAnsi" w:cstheme="majorHAnsi"/>
          <w:sz w:val="22"/>
          <w:szCs w:val="22"/>
        </w:rPr>
      </w:pPr>
      <w:bookmarkStart w:id="216" w:name="bookmark2519"/>
      <w:bookmarkEnd w:id="216"/>
      <w:r w:rsidRPr="00B24A80">
        <w:rPr>
          <w:rFonts w:asciiTheme="majorHAnsi" w:hAnsiTheme="majorHAnsi" w:cstheme="majorHAnsi"/>
          <w:sz w:val="22"/>
          <w:szCs w:val="22"/>
        </w:rPr>
        <w:t xml:space="preserve">Plano de ubicación que debe abarcar una zona de 300 m. de radio, con su correcta orientación y nombres de calles, y </w:t>
      </w:r>
      <w:r w:rsidR="00A874EF" w:rsidRPr="00B24A80">
        <w:rPr>
          <w:rFonts w:asciiTheme="majorHAnsi" w:hAnsiTheme="majorHAnsi" w:cstheme="majorHAnsi"/>
          <w:sz w:val="22"/>
          <w:szCs w:val="22"/>
        </w:rPr>
        <w:t>demás referencias relevantes del sector</w:t>
      </w:r>
      <w:r w:rsidRPr="00B24A80">
        <w:rPr>
          <w:rFonts w:asciiTheme="majorHAnsi" w:hAnsiTheme="majorHAnsi" w:cstheme="majorHAnsi"/>
          <w:sz w:val="22"/>
          <w:szCs w:val="22"/>
        </w:rPr>
        <w:t>.</w:t>
      </w:r>
    </w:p>
    <w:p w14:paraId="35EDC3E9" w14:textId="77777777" w:rsidR="00DB523F" w:rsidRPr="00B24A80" w:rsidRDefault="00DB523F" w:rsidP="00CA24CF">
      <w:pPr>
        <w:pStyle w:val="Cuerpodeltexto0"/>
        <w:numPr>
          <w:ilvl w:val="0"/>
          <w:numId w:val="96"/>
        </w:numPr>
        <w:tabs>
          <w:tab w:val="left" w:pos="689"/>
        </w:tabs>
        <w:spacing w:after="160" w:line="262" w:lineRule="auto"/>
        <w:rPr>
          <w:rFonts w:asciiTheme="majorHAnsi" w:hAnsiTheme="majorHAnsi" w:cstheme="majorHAnsi"/>
          <w:sz w:val="22"/>
          <w:szCs w:val="22"/>
        </w:rPr>
      </w:pPr>
      <w:bookmarkStart w:id="217" w:name="bookmark2520"/>
      <w:bookmarkEnd w:id="217"/>
      <w:r w:rsidRPr="00B24A80">
        <w:rPr>
          <w:rFonts w:asciiTheme="majorHAnsi" w:hAnsiTheme="majorHAnsi" w:cstheme="majorHAnsi"/>
          <w:sz w:val="22"/>
          <w:szCs w:val="22"/>
        </w:rPr>
        <w:t>Plano de implantación, en el que se anotará claramente las medidas, ángulos del terreno, retiros, afectaciones y eje vial.</w:t>
      </w:r>
    </w:p>
    <w:p w14:paraId="734079EE" w14:textId="77777777" w:rsidR="00DC2802" w:rsidRPr="00B24A80" w:rsidRDefault="00DB523F" w:rsidP="00CA24CF">
      <w:pPr>
        <w:pStyle w:val="Cuerpodeltexto0"/>
        <w:numPr>
          <w:ilvl w:val="0"/>
          <w:numId w:val="96"/>
        </w:numPr>
        <w:tabs>
          <w:tab w:val="left" w:pos="718"/>
        </w:tabs>
        <w:spacing w:after="160" w:line="271" w:lineRule="auto"/>
        <w:rPr>
          <w:rFonts w:asciiTheme="majorHAnsi" w:hAnsiTheme="majorHAnsi" w:cstheme="majorHAnsi"/>
          <w:sz w:val="22"/>
          <w:szCs w:val="22"/>
        </w:rPr>
      </w:pPr>
      <w:bookmarkStart w:id="218" w:name="bookmark2521"/>
      <w:bookmarkEnd w:id="218"/>
      <w:r w:rsidRPr="00B24A80">
        <w:rPr>
          <w:rFonts w:asciiTheme="majorHAnsi" w:hAnsiTheme="majorHAnsi" w:cstheme="majorHAnsi"/>
          <w:sz w:val="22"/>
          <w:szCs w:val="22"/>
        </w:rPr>
        <w:t>Cuadro de Áreas. Dentro de la primera lámina de los planos arquitectónicos, se elaborará un cuadro de áreas de acue</w:t>
      </w:r>
      <w:r w:rsidR="00DC2802" w:rsidRPr="00B24A80">
        <w:rPr>
          <w:rFonts w:asciiTheme="majorHAnsi" w:hAnsiTheme="majorHAnsi" w:cstheme="majorHAnsi"/>
          <w:sz w:val="22"/>
          <w:szCs w:val="22"/>
        </w:rPr>
        <w:t>rdo al descrito a continuación:</w:t>
      </w:r>
    </w:p>
    <w:p w14:paraId="2C566670" w14:textId="2CABA549" w:rsidR="00DC2802" w:rsidRPr="00C501EC" w:rsidRDefault="00DC2802" w:rsidP="00DC2802">
      <w:pPr>
        <w:pStyle w:val="Cuerpodeltexto0"/>
        <w:numPr>
          <w:ilvl w:val="0"/>
          <w:numId w:val="98"/>
        </w:numPr>
        <w:tabs>
          <w:tab w:val="left" w:pos="718"/>
        </w:tabs>
        <w:spacing w:after="160" w:line="271" w:lineRule="auto"/>
        <w:rPr>
          <w:rFonts w:asciiTheme="majorHAnsi" w:hAnsiTheme="majorHAnsi" w:cstheme="majorHAnsi"/>
          <w:sz w:val="22"/>
          <w:szCs w:val="22"/>
        </w:rPr>
      </w:pPr>
      <w:r w:rsidRPr="00B24A80">
        <w:rPr>
          <w:rFonts w:asciiTheme="majorHAnsi" w:hAnsiTheme="majorHAnsi" w:cstheme="majorHAnsi"/>
          <w:sz w:val="22"/>
          <w:szCs w:val="22"/>
        </w:rPr>
        <w:t>Datos Generales;</w:t>
      </w:r>
      <w:r w:rsidR="00DB523F" w:rsidRPr="00B24A80">
        <w:rPr>
          <w:rFonts w:asciiTheme="majorHAnsi" w:hAnsiTheme="majorHAnsi" w:cstheme="majorHAnsi"/>
          <w:sz w:val="22"/>
          <w:szCs w:val="22"/>
        </w:rPr>
        <w:t xml:space="preserve"> Nombre de Propietario</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Clave Catastral</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No. Predio</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I</w:t>
      </w:r>
      <w:r w:rsidR="00C501EC">
        <w:rPr>
          <w:rFonts w:asciiTheme="majorHAnsi" w:hAnsiTheme="majorHAnsi" w:cstheme="majorHAnsi"/>
          <w:sz w:val="22"/>
          <w:szCs w:val="22"/>
        </w:rPr>
        <w:t>PRUS</w:t>
      </w:r>
      <w:r w:rsidR="00DB523F" w:rsidRPr="00B24A80">
        <w:rPr>
          <w:rFonts w:asciiTheme="majorHAnsi" w:hAnsiTheme="majorHAnsi" w:cstheme="majorHAnsi"/>
          <w:sz w:val="22"/>
          <w:szCs w:val="22"/>
        </w:rPr>
        <w:t>. No. Fecha</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Parroquia</w:t>
      </w:r>
      <w:r w:rsidRPr="00B24A80">
        <w:rPr>
          <w:rFonts w:asciiTheme="majorHAnsi" w:hAnsiTheme="majorHAnsi" w:cstheme="majorHAnsi"/>
          <w:sz w:val="22"/>
          <w:szCs w:val="22"/>
        </w:rPr>
        <w:t xml:space="preserve">; </w:t>
      </w:r>
      <w:r w:rsidR="00DB523F" w:rsidRPr="00B24A80">
        <w:rPr>
          <w:rFonts w:asciiTheme="majorHAnsi" w:hAnsiTheme="majorHAnsi" w:cstheme="majorHAnsi"/>
          <w:sz w:val="22"/>
          <w:szCs w:val="22"/>
        </w:rPr>
        <w:t>Calle</w:t>
      </w:r>
      <w:r w:rsidRPr="00B24A80">
        <w:rPr>
          <w:rFonts w:asciiTheme="majorHAnsi" w:hAnsiTheme="majorHAnsi" w:cstheme="majorHAnsi"/>
          <w:sz w:val="22"/>
          <w:szCs w:val="22"/>
        </w:rPr>
        <w:t>; Área del Terreno;</w:t>
      </w:r>
      <w:r w:rsidR="00DB523F" w:rsidRPr="00B24A80">
        <w:rPr>
          <w:rFonts w:asciiTheme="majorHAnsi" w:hAnsiTheme="majorHAnsi" w:cstheme="majorHAnsi"/>
          <w:sz w:val="22"/>
          <w:szCs w:val="22"/>
        </w:rPr>
        <w:t xml:space="preserve"> COS-PB</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Cos-Total</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Uso Principal</w:t>
      </w:r>
      <w:r w:rsidRPr="00B24A80">
        <w:rPr>
          <w:rFonts w:asciiTheme="majorHAnsi" w:hAnsiTheme="majorHAnsi" w:cstheme="majorHAnsi"/>
          <w:sz w:val="22"/>
          <w:szCs w:val="22"/>
        </w:rPr>
        <w:t>;</w:t>
      </w:r>
      <w:r w:rsidR="00DB523F" w:rsidRPr="00B24A80">
        <w:rPr>
          <w:rFonts w:asciiTheme="majorHAnsi" w:hAnsiTheme="majorHAnsi" w:cstheme="majorHAnsi"/>
          <w:sz w:val="22"/>
          <w:szCs w:val="22"/>
        </w:rPr>
        <w:t xml:space="preserve"> Datos de la Edificación</w:t>
      </w:r>
      <w:r w:rsidRPr="00B24A80">
        <w:rPr>
          <w:rFonts w:asciiTheme="majorHAnsi" w:hAnsiTheme="majorHAnsi" w:cstheme="majorHAnsi"/>
          <w:sz w:val="22"/>
          <w:szCs w:val="22"/>
        </w:rPr>
        <w:t xml:space="preserve">; </w:t>
      </w:r>
      <w:r w:rsidR="00D90CF6" w:rsidRPr="00A93641">
        <w:rPr>
          <w:rFonts w:asciiTheme="majorHAnsi" w:hAnsiTheme="majorHAnsi" w:cstheme="majorHAnsi"/>
          <w:color w:val="auto"/>
          <w:sz w:val="22"/>
          <w:szCs w:val="22"/>
        </w:rPr>
        <w:t xml:space="preserve">Cuadro de áreas </w:t>
      </w:r>
    </w:p>
    <w:p w14:paraId="4954110A" w14:textId="6A1755D3" w:rsidR="00DC2802" w:rsidRPr="00B24A80" w:rsidRDefault="00DC2802" w:rsidP="00CA24CF">
      <w:pPr>
        <w:pStyle w:val="Prrafodelista"/>
        <w:numPr>
          <w:ilvl w:val="0"/>
          <w:numId w:val="99"/>
        </w:numPr>
        <w:spacing w:line="276" w:lineRule="auto"/>
        <w:rPr>
          <w:rFonts w:asciiTheme="majorHAnsi" w:hAnsiTheme="majorHAnsi" w:cstheme="majorHAnsi"/>
          <w:szCs w:val="22"/>
        </w:rPr>
      </w:pPr>
      <w:r w:rsidRPr="00B24A80">
        <w:rPr>
          <w:rFonts w:asciiTheme="majorHAnsi" w:hAnsiTheme="majorHAnsi" w:cstheme="majorHAnsi"/>
          <w:szCs w:val="22"/>
        </w:rPr>
        <w:lastRenderedPageBreak/>
        <w:t>Plantas: Deberán ser dimensionadas al exterior, haciendo constar las</w:t>
      </w:r>
      <w:r w:rsidR="009B6280" w:rsidRPr="00B24A80">
        <w:rPr>
          <w:rFonts w:asciiTheme="majorHAnsi" w:hAnsiTheme="majorHAnsi" w:cstheme="majorHAnsi"/>
          <w:szCs w:val="22"/>
        </w:rPr>
        <w:t xml:space="preserve"> medidas parciales y totales de </w:t>
      </w:r>
      <w:r w:rsidRPr="00B24A80">
        <w:rPr>
          <w:rFonts w:asciiTheme="majorHAnsi" w:hAnsiTheme="majorHAnsi" w:cstheme="majorHAnsi"/>
          <w:szCs w:val="22"/>
        </w:rPr>
        <w:t xml:space="preserve">los locales, espesores de muros, apertura de ventanas y puertas, ejes, etc. Se </w:t>
      </w:r>
      <w:r w:rsidR="0053680A" w:rsidRPr="00B24A80">
        <w:rPr>
          <w:rFonts w:asciiTheme="majorHAnsi" w:hAnsiTheme="majorHAnsi" w:cstheme="majorHAnsi"/>
          <w:szCs w:val="22"/>
        </w:rPr>
        <w:t>t</w:t>
      </w:r>
      <w:r w:rsidRPr="00B24A80">
        <w:rPr>
          <w:rFonts w:asciiTheme="majorHAnsi" w:hAnsiTheme="majorHAnsi" w:cstheme="majorHAnsi"/>
          <w:szCs w:val="22"/>
        </w:rPr>
        <w:t>omará como cota de referencia la del nivel de la acera.</w:t>
      </w:r>
    </w:p>
    <w:p w14:paraId="31F64DC8" w14:textId="77777777" w:rsidR="009B6280" w:rsidRPr="00B24A80" w:rsidRDefault="009B6280" w:rsidP="009B6280">
      <w:pPr>
        <w:pStyle w:val="Prrafodelista"/>
        <w:rPr>
          <w:rFonts w:asciiTheme="majorHAnsi" w:hAnsiTheme="majorHAnsi" w:cstheme="majorHAnsi"/>
          <w:szCs w:val="22"/>
        </w:rPr>
      </w:pPr>
    </w:p>
    <w:p w14:paraId="391E8952" w14:textId="216651FD" w:rsidR="00DC2802" w:rsidRPr="00B24A80" w:rsidRDefault="00DC2802" w:rsidP="0053680A">
      <w:pPr>
        <w:spacing w:line="276" w:lineRule="auto"/>
        <w:rPr>
          <w:rFonts w:asciiTheme="majorHAnsi" w:hAnsiTheme="majorHAnsi" w:cstheme="majorHAnsi"/>
          <w:sz w:val="22"/>
          <w:szCs w:val="22"/>
        </w:rPr>
      </w:pPr>
      <w:r w:rsidRPr="00B24A80">
        <w:rPr>
          <w:rFonts w:asciiTheme="majorHAnsi" w:hAnsiTheme="majorHAnsi" w:cstheme="majorHAnsi"/>
          <w:sz w:val="22"/>
          <w:szCs w:val="22"/>
        </w:rPr>
        <w:t xml:space="preserve">Estos planos deberán llevar la firma original de responsabilidad técnica de un Arquitecto, y </w:t>
      </w:r>
      <w:r w:rsidR="009B6280" w:rsidRPr="00B24A80">
        <w:rPr>
          <w:rFonts w:asciiTheme="majorHAnsi" w:hAnsiTheme="majorHAnsi" w:cstheme="majorHAnsi"/>
          <w:sz w:val="22"/>
          <w:szCs w:val="22"/>
        </w:rPr>
        <w:t>d</w:t>
      </w:r>
      <w:r w:rsidRPr="00B24A80">
        <w:rPr>
          <w:rFonts w:asciiTheme="majorHAnsi" w:hAnsiTheme="majorHAnsi" w:cstheme="majorHAnsi"/>
          <w:sz w:val="22"/>
          <w:szCs w:val="22"/>
        </w:rPr>
        <w:t>eberán realizarse obligatoriamente para todo tipo de Edificación a excepción de las consideradas como obras menores de conformidad a la presente ordenanza debiendo contener básicamente lo siguiente:</w:t>
      </w:r>
    </w:p>
    <w:p w14:paraId="6D6409EF" w14:textId="77777777" w:rsidR="009B6280" w:rsidRPr="00B24A80" w:rsidRDefault="009B6280" w:rsidP="009B6280">
      <w:pPr>
        <w:rPr>
          <w:rFonts w:asciiTheme="majorHAnsi" w:hAnsiTheme="majorHAnsi" w:cstheme="majorHAnsi"/>
          <w:sz w:val="22"/>
          <w:szCs w:val="22"/>
        </w:rPr>
      </w:pPr>
    </w:p>
    <w:p w14:paraId="6386F3B7" w14:textId="77777777"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Ubicación de lote.</w:t>
      </w:r>
    </w:p>
    <w:p w14:paraId="4B40A705" w14:textId="77777777"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Implantación general de las áreas de construcción indicando los retiros.</w:t>
      </w:r>
    </w:p>
    <w:p w14:paraId="0A54481B" w14:textId="77777777"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Plantas generales de distribución de cada uno de los pisos.</w:t>
      </w:r>
    </w:p>
    <w:p w14:paraId="5E5EECC1" w14:textId="0E392B6E"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Corte longitudinal y transversal con indicación del sistema de circulación vertical.</w:t>
      </w:r>
    </w:p>
    <w:p w14:paraId="7AAD83BF" w14:textId="77777777"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Plantas de instalaciones de AA.SS., AA.LL, y AA.PP.</w:t>
      </w:r>
    </w:p>
    <w:p w14:paraId="31543025" w14:textId="7674CFD7" w:rsidR="009B6280"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Plantas de instalaciones eléctrica</w:t>
      </w:r>
      <w:r w:rsidR="009B6280" w:rsidRPr="00B24A80">
        <w:rPr>
          <w:rFonts w:asciiTheme="majorHAnsi" w:hAnsiTheme="majorHAnsi" w:cstheme="majorHAnsi"/>
          <w:szCs w:val="22"/>
        </w:rPr>
        <w:t xml:space="preserve">s, telefónicas y climatización </w:t>
      </w:r>
    </w:p>
    <w:p w14:paraId="6DA43C35" w14:textId="6BCBA136" w:rsidR="00DC2802" w:rsidRPr="00B24A80" w:rsidRDefault="009B6280"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Fachadas.</w:t>
      </w:r>
    </w:p>
    <w:p w14:paraId="577A7233" w14:textId="77777777" w:rsidR="009B6280" w:rsidRPr="00B24A80" w:rsidRDefault="009B6280"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E</w:t>
      </w:r>
      <w:r w:rsidR="00DC2802" w:rsidRPr="00B24A80">
        <w:rPr>
          <w:rFonts w:asciiTheme="majorHAnsi" w:hAnsiTheme="majorHAnsi" w:cstheme="majorHAnsi"/>
          <w:szCs w:val="22"/>
        </w:rPr>
        <w:t xml:space="preserve">levaciones </w:t>
      </w:r>
      <w:r w:rsidRPr="00B24A80">
        <w:rPr>
          <w:rFonts w:asciiTheme="majorHAnsi" w:hAnsiTheme="majorHAnsi" w:cstheme="majorHAnsi"/>
          <w:szCs w:val="22"/>
        </w:rPr>
        <w:t>principales de la edificación.</w:t>
      </w:r>
    </w:p>
    <w:p w14:paraId="50A6A6FA" w14:textId="03F7E0DF"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Planta y detalles de cubierta.</w:t>
      </w:r>
    </w:p>
    <w:p w14:paraId="2460AA0D" w14:textId="77777777"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Cuadro de Especificaciones Técnicas y Simbologías.</w:t>
      </w:r>
    </w:p>
    <w:p w14:paraId="2B687769" w14:textId="77777777"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Tarjeta de datos con espacio para sellos municipales.</w:t>
      </w:r>
    </w:p>
    <w:p w14:paraId="21D08D1A" w14:textId="575ACB80" w:rsidR="00DC2802" w:rsidRPr="00B24A80" w:rsidRDefault="00DC2802" w:rsidP="00CA24CF">
      <w:pPr>
        <w:pStyle w:val="Prrafodelista"/>
        <w:numPr>
          <w:ilvl w:val="0"/>
          <w:numId w:val="100"/>
        </w:numPr>
        <w:spacing w:line="276" w:lineRule="auto"/>
        <w:rPr>
          <w:rFonts w:asciiTheme="majorHAnsi" w:hAnsiTheme="majorHAnsi" w:cstheme="majorHAnsi"/>
          <w:szCs w:val="22"/>
        </w:rPr>
      </w:pPr>
      <w:r w:rsidRPr="00B24A80">
        <w:rPr>
          <w:rFonts w:asciiTheme="majorHAnsi" w:hAnsiTheme="majorHAnsi" w:cstheme="majorHAnsi"/>
          <w:szCs w:val="22"/>
        </w:rPr>
        <w:t>Memoria Técnica sobre el tratamiento de aguas residuales, si está en zonas que no tienen alcantarillado de aguas servidas.</w:t>
      </w:r>
    </w:p>
    <w:p w14:paraId="513DD653" w14:textId="13E2B0BF" w:rsidR="0002241F" w:rsidRPr="00B24A80" w:rsidRDefault="0002241F" w:rsidP="0002241F">
      <w:pPr>
        <w:rPr>
          <w:rFonts w:asciiTheme="majorHAnsi" w:hAnsiTheme="majorHAnsi" w:cstheme="majorHAnsi"/>
          <w:sz w:val="22"/>
          <w:szCs w:val="22"/>
        </w:rPr>
      </w:pPr>
    </w:p>
    <w:p w14:paraId="7CC75E3A" w14:textId="57A114B6" w:rsidR="0002241F" w:rsidRPr="00B24A80" w:rsidRDefault="0002241F" w:rsidP="00CA24CF">
      <w:pPr>
        <w:pStyle w:val="Cuerpodeltexto0"/>
        <w:numPr>
          <w:ilvl w:val="0"/>
          <w:numId w:val="97"/>
        </w:numPr>
        <w:spacing w:after="220" w:line="276" w:lineRule="auto"/>
        <w:rPr>
          <w:rFonts w:asciiTheme="majorHAnsi" w:hAnsiTheme="majorHAnsi" w:cstheme="majorHAnsi"/>
          <w:sz w:val="22"/>
          <w:szCs w:val="22"/>
        </w:rPr>
      </w:pPr>
      <w:r w:rsidRPr="00B24A80">
        <w:rPr>
          <w:rFonts w:asciiTheme="majorHAnsi" w:hAnsiTheme="majorHAnsi" w:cstheme="majorHAnsi"/>
          <w:b/>
          <w:bCs/>
          <w:sz w:val="22"/>
          <w:szCs w:val="22"/>
        </w:rPr>
        <w:t xml:space="preserve">Planos estructurales. – </w:t>
      </w:r>
      <w:r w:rsidR="00163545" w:rsidRPr="00B24A80">
        <w:rPr>
          <w:rFonts w:asciiTheme="majorHAnsi" w:hAnsiTheme="majorHAnsi" w:cstheme="majorHAnsi"/>
          <w:bCs/>
          <w:sz w:val="22"/>
          <w:szCs w:val="22"/>
        </w:rPr>
        <w:t>En el caso del proyecto que se requiere</w:t>
      </w:r>
      <w:r w:rsidR="00163545" w:rsidRPr="00B24A80">
        <w:rPr>
          <w:rFonts w:asciiTheme="majorHAnsi" w:hAnsiTheme="majorHAnsi" w:cstheme="majorHAnsi"/>
          <w:b/>
          <w:bCs/>
          <w:sz w:val="22"/>
          <w:szCs w:val="22"/>
        </w:rPr>
        <w:t xml:space="preserve"> </w:t>
      </w:r>
      <w:r w:rsidR="00163545" w:rsidRPr="00B24A80">
        <w:rPr>
          <w:rFonts w:asciiTheme="majorHAnsi" w:hAnsiTheme="majorHAnsi" w:cstheme="majorHAnsi"/>
          <w:sz w:val="22"/>
          <w:szCs w:val="22"/>
        </w:rPr>
        <w:t>e</w:t>
      </w:r>
      <w:r w:rsidRPr="00B24A80">
        <w:rPr>
          <w:rFonts w:asciiTheme="majorHAnsi" w:hAnsiTheme="majorHAnsi" w:cstheme="majorHAnsi"/>
          <w:sz w:val="22"/>
          <w:szCs w:val="22"/>
        </w:rPr>
        <w:t>stos planos deberán llevar la firma original de Responsabilidad Técnica de un Ingeniero Civil o a fin con experiencia en calculo estructural de conformidad a lo que establece la Ley, y deberán realizarse obligatoriamente para todas las edificaciones, para los galpones de uso comercial e industrial y otros usos en estructura metálica y hormigón armado, debiendo contener básicamente lo siguiente:</w:t>
      </w:r>
    </w:p>
    <w:p w14:paraId="0776C4EB" w14:textId="5CC71EED" w:rsidR="0002241F"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19" w:name="bookmark2528"/>
      <w:bookmarkEnd w:id="219"/>
      <w:r w:rsidRPr="00B24A80">
        <w:rPr>
          <w:rFonts w:asciiTheme="majorHAnsi" w:hAnsiTheme="majorHAnsi" w:cstheme="majorHAnsi"/>
          <w:sz w:val="22"/>
          <w:szCs w:val="22"/>
        </w:rPr>
        <w:t>Planta de cimentación</w:t>
      </w:r>
      <w:r w:rsidR="0053680A" w:rsidRPr="00B24A80">
        <w:rPr>
          <w:rFonts w:asciiTheme="majorHAnsi" w:hAnsiTheme="majorHAnsi" w:cstheme="majorHAnsi"/>
          <w:sz w:val="22"/>
          <w:szCs w:val="22"/>
        </w:rPr>
        <w:t>.</w:t>
      </w:r>
    </w:p>
    <w:p w14:paraId="6F1441EE" w14:textId="77777777" w:rsidR="00163545"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0" w:name="bookmark2529"/>
      <w:bookmarkEnd w:id="220"/>
      <w:r w:rsidRPr="00B24A80">
        <w:rPr>
          <w:rFonts w:asciiTheme="majorHAnsi" w:hAnsiTheme="majorHAnsi" w:cstheme="majorHAnsi"/>
          <w:sz w:val="22"/>
          <w:szCs w:val="22"/>
        </w:rPr>
        <w:t>Cortes de cimentación.</w:t>
      </w:r>
      <w:bookmarkStart w:id="221" w:name="bookmark2530"/>
      <w:bookmarkEnd w:id="221"/>
    </w:p>
    <w:p w14:paraId="60EEA95D" w14:textId="6F42A8B2" w:rsidR="0002241F" w:rsidRPr="00B24A80" w:rsidRDefault="00163545" w:rsidP="00CA24CF">
      <w:pPr>
        <w:pStyle w:val="Cuerpodeltexto0"/>
        <w:numPr>
          <w:ilvl w:val="0"/>
          <w:numId w:val="101"/>
        </w:numPr>
        <w:tabs>
          <w:tab w:val="left" w:pos="1054"/>
        </w:tabs>
        <w:spacing w:after="0" w:line="276" w:lineRule="auto"/>
        <w:rPr>
          <w:rFonts w:asciiTheme="majorHAnsi" w:hAnsiTheme="majorHAnsi" w:cstheme="majorHAnsi"/>
          <w:sz w:val="22"/>
          <w:szCs w:val="22"/>
        </w:rPr>
      </w:pPr>
      <w:r w:rsidRPr="00B24A80">
        <w:rPr>
          <w:rFonts w:asciiTheme="majorHAnsi" w:hAnsiTheme="majorHAnsi" w:cstheme="majorHAnsi"/>
          <w:sz w:val="22"/>
          <w:szCs w:val="22"/>
        </w:rPr>
        <w:t xml:space="preserve">Diseño </w:t>
      </w:r>
      <w:r w:rsidR="0002241F" w:rsidRPr="00B24A80">
        <w:rPr>
          <w:rFonts w:asciiTheme="majorHAnsi" w:hAnsiTheme="majorHAnsi" w:cstheme="majorHAnsi"/>
          <w:sz w:val="22"/>
          <w:szCs w:val="22"/>
        </w:rPr>
        <w:t>de columnas y pórticos principales.</w:t>
      </w:r>
    </w:p>
    <w:p w14:paraId="3EE43239" w14:textId="77777777" w:rsidR="0002241F"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2" w:name="bookmark2531"/>
      <w:bookmarkEnd w:id="222"/>
      <w:r w:rsidRPr="00B24A80">
        <w:rPr>
          <w:rFonts w:asciiTheme="majorHAnsi" w:hAnsiTheme="majorHAnsi" w:cstheme="majorHAnsi"/>
          <w:sz w:val="22"/>
          <w:szCs w:val="22"/>
        </w:rPr>
        <w:t>Planta de losas de entrepisos.</w:t>
      </w:r>
    </w:p>
    <w:p w14:paraId="53677B97" w14:textId="77777777" w:rsidR="0002241F"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3" w:name="bookmark2532"/>
      <w:bookmarkEnd w:id="223"/>
      <w:r w:rsidRPr="00B24A80">
        <w:rPr>
          <w:rFonts w:asciiTheme="majorHAnsi" w:hAnsiTheme="majorHAnsi" w:cstheme="majorHAnsi"/>
          <w:sz w:val="22"/>
          <w:szCs w:val="22"/>
        </w:rPr>
        <w:t>Diseño de cubierta.</w:t>
      </w:r>
    </w:p>
    <w:p w14:paraId="43FD2340" w14:textId="77777777" w:rsidR="0002241F"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4" w:name="bookmark2533"/>
      <w:bookmarkEnd w:id="224"/>
      <w:r w:rsidRPr="00B24A80">
        <w:rPr>
          <w:rFonts w:asciiTheme="majorHAnsi" w:hAnsiTheme="majorHAnsi" w:cstheme="majorHAnsi"/>
          <w:sz w:val="22"/>
          <w:szCs w:val="22"/>
        </w:rPr>
        <w:t>Diseño de escaleras y otros elementos necesarios.</w:t>
      </w:r>
    </w:p>
    <w:p w14:paraId="613E2E75" w14:textId="77777777" w:rsidR="0002241F"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5" w:name="bookmark2534"/>
      <w:bookmarkEnd w:id="225"/>
      <w:r w:rsidRPr="00B24A80">
        <w:rPr>
          <w:rFonts w:asciiTheme="majorHAnsi" w:hAnsiTheme="majorHAnsi" w:cstheme="majorHAnsi"/>
          <w:sz w:val="22"/>
          <w:szCs w:val="22"/>
        </w:rPr>
        <w:t>Planillas de hierros y resumen de materiales.</w:t>
      </w:r>
    </w:p>
    <w:p w14:paraId="29892109" w14:textId="77777777" w:rsidR="0002241F"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6" w:name="bookmark2535"/>
      <w:bookmarkEnd w:id="226"/>
      <w:r w:rsidRPr="00B24A80">
        <w:rPr>
          <w:rFonts w:asciiTheme="majorHAnsi" w:hAnsiTheme="majorHAnsi" w:cstheme="majorHAnsi"/>
          <w:sz w:val="22"/>
          <w:szCs w:val="22"/>
        </w:rPr>
        <w:t>Especificaciones Técnicas y Simbologías.</w:t>
      </w:r>
    </w:p>
    <w:p w14:paraId="4E8FF6F9" w14:textId="77777777" w:rsidR="00ED3469" w:rsidRPr="00B24A80" w:rsidRDefault="0002241F" w:rsidP="00CA24CF">
      <w:pPr>
        <w:pStyle w:val="Cuerpodeltexto0"/>
        <w:numPr>
          <w:ilvl w:val="0"/>
          <w:numId w:val="101"/>
        </w:numPr>
        <w:tabs>
          <w:tab w:val="left" w:pos="1054"/>
        </w:tabs>
        <w:spacing w:after="0" w:line="276" w:lineRule="auto"/>
        <w:rPr>
          <w:rFonts w:asciiTheme="majorHAnsi" w:hAnsiTheme="majorHAnsi" w:cstheme="majorHAnsi"/>
          <w:sz w:val="22"/>
          <w:szCs w:val="22"/>
        </w:rPr>
      </w:pPr>
      <w:bookmarkStart w:id="227" w:name="bookmark2536"/>
      <w:bookmarkEnd w:id="227"/>
      <w:r w:rsidRPr="00B24A80">
        <w:rPr>
          <w:rFonts w:asciiTheme="majorHAnsi" w:hAnsiTheme="majorHAnsi" w:cstheme="majorHAnsi"/>
          <w:sz w:val="22"/>
          <w:szCs w:val="22"/>
        </w:rPr>
        <w:t>Tarjetas de datos con espacio para sellos municipales.</w:t>
      </w:r>
      <w:bookmarkStart w:id="228" w:name="bookmark2537"/>
      <w:bookmarkEnd w:id="228"/>
    </w:p>
    <w:p w14:paraId="05BE5643" w14:textId="14ED29E8" w:rsidR="00DB523F" w:rsidRPr="00A93641" w:rsidRDefault="0002241F" w:rsidP="00CA24CF">
      <w:pPr>
        <w:pStyle w:val="Cuerpodeltexto0"/>
        <w:numPr>
          <w:ilvl w:val="0"/>
          <w:numId w:val="101"/>
        </w:numPr>
        <w:tabs>
          <w:tab w:val="left" w:pos="1054"/>
        </w:tabs>
        <w:spacing w:after="0" w:line="276" w:lineRule="auto"/>
        <w:rPr>
          <w:rFonts w:asciiTheme="majorHAnsi" w:hAnsiTheme="majorHAnsi" w:cstheme="majorHAnsi"/>
          <w:color w:val="auto"/>
          <w:sz w:val="22"/>
          <w:szCs w:val="22"/>
        </w:rPr>
      </w:pPr>
      <w:r w:rsidRPr="00B24A80">
        <w:rPr>
          <w:rFonts w:asciiTheme="majorHAnsi" w:hAnsiTheme="majorHAnsi" w:cstheme="majorHAnsi"/>
          <w:sz w:val="22"/>
          <w:szCs w:val="22"/>
        </w:rPr>
        <w:t xml:space="preserve">Estudios geotécnicos, para edificaciones mayor a </w:t>
      </w:r>
      <w:r w:rsidR="00163545" w:rsidRPr="00B24A80">
        <w:rPr>
          <w:rFonts w:asciiTheme="majorHAnsi" w:hAnsiTheme="majorHAnsi" w:cstheme="majorHAnsi"/>
          <w:sz w:val="22"/>
          <w:szCs w:val="22"/>
        </w:rPr>
        <w:t>dos</w:t>
      </w:r>
      <w:r w:rsidRPr="00B24A80">
        <w:rPr>
          <w:rFonts w:asciiTheme="majorHAnsi" w:hAnsiTheme="majorHAnsi" w:cstheme="majorHAnsi"/>
          <w:sz w:val="22"/>
          <w:szCs w:val="22"/>
        </w:rPr>
        <w:t xml:space="preserve"> pisos</w:t>
      </w:r>
      <w:r w:rsidR="00E004C2">
        <w:rPr>
          <w:rFonts w:asciiTheme="majorHAnsi" w:hAnsiTheme="majorHAnsi" w:cstheme="majorHAnsi"/>
          <w:sz w:val="22"/>
          <w:szCs w:val="22"/>
        </w:rPr>
        <w:t xml:space="preserve"> </w:t>
      </w:r>
      <w:r w:rsidR="00E004C2" w:rsidRPr="00A93641">
        <w:rPr>
          <w:rFonts w:asciiTheme="majorHAnsi" w:eastAsia="Calibri" w:hAnsiTheme="majorHAnsi" w:cstheme="majorHAnsi"/>
          <w:color w:val="auto"/>
          <w:sz w:val="22"/>
          <w:szCs w:val="22"/>
        </w:rPr>
        <w:t>considera</w:t>
      </w:r>
      <w:r w:rsidR="00FC331D" w:rsidRPr="00A93641">
        <w:rPr>
          <w:rFonts w:asciiTheme="majorHAnsi" w:eastAsia="Calibri" w:hAnsiTheme="majorHAnsi" w:cstheme="majorHAnsi"/>
          <w:color w:val="auto"/>
          <w:sz w:val="22"/>
          <w:szCs w:val="22"/>
        </w:rPr>
        <w:t>n</w:t>
      </w:r>
      <w:r w:rsidR="00E004C2" w:rsidRPr="00A93641">
        <w:rPr>
          <w:rFonts w:asciiTheme="majorHAnsi" w:eastAsia="Calibri" w:hAnsiTheme="majorHAnsi" w:cstheme="majorHAnsi"/>
          <w:color w:val="auto"/>
          <w:sz w:val="22"/>
          <w:szCs w:val="22"/>
        </w:rPr>
        <w:t>do el tipo y el uso de edificación</w:t>
      </w:r>
      <w:r w:rsidR="00FD257E" w:rsidRPr="00A93641">
        <w:rPr>
          <w:rFonts w:asciiTheme="majorHAnsi" w:eastAsia="Calibri" w:hAnsiTheme="majorHAnsi" w:cstheme="majorHAnsi"/>
          <w:color w:val="auto"/>
          <w:sz w:val="22"/>
          <w:szCs w:val="22"/>
        </w:rPr>
        <w:t>.</w:t>
      </w:r>
    </w:p>
    <w:p w14:paraId="311F3E19" w14:textId="77777777" w:rsidR="00DB523F" w:rsidRPr="00A93641" w:rsidRDefault="00DB523F">
      <w:pPr>
        <w:spacing w:after="240" w:line="276" w:lineRule="auto"/>
        <w:ind w:right="42"/>
        <w:rPr>
          <w:rFonts w:asciiTheme="majorHAnsi" w:eastAsia="Calibri" w:hAnsiTheme="majorHAnsi" w:cstheme="majorHAnsi"/>
          <w:sz w:val="22"/>
          <w:szCs w:val="22"/>
        </w:rPr>
      </w:pPr>
    </w:p>
    <w:p w14:paraId="457E1177" w14:textId="3D21F18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A93641">
        <w:rPr>
          <w:rFonts w:asciiTheme="majorHAnsi" w:eastAsia="Calibri" w:hAnsiTheme="majorHAnsi" w:cstheme="majorHAnsi"/>
          <w:szCs w:val="22"/>
        </w:rPr>
        <w:lastRenderedPageBreak/>
        <w:t xml:space="preserve">La </w:t>
      </w:r>
      <w:r w:rsidR="00D01697" w:rsidRPr="00A93641">
        <w:rPr>
          <w:rFonts w:asciiTheme="majorHAnsi" w:eastAsia="Calibri" w:hAnsiTheme="majorHAnsi" w:cstheme="majorHAnsi"/>
          <w:szCs w:val="22"/>
        </w:rPr>
        <w:t xml:space="preserve">Dirección de Gestión </w:t>
      </w:r>
      <w:r w:rsidR="00545E60" w:rsidRPr="00A93641">
        <w:rPr>
          <w:rFonts w:asciiTheme="majorHAnsi" w:eastAsia="Calibri" w:hAnsiTheme="majorHAnsi" w:cstheme="majorHAnsi"/>
          <w:szCs w:val="22"/>
        </w:rPr>
        <w:t xml:space="preserve">de </w:t>
      </w:r>
      <w:r w:rsidR="00D01697" w:rsidRPr="00A93641">
        <w:rPr>
          <w:rFonts w:asciiTheme="majorHAnsi" w:eastAsia="Calibri" w:hAnsiTheme="majorHAnsi" w:cstheme="majorHAnsi"/>
          <w:szCs w:val="22"/>
        </w:rPr>
        <w:t>Planificación</w:t>
      </w:r>
      <w:r w:rsidRPr="00A93641">
        <w:rPr>
          <w:rFonts w:asciiTheme="majorHAnsi" w:eastAsia="Calibri" w:hAnsiTheme="majorHAnsi" w:cstheme="majorHAnsi"/>
          <w:szCs w:val="22"/>
        </w:rPr>
        <w:t xml:space="preserve"> analizará los proyectos con la finalidad de verificar que cumplan los requisitos establecidos en est</w:t>
      </w:r>
      <w:r w:rsidR="001024EB" w:rsidRPr="00A93641">
        <w:rPr>
          <w:rFonts w:asciiTheme="majorHAnsi" w:eastAsia="Calibri" w:hAnsiTheme="majorHAnsi" w:cstheme="majorHAnsi"/>
          <w:szCs w:val="22"/>
        </w:rPr>
        <w:t>a</w:t>
      </w:r>
      <w:r w:rsidRPr="00A93641">
        <w:rPr>
          <w:rFonts w:asciiTheme="majorHAnsi" w:eastAsia="Calibri" w:hAnsiTheme="majorHAnsi" w:cstheme="majorHAnsi"/>
          <w:szCs w:val="22"/>
        </w:rPr>
        <w:t xml:space="preserve"> Ordenanza, de ser así, los declarará aprobados y, previo al sellado respectivo el solicitante cancelará</w:t>
      </w:r>
      <w:r w:rsidR="0002418D" w:rsidRPr="00A93641">
        <w:rPr>
          <w:rFonts w:asciiTheme="majorHAnsi" w:eastAsia="Calibri" w:hAnsiTheme="majorHAnsi" w:cstheme="majorHAnsi"/>
          <w:szCs w:val="22"/>
        </w:rPr>
        <w:t xml:space="preserve"> el valor correspondiente a la aprobación de planos establecido en la ordenanza respectiva</w:t>
      </w:r>
      <w:r w:rsidR="005735FB" w:rsidRPr="00A93641">
        <w:rPr>
          <w:rFonts w:asciiTheme="majorHAnsi" w:eastAsia="Calibri" w:hAnsiTheme="majorHAnsi" w:cstheme="majorHAnsi"/>
          <w:szCs w:val="22"/>
        </w:rPr>
        <w:t>.</w:t>
      </w:r>
    </w:p>
    <w:p w14:paraId="2B8A37C1" w14:textId="77777777" w:rsidR="00545E60" w:rsidRPr="00B24A80" w:rsidRDefault="00545E60" w:rsidP="00545E6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070DCBF" w14:textId="29539E4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En caso de que los planos no cumplieren los requisitos exigidos y especificaciones de esta Ordenanza y las Normas de Arquitectura, se hará constar en el informe las omisiones, deficiencias o defectos técnicos, y recomendaciones, y se devolverá el trámite al interesado previa suscripción del recibo para su rectificación o complementación.</w:t>
      </w:r>
    </w:p>
    <w:p w14:paraId="610DDA22" w14:textId="77777777" w:rsidR="00545E60" w:rsidRPr="00B24A80" w:rsidRDefault="00545E60" w:rsidP="00545E60">
      <w:pPr>
        <w:pStyle w:val="Prrafodelista"/>
        <w:rPr>
          <w:rFonts w:asciiTheme="majorHAnsi" w:eastAsia="Calibri" w:hAnsiTheme="majorHAnsi" w:cstheme="majorHAnsi"/>
          <w:color w:val="000000"/>
          <w:szCs w:val="22"/>
        </w:rPr>
      </w:pPr>
    </w:p>
    <w:p w14:paraId="07EC20B4" w14:textId="77777777" w:rsidR="00545E60" w:rsidRPr="00B24A80" w:rsidRDefault="00545E60" w:rsidP="00545E6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4D14F0C" w14:textId="029695B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Plazo de aprobación. -</w:t>
      </w:r>
      <w:r w:rsidRPr="00B24A80">
        <w:rPr>
          <w:rFonts w:asciiTheme="majorHAnsi" w:eastAsia="Calibri" w:hAnsiTheme="majorHAnsi" w:cstheme="majorHAnsi"/>
          <w:color w:val="000000"/>
          <w:szCs w:val="22"/>
        </w:rPr>
        <w:t xml:space="preserve"> La </w:t>
      </w:r>
      <w:r w:rsidR="00A7169A" w:rsidRPr="00B24A80">
        <w:rPr>
          <w:rFonts w:asciiTheme="majorHAnsi" w:eastAsia="Calibri" w:hAnsiTheme="majorHAnsi" w:cstheme="majorHAnsi"/>
          <w:color w:val="000000"/>
          <w:szCs w:val="22"/>
        </w:rPr>
        <w:t>Dirección de Gestión Planificación y Ordenamiento Territorial</w:t>
      </w:r>
      <w:r w:rsidRPr="00B24A80">
        <w:rPr>
          <w:rFonts w:asciiTheme="majorHAnsi" w:eastAsia="Calibri" w:hAnsiTheme="majorHAnsi" w:cstheme="majorHAnsi"/>
          <w:color w:val="000000"/>
          <w:szCs w:val="22"/>
        </w:rPr>
        <w:t>, comunicará al interesado, el resultado del trámite de aprobación de los planos presentados, en el plazo máximo de quince días calendario, a partir de la fecha de ingreso o reingreso.</w:t>
      </w:r>
    </w:p>
    <w:p w14:paraId="7CD25A05" w14:textId="7777777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caso de incumplimiento, el interesado pondrá en conocimiento de la instancia administrativa designada por el Alcalde para la solución del incidente. En los trámites que ameriten tratamiento especial, como edificios públicos o edificaciones que formen parte del equipamiento comunal, se hará uso de un plazo máximo de treinta días.</w:t>
      </w:r>
    </w:p>
    <w:p w14:paraId="71BCA0BA" w14:textId="3F71AD3A" w:rsidR="00DC27E8" w:rsidRPr="000A3C2A" w:rsidRDefault="007F5505" w:rsidP="000A3C2A">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0A3C2A">
        <w:rPr>
          <w:rFonts w:asciiTheme="majorHAnsi" w:eastAsia="Calibri" w:hAnsiTheme="majorHAnsi" w:cstheme="majorHAnsi"/>
          <w:b/>
          <w:szCs w:val="22"/>
        </w:rPr>
        <w:t xml:space="preserve">Permiso de construcciones. </w:t>
      </w:r>
    </w:p>
    <w:p w14:paraId="5D49A758" w14:textId="534C61A4" w:rsidR="003C6927" w:rsidRDefault="00D309CA" w:rsidP="000753F8">
      <w:pPr>
        <w:pStyle w:val="Prrafodelista"/>
        <w:numPr>
          <w:ilvl w:val="0"/>
          <w:numId w:val="102"/>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Una vez aprobados los planos el propietario pagará la tasa municipal de aprobación de planos sobre costo total de la obra</w:t>
      </w:r>
      <w:r w:rsidRPr="00B24A80">
        <w:rPr>
          <w:rFonts w:asciiTheme="majorHAnsi" w:eastAsia="Calibri" w:hAnsiTheme="majorHAnsi" w:cstheme="majorHAnsi"/>
          <w:color w:val="000000"/>
          <w:szCs w:val="22"/>
        </w:rPr>
        <w:t>, para cuyo cálculo se multiplicará el número de metros cuadrados (CUS) por el costo del metro cuadrado de construcción</w:t>
      </w:r>
      <w:r w:rsidR="003C6927"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es</w:t>
      </w:r>
      <w:r w:rsidR="003C6927" w:rsidRPr="00B24A80">
        <w:rPr>
          <w:rFonts w:asciiTheme="majorHAnsi" w:eastAsia="Calibri" w:hAnsiTheme="majorHAnsi" w:cstheme="majorHAnsi"/>
          <w:color w:val="000000"/>
          <w:szCs w:val="22"/>
        </w:rPr>
        <w:t>te</w:t>
      </w:r>
      <w:r w:rsidRPr="00B24A80">
        <w:rPr>
          <w:rFonts w:asciiTheme="majorHAnsi" w:eastAsia="Calibri" w:hAnsiTheme="majorHAnsi" w:cstheme="majorHAnsi"/>
          <w:color w:val="000000"/>
          <w:szCs w:val="22"/>
        </w:rPr>
        <w:t xml:space="preserve"> valor</w:t>
      </w:r>
      <w:r w:rsidR="003C6927" w:rsidRPr="00B24A80">
        <w:rPr>
          <w:rFonts w:asciiTheme="majorHAnsi" w:eastAsia="Calibri" w:hAnsiTheme="majorHAnsi" w:cstheme="majorHAnsi"/>
          <w:color w:val="000000"/>
          <w:szCs w:val="22"/>
        </w:rPr>
        <w:t xml:space="preserve"> </w:t>
      </w:r>
      <w:r w:rsidR="007876E9" w:rsidRPr="00B24A80">
        <w:rPr>
          <w:rFonts w:asciiTheme="majorHAnsi" w:eastAsia="Calibri" w:hAnsiTheme="majorHAnsi" w:cstheme="majorHAnsi"/>
          <w:color w:val="000000"/>
          <w:szCs w:val="22"/>
        </w:rPr>
        <w:t>será</w:t>
      </w:r>
      <w:r w:rsidRPr="00B24A80">
        <w:rPr>
          <w:rFonts w:asciiTheme="majorHAnsi" w:eastAsia="Calibri" w:hAnsiTheme="majorHAnsi" w:cstheme="majorHAnsi"/>
          <w:color w:val="000000"/>
          <w:szCs w:val="22"/>
        </w:rPr>
        <w:t xml:space="preserve"> determinado hasta el 30 de noviembre d</w:t>
      </w:r>
      <w:r w:rsidR="003C6927" w:rsidRPr="00B24A80">
        <w:rPr>
          <w:rFonts w:asciiTheme="majorHAnsi" w:eastAsia="Calibri" w:hAnsiTheme="majorHAnsi" w:cstheme="majorHAnsi"/>
          <w:color w:val="000000"/>
          <w:szCs w:val="22"/>
        </w:rPr>
        <w:t>e cada año por la dirección de Obras P</w:t>
      </w:r>
      <w:r w:rsidRPr="00B24A80">
        <w:rPr>
          <w:rFonts w:asciiTheme="majorHAnsi" w:eastAsia="Calibri" w:hAnsiTheme="majorHAnsi" w:cstheme="majorHAnsi"/>
          <w:color w:val="000000"/>
          <w:szCs w:val="22"/>
        </w:rPr>
        <w:t>úblicas de la municipalidad</w:t>
      </w:r>
      <w:r w:rsidR="003C6927" w:rsidRPr="00B24A80">
        <w:rPr>
          <w:rFonts w:asciiTheme="majorHAnsi" w:eastAsia="Calibri" w:hAnsiTheme="majorHAnsi" w:cstheme="majorHAnsi"/>
          <w:color w:val="000000"/>
          <w:szCs w:val="22"/>
        </w:rPr>
        <w:t xml:space="preserve"> y se aplicará el cuadro que </w:t>
      </w:r>
      <w:r w:rsidRPr="00B24A80">
        <w:rPr>
          <w:rFonts w:asciiTheme="majorHAnsi" w:eastAsia="Calibri" w:hAnsiTheme="majorHAnsi" w:cstheme="majorHAnsi"/>
          <w:color w:val="000000"/>
          <w:szCs w:val="22"/>
        </w:rPr>
        <w:t>a continuación se detalla</w:t>
      </w:r>
      <w:r w:rsidR="008A48E0">
        <w:rPr>
          <w:rFonts w:asciiTheme="majorHAnsi" w:eastAsia="Calibri" w:hAnsiTheme="majorHAnsi" w:cstheme="majorHAnsi"/>
          <w:color w:val="000000"/>
          <w:szCs w:val="22"/>
        </w:rPr>
        <w:t>:</w:t>
      </w:r>
    </w:p>
    <w:tbl>
      <w:tblPr>
        <w:tblStyle w:val="Tablaconcuadrcula"/>
        <w:tblW w:w="0" w:type="auto"/>
        <w:jc w:val="center"/>
        <w:tblLook w:val="04A0" w:firstRow="1" w:lastRow="0" w:firstColumn="1" w:lastColumn="0" w:noHBand="0" w:noVBand="1"/>
      </w:tblPr>
      <w:tblGrid>
        <w:gridCol w:w="1555"/>
        <w:gridCol w:w="1697"/>
        <w:gridCol w:w="2272"/>
      </w:tblGrid>
      <w:tr w:rsidR="008A48E0" w14:paraId="5A2555CE" w14:textId="77777777" w:rsidTr="00951737">
        <w:trPr>
          <w:jc w:val="center"/>
        </w:trPr>
        <w:tc>
          <w:tcPr>
            <w:tcW w:w="3252" w:type="dxa"/>
            <w:gridSpan w:val="2"/>
          </w:tcPr>
          <w:p w14:paraId="0D5D003D" w14:textId="22329748" w:rsidR="008A48E0" w:rsidRDefault="008A48E0"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CONSTRUCCIONES</w:t>
            </w:r>
          </w:p>
        </w:tc>
        <w:tc>
          <w:tcPr>
            <w:tcW w:w="2272" w:type="dxa"/>
          </w:tcPr>
          <w:p w14:paraId="43DEEC8A" w14:textId="69C36388" w:rsidR="008A48E0" w:rsidRDefault="008A48E0"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TASA DE APROBACIÓN</w:t>
            </w:r>
          </w:p>
        </w:tc>
      </w:tr>
      <w:tr w:rsidR="008A48E0" w14:paraId="0FC893C4" w14:textId="77777777" w:rsidTr="00951737">
        <w:trPr>
          <w:jc w:val="center"/>
        </w:trPr>
        <w:tc>
          <w:tcPr>
            <w:tcW w:w="1555" w:type="dxa"/>
          </w:tcPr>
          <w:p w14:paraId="3E89CD78" w14:textId="52834079"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DESDE m2</w:t>
            </w:r>
          </w:p>
        </w:tc>
        <w:tc>
          <w:tcPr>
            <w:tcW w:w="1697" w:type="dxa"/>
          </w:tcPr>
          <w:p w14:paraId="04772A9A" w14:textId="7E600325"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HASTA m2</w:t>
            </w:r>
          </w:p>
        </w:tc>
        <w:tc>
          <w:tcPr>
            <w:tcW w:w="2272" w:type="dxa"/>
          </w:tcPr>
          <w:p w14:paraId="39190459" w14:textId="5D9CFA4D"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DE PLANOS</w:t>
            </w:r>
          </w:p>
        </w:tc>
      </w:tr>
      <w:tr w:rsidR="00D83706" w14:paraId="7DA930B0" w14:textId="77777777" w:rsidTr="00951737">
        <w:trPr>
          <w:jc w:val="center"/>
        </w:trPr>
        <w:tc>
          <w:tcPr>
            <w:tcW w:w="1555" w:type="dxa"/>
          </w:tcPr>
          <w:p w14:paraId="2323DFD1" w14:textId="0C001233" w:rsidR="00D83706"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1</w:t>
            </w:r>
          </w:p>
        </w:tc>
        <w:tc>
          <w:tcPr>
            <w:tcW w:w="1697" w:type="dxa"/>
          </w:tcPr>
          <w:p w14:paraId="324E18E3" w14:textId="3FCC51B2" w:rsidR="00D83706"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240</w:t>
            </w:r>
          </w:p>
        </w:tc>
        <w:tc>
          <w:tcPr>
            <w:tcW w:w="2272" w:type="dxa"/>
          </w:tcPr>
          <w:p w14:paraId="791D8CA3" w14:textId="250B6C83" w:rsidR="00D83706"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1 X 1000</w:t>
            </w:r>
          </w:p>
        </w:tc>
      </w:tr>
      <w:tr w:rsidR="008A48E0" w14:paraId="5E29595D" w14:textId="77777777" w:rsidTr="00951737">
        <w:trPr>
          <w:jc w:val="center"/>
        </w:trPr>
        <w:tc>
          <w:tcPr>
            <w:tcW w:w="1555" w:type="dxa"/>
          </w:tcPr>
          <w:p w14:paraId="51D3117F" w14:textId="2FCB5D22"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241</w:t>
            </w:r>
          </w:p>
        </w:tc>
        <w:tc>
          <w:tcPr>
            <w:tcW w:w="1697" w:type="dxa"/>
          </w:tcPr>
          <w:p w14:paraId="15A60386" w14:textId="1450DD3A"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600</w:t>
            </w:r>
          </w:p>
        </w:tc>
        <w:tc>
          <w:tcPr>
            <w:tcW w:w="2272" w:type="dxa"/>
          </w:tcPr>
          <w:p w14:paraId="1CD979FB" w14:textId="2E491346" w:rsidR="008A48E0" w:rsidRDefault="008A48E0"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1.5</w:t>
            </w:r>
            <w:r w:rsidR="00D83706">
              <w:rPr>
                <w:rFonts w:asciiTheme="majorHAnsi" w:eastAsia="Calibri" w:hAnsiTheme="majorHAnsi" w:cstheme="majorHAnsi"/>
                <w:color w:val="000000"/>
              </w:rPr>
              <w:t xml:space="preserve"> X 1000</w:t>
            </w:r>
          </w:p>
        </w:tc>
      </w:tr>
      <w:tr w:rsidR="008A48E0" w14:paraId="4D17CCCF" w14:textId="77777777" w:rsidTr="00951737">
        <w:trPr>
          <w:jc w:val="center"/>
        </w:trPr>
        <w:tc>
          <w:tcPr>
            <w:tcW w:w="1555" w:type="dxa"/>
          </w:tcPr>
          <w:p w14:paraId="73B45001" w14:textId="36EDE034"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601</w:t>
            </w:r>
          </w:p>
        </w:tc>
        <w:tc>
          <w:tcPr>
            <w:tcW w:w="1697" w:type="dxa"/>
          </w:tcPr>
          <w:p w14:paraId="239C0C47" w14:textId="55BC77D9" w:rsidR="008A48E0" w:rsidRDefault="00D83706"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En adelante</w:t>
            </w:r>
          </w:p>
        </w:tc>
        <w:tc>
          <w:tcPr>
            <w:tcW w:w="2272" w:type="dxa"/>
          </w:tcPr>
          <w:p w14:paraId="7356340D" w14:textId="7FB98A6A" w:rsidR="008A48E0" w:rsidRDefault="008A48E0" w:rsidP="00951737">
            <w:pPr>
              <w:spacing w:after="240" w:line="276" w:lineRule="auto"/>
              <w:ind w:right="42"/>
              <w:jc w:val="center"/>
              <w:rPr>
                <w:rFonts w:asciiTheme="majorHAnsi" w:eastAsia="Calibri" w:hAnsiTheme="majorHAnsi" w:cstheme="majorHAnsi"/>
                <w:color w:val="000000"/>
              </w:rPr>
            </w:pPr>
            <w:r>
              <w:rPr>
                <w:rFonts w:asciiTheme="majorHAnsi" w:eastAsia="Calibri" w:hAnsiTheme="majorHAnsi" w:cstheme="majorHAnsi"/>
                <w:color w:val="000000"/>
              </w:rPr>
              <w:t>2</w:t>
            </w:r>
            <w:r w:rsidR="00D83706">
              <w:rPr>
                <w:rFonts w:asciiTheme="majorHAnsi" w:eastAsia="Calibri" w:hAnsiTheme="majorHAnsi" w:cstheme="majorHAnsi"/>
                <w:color w:val="000000"/>
              </w:rPr>
              <w:t xml:space="preserve"> X 1000</w:t>
            </w:r>
          </w:p>
        </w:tc>
      </w:tr>
    </w:tbl>
    <w:p w14:paraId="392E0869" w14:textId="3A4EA68F" w:rsidR="009D100F" w:rsidRPr="00D83706" w:rsidRDefault="009D100F" w:rsidP="00D83706">
      <w:pPr>
        <w:spacing w:after="240" w:line="276" w:lineRule="auto"/>
        <w:ind w:right="42"/>
        <w:rPr>
          <w:rFonts w:asciiTheme="majorHAnsi" w:eastAsia="Calibri" w:hAnsiTheme="majorHAnsi" w:cstheme="majorHAnsi"/>
          <w:color w:val="000000"/>
          <w:szCs w:val="22"/>
        </w:rPr>
      </w:pPr>
    </w:p>
    <w:p w14:paraId="3C22CBCD" w14:textId="77777777" w:rsidR="003C6927" w:rsidRPr="00B24A80" w:rsidRDefault="003C6927" w:rsidP="00273A61">
      <w:pPr>
        <w:pStyle w:val="Prrafodelista"/>
        <w:spacing w:after="240" w:line="276" w:lineRule="auto"/>
        <w:ind w:left="1635" w:right="42"/>
        <w:rPr>
          <w:rFonts w:asciiTheme="majorHAnsi" w:eastAsia="Calibri" w:hAnsiTheme="majorHAnsi" w:cstheme="majorHAnsi"/>
          <w:color w:val="000000"/>
          <w:szCs w:val="22"/>
        </w:rPr>
      </w:pPr>
    </w:p>
    <w:p w14:paraId="7D1E9098" w14:textId="77777777" w:rsidR="00273A61" w:rsidRPr="00B24A80" w:rsidRDefault="00273A61" w:rsidP="00273A61">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El equipamiento urbano del sector público no pagará la tasa de aprobación de planos.</w:t>
      </w:r>
    </w:p>
    <w:p w14:paraId="25909223" w14:textId="77777777" w:rsidR="00273A61" w:rsidRPr="00B24A80" w:rsidRDefault="00273A61" w:rsidP="00273A61">
      <w:pPr>
        <w:pStyle w:val="Prrafodelista"/>
        <w:spacing w:after="240" w:line="276" w:lineRule="auto"/>
        <w:ind w:left="1635" w:right="42"/>
        <w:rPr>
          <w:rFonts w:asciiTheme="majorHAnsi" w:eastAsia="Calibri" w:hAnsiTheme="majorHAnsi" w:cstheme="majorHAnsi"/>
          <w:color w:val="000000"/>
          <w:szCs w:val="22"/>
        </w:rPr>
      </w:pPr>
    </w:p>
    <w:p w14:paraId="43454561" w14:textId="5336F2E2" w:rsidR="003C6927" w:rsidRPr="00B24A80" w:rsidRDefault="00273A61" w:rsidP="00273A61">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vivienda de interés social pagará por tasa de aprobación de planos del 0.4 x 1000 </w:t>
      </w:r>
      <w:r w:rsidR="004E670A" w:rsidRPr="00DB25C9">
        <w:rPr>
          <w:rFonts w:asciiTheme="majorHAnsi" w:eastAsia="Calibri" w:hAnsiTheme="majorHAnsi" w:cstheme="majorHAnsi"/>
          <w:szCs w:val="22"/>
        </w:rPr>
        <w:t>de acuerdo al área de construcción.</w:t>
      </w:r>
    </w:p>
    <w:p w14:paraId="548CAC11" w14:textId="77777777" w:rsidR="00273A61" w:rsidRPr="00B24A80" w:rsidRDefault="00273A61" w:rsidP="00273A61">
      <w:pPr>
        <w:pStyle w:val="Prrafodelista"/>
        <w:spacing w:after="240" w:line="276" w:lineRule="auto"/>
        <w:ind w:left="1635" w:right="42"/>
        <w:rPr>
          <w:rFonts w:asciiTheme="majorHAnsi" w:eastAsia="Calibri" w:hAnsiTheme="majorHAnsi" w:cstheme="majorHAnsi"/>
          <w:color w:val="000000"/>
          <w:szCs w:val="22"/>
        </w:rPr>
      </w:pPr>
    </w:p>
    <w:p w14:paraId="262A3955" w14:textId="470DF2A4" w:rsidR="008634D7" w:rsidRPr="00B24A80" w:rsidRDefault="008634D7" w:rsidP="00CA24CF">
      <w:pPr>
        <w:pStyle w:val="Prrafodelista"/>
        <w:numPr>
          <w:ilvl w:val="0"/>
          <w:numId w:val="102"/>
        </w:numPr>
        <w:spacing w:after="240" w:line="276" w:lineRule="auto"/>
        <w:ind w:right="42"/>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 xml:space="preserve">De las garantías. - </w:t>
      </w:r>
      <w:r w:rsidRPr="00B24A80">
        <w:rPr>
          <w:rFonts w:asciiTheme="majorHAnsi" w:eastAsia="Calibri" w:hAnsiTheme="majorHAnsi" w:cstheme="majorHAnsi"/>
          <w:color w:val="000000"/>
          <w:szCs w:val="22"/>
        </w:rPr>
        <w:t>El municipio aceptara como garantías: hipotecas, prenda, papeles fiduciarios, garantías bancarias, pólizas de seguros, y depósito de moneda de curso legal.</w:t>
      </w:r>
    </w:p>
    <w:p w14:paraId="42FCC6DA" w14:textId="049B6DDF" w:rsidR="001A0508" w:rsidRPr="00B24A80" w:rsidRDefault="008634D7" w:rsidP="008634D7">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El monto de la garantía para la </w:t>
      </w:r>
      <w:r w:rsidR="001A0508" w:rsidRPr="00B24A80">
        <w:rPr>
          <w:rFonts w:asciiTheme="majorHAnsi" w:eastAsia="Calibri" w:hAnsiTheme="majorHAnsi" w:cstheme="majorHAnsi"/>
          <w:color w:val="000000"/>
          <w:szCs w:val="22"/>
        </w:rPr>
        <w:t xml:space="preserve">construcción será establecido por la </w:t>
      </w:r>
      <w:r w:rsidR="006E0959" w:rsidRPr="00B24A80">
        <w:rPr>
          <w:rFonts w:asciiTheme="majorHAnsi" w:eastAsia="Calibri" w:hAnsiTheme="majorHAnsi" w:cstheme="majorHAnsi"/>
          <w:color w:val="000000"/>
          <w:szCs w:val="22"/>
        </w:rPr>
        <w:t xml:space="preserve">Dirección de Gestión Planificación y Ordenamiento Territorial </w:t>
      </w:r>
      <w:r w:rsidR="00F97917" w:rsidRPr="00B24A80">
        <w:rPr>
          <w:rFonts w:asciiTheme="majorHAnsi" w:eastAsia="Calibri" w:hAnsiTheme="majorHAnsi" w:cstheme="majorHAnsi"/>
          <w:color w:val="000000"/>
          <w:szCs w:val="22"/>
        </w:rPr>
        <w:t>de acuerdo</w:t>
      </w:r>
      <w:r w:rsidR="001A0508" w:rsidRPr="00B24A80">
        <w:rPr>
          <w:rFonts w:asciiTheme="majorHAnsi" w:eastAsia="Calibri" w:hAnsiTheme="majorHAnsi" w:cstheme="majorHAnsi"/>
          <w:color w:val="000000"/>
          <w:szCs w:val="22"/>
        </w:rPr>
        <w:t xml:space="preserve"> al siguiente cuadro y en base al costo total de la obra.</w:t>
      </w:r>
    </w:p>
    <w:bookmarkStart w:id="229" w:name="_MON_1682948768"/>
    <w:bookmarkEnd w:id="229"/>
    <w:p w14:paraId="7D226773" w14:textId="0522CCFA" w:rsidR="008634D7" w:rsidRPr="00B24A80" w:rsidRDefault="00570D98" w:rsidP="008634D7">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object w:dxaOrig="5563" w:dyaOrig="1849" w14:anchorId="266A3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78pt;height:92.05pt" o:ole="">
            <v:imagedata r:id="rId32" o:title=""/>
          </v:shape>
          <o:OLEObject Type="Embed" ProgID="Excel.Sheet.12" ShapeID="_x0000_i1047" DrawAspect="Content" ObjectID="_1791987105" r:id="rId33"/>
        </w:object>
      </w:r>
      <w:r w:rsidR="001A0508" w:rsidRPr="00B24A80">
        <w:rPr>
          <w:rFonts w:asciiTheme="majorHAnsi" w:eastAsia="Calibri" w:hAnsiTheme="majorHAnsi" w:cstheme="majorHAnsi"/>
          <w:color w:val="000000"/>
          <w:szCs w:val="22"/>
        </w:rPr>
        <w:t xml:space="preserve"> </w:t>
      </w:r>
    </w:p>
    <w:p w14:paraId="5CE88523" w14:textId="6CB31F1A" w:rsidR="009D100F" w:rsidRPr="00B24A80" w:rsidRDefault="009D100F" w:rsidP="008634D7">
      <w:pPr>
        <w:pStyle w:val="Prrafodelista"/>
        <w:spacing w:after="240" w:line="276" w:lineRule="auto"/>
        <w:ind w:left="1635" w:right="42"/>
        <w:rPr>
          <w:rFonts w:asciiTheme="majorHAnsi" w:eastAsia="Calibri" w:hAnsiTheme="majorHAnsi" w:cstheme="majorHAnsi"/>
          <w:color w:val="000000"/>
          <w:szCs w:val="22"/>
        </w:rPr>
      </w:pPr>
    </w:p>
    <w:p w14:paraId="2EBD0BBA" w14:textId="3B0FF773" w:rsidR="009D100F" w:rsidRPr="00B24A80" w:rsidRDefault="009D100F" w:rsidP="008634D7">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En el caso de construcciones por etapas, el monto de la garantía será calculado considerando el valor de cada etapa.</w:t>
      </w:r>
    </w:p>
    <w:p w14:paraId="0AA634B0" w14:textId="77777777" w:rsidR="00E617D8" w:rsidRPr="00B24A80" w:rsidRDefault="00E617D8" w:rsidP="008634D7">
      <w:pPr>
        <w:pStyle w:val="Prrafodelista"/>
        <w:spacing w:after="240" w:line="276" w:lineRule="auto"/>
        <w:ind w:left="1635" w:right="42"/>
        <w:rPr>
          <w:rFonts w:asciiTheme="majorHAnsi" w:eastAsia="Calibri" w:hAnsiTheme="majorHAnsi" w:cstheme="majorHAnsi"/>
          <w:color w:val="000000"/>
          <w:szCs w:val="22"/>
        </w:rPr>
      </w:pPr>
    </w:p>
    <w:p w14:paraId="6E94C440" w14:textId="782D7F36" w:rsidR="009D100F" w:rsidRPr="00B24A80" w:rsidRDefault="009D100F" w:rsidP="008634D7">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Termina de las obras</w:t>
      </w:r>
      <w:r w:rsidR="00E617D8"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p</w:t>
      </w:r>
      <w:r w:rsidR="00E617D8" w:rsidRPr="00B24A80">
        <w:rPr>
          <w:rFonts w:asciiTheme="majorHAnsi" w:eastAsia="Calibri" w:hAnsiTheme="majorHAnsi" w:cstheme="majorHAnsi"/>
          <w:color w:val="000000"/>
          <w:szCs w:val="22"/>
        </w:rPr>
        <w:t>ara devolución de la garantía el</w:t>
      </w:r>
      <w:r w:rsidRPr="00B24A80">
        <w:rPr>
          <w:rFonts w:asciiTheme="majorHAnsi" w:eastAsia="Calibri" w:hAnsiTheme="majorHAnsi" w:cstheme="majorHAnsi"/>
          <w:color w:val="000000"/>
          <w:szCs w:val="22"/>
        </w:rPr>
        <w:t xml:space="preserve"> interesado solicitará la inspección a la </w:t>
      </w:r>
      <w:r w:rsidR="00A7169A" w:rsidRPr="00B24A80">
        <w:rPr>
          <w:rFonts w:asciiTheme="majorHAnsi" w:eastAsia="Calibri" w:hAnsiTheme="majorHAnsi" w:cstheme="majorHAnsi"/>
          <w:color w:val="000000"/>
          <w:szCs w:val="22"/>
        </w:rPr>
        <w:t>Unidad de Ordenamiento Territorial</w:t>
      </w:r>
      <w:r w:rsidR="00E617D8"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para que compruebe la terminación de las obras de acuerdo con los planos aprobados</w:t>
      </w:r>
      <w:r w:rsidR="00E617D8"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w:t>
      </w:r>
      <w:r w:rsidR="00E617D8" w:rsidRPr="00B24A80">
        <w:rPr>
          <w:rFonts w:asciiTheme="majorHAnsi" w:eastAsia="Calibri" w:hAnsiTheme="majorHAnsi" w:cstheme="majorHAnsi"/>
          <w:color w:val="000000"/>
          <w:szCs w:val="22"/>
        </w:rPr>
        <w:t>el</w:t>
      </w:r>
      <w:r w:rsidRPr="00B24A80">
        <w:rPr>
          <w:rFonts w:asciiTheme="majorHAnsi" w:eastAsia="Calibri" w:hAnsiTheme="majorHAnsi" w:cstheme="majorHAnsi"/>
          <w:color w:val="000000"/>
          <w:szCs w:val="22"/>
        </w:rPr>
        <w:t xml:space="preserve"> desalojo de los materiales </w:t>
      </w:r>
      <w:r w:rsidR="00E617D8" w:rsidRPr="00B24A80">
        <w:rPr>
          <w:rFonts w:asciiTheme="majorHAnsi" w:eastAsia="Calibri" w:hAnsiTheme="majorHAnsi" w:cstheme="majorHAnsi"/>
          <w:color w:val="000000"/>
          <w:szCs w:val="22"/>
        </w:rPr>
        <w:t xml:space="preserve">de </w:t>
      </w:r>
      <w:r w:rsidRPr="00B24A80">
        <w:rPr>
          <w:rFonts w:asciiTheme="majorHAnsi" w:eastAsia="Calibri" w:hAnsiTheme="majorHAnsi" w:cstheme="majorHAnsi"/>
          <w:color w:val="000000"/>
          <w:szCs w:val="22"/>
        </w:rPr>
        <w:t xml:space="preserve">las vías y el retiro de las construcciones </w:t>
      </w:r>
      <w:r w:rsidR="00410F63" w:rsidRPr="00B24A80">
        <w:rPr>
          <w:rFonts w:asciiTheme="majorHAnsi" w:eastAsia="Calibri" w:hAnsiTheme="majorHAnsi" w:cstheme="majorHAnsi"/>
          <w:color w:val="000000"/>
          <w:szCs w:val="22"/>
        </w:rPr>
        <w:t xml:space="preserve">provisionales, y se emita el respetivo permiso </w:t>
      </w:r>
      <w:r w:rsidR="00F97917" w:rsidRPr="00B24A80">
        <w:rPr>
          <w:rFonts w:asciiTheme="majorHAnsi" w:eastAsia="Calibri" w:hAnsiTheme="majorHAnsi" w:cstheme="majorHAnsi"/>
          <w:color w:val="000000"/>
          <w:szCs w:val="22"/>
        </w:rPr>
        <w:t>de habitabilidad</w:t>
      </w:r>
      <w:r w:rsidR="00FB7207">
        <w:rPr>
          <w:rFonts w:asciiTheme="majorHAnsi" w:eastAsia="Calibri" w:hAnsiTheme="majorHAnsi" w:cstheme="majorHAnsi"/>
          <w:color w:val="000000"/>
          <w:szCs w:val="22"/>
        </w:rPr>
        <w:t xml:space="preserve"> previo a la presentación del informe favorable del cuerpo de bomberos.</w:t>
      </w:r>
    </w:p>
    <w:p w14:paraId="750E16B6" w14:textId="4BC57332" w:rsidR="00410F63" w:rsidRDefault="00410F63" w:rsidP="008634D7">
      <w:pPr>
        <w:pStyle w:val="Prrafodelista"/>
        <w:spacing w:after="240" w:line="276" w:lineRule="auto"/>
        <w:ind w:left="1635"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No se considerará modificado el plano hasta una variación del 5 % del total de construcción, pasado de este porcentaje se deberá cancelar el valor por m2 modificado.</w:t>
      </w:r>
    </w:p>
    <w:p w14:paraId="535534D7" w14:textId="044C8899" w:rsidR="00531720" w:rsidRPr="00DB25C9" w:rsidRDefault="00364680" w:rsidP="008634D7">
      <w:pPr>
        <w:pStyle w:val="Prrafodelista"/>
        <w:spacing w:after="240" w:line="276" w:lineRule="auto"/>
        <w:ind w:left="1635" w:right="42"/>
        <w:rPr>
          <w:rFonts w:asciiTheme="majorHAnsi" w:eastAsia="Calibri" w:hAnsiTheme="majorHAnsi" w:cstheme="majorHAnsi"/>
          <w:szCs w:val="22"/>
        </w:rPr>
      </w:pPr>
      <w:r w:rsidRPr="00DB25C9">
        <w:rPr>
          <w:rFonts w:asciiTheme="majorHAnsi" w:eastAsia="Calibri" w:hAnsiTheme="majorHAnsi" w:cstheme="majorHAnsi"/>
          <w:szCs w:val="22"/>
        </w:rPr>
        <w:t>No se exigirá el pago de la garantía a entidades del sector público.</w:t>
      </w:r>
    </w:p>
    <w:p w14:paraId="0914044B" w14:textId="77777777" w:rsidR="00531720" w:rsidRPr="00B24A80" w:rsidRDefault="00531720" w:rsidP="008634D7">
      <w:pPr>
        <w:pStyle w:val="Prrafodelista"/>
        <w:spacing w:after="240" w:line="276" w:lineRule="auto"/>
        <w:ind w:left="1635" w:right="42"/>
        <w:rPr>
          <w:rFonts w:asciiTheme="majorHAnsi" w:eastAsia="Calibri" w:hAnsiTheme="majorHAnsi" w:cstheme="majorHAnsi"/>
          <w:color w:val="000000"/>
          <w:szCs w:val="22"/>
        </w:rPr>
      </w:pPr>
    </w:p>
    <w:p w14:paraId="6C6F029E" w14:textId="7E10A5C2" w:rsidR="00DC27E8" w:rsidRPr="00B24A80" w:rsidRDefault="007F5505" w:rsidP="00CA24CF">
      <w:pPr>
        <w:pStyle w:val="Prrafodelista"/>
        <w:numPr>
          <w:ilvl w:val="0"/>
          <w:numId w:val="102"/>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El incumplimiento de esta norma será sancionado con multa equivalente </w:t>
      </w:r>
      <w:r w:rsidR="0026684B" w:rsidRPr="00B24A80">
        <w:rPr>
          <w:rFonts w:asciiTheme="majorHAnsi" w:eastAsia="Calibri" w:hAnsiTheme="majorHAnsi" w:cstheme="majorHAnsi"/>
          <w:color w:val="000000"/>
          <w:szCs w:val="22"/>
        </w:rPr>
        <w:t>a cuatro Remuneraciones Básicas Unificadas</w:t>
      </w:r>
      <w:r w:rsidR="001A7E87">
        <w:rPr>
          <w:rFonts w:asciiTheme="majorHAnsi" w:eastAsia="Calibri" w:hAnsiTheme="majorHAnsi" w:cstheme="majorHAnsi"/>
          <w:color w:val="000000"/>
          <w:szCs w:val="22"/>
        </w:rPr>
        <w:t>.</w:t>
      </w:r>
      <w:r w:rsidR="0026684B" w:rsidRPr="00B24A80">
        <w:rPr>
          <w:rFonts w:asciiTheme="majorHAnsi" w:eastAsia="Calibri" w:hAnsiTheme="majorHAnsi" w:cstheme="majorHAnsi"/>
          <w:color w:val="000000"/>
          <w:szCs w:val="22"/>
        </w:rPr>
        <w:t xml:space="preserve"> </w:t>
      </w:r>
    </w:p>
    <w:p w14:paraId="25EE10B3" w14:textId="77777777" w:rsidR="00AD68BB" w:rsidRPr="00B24A80" w:rsidRDefault="00AD68BB" w:rsidP="00AD68BB">
      <w:pPr>
        <w:pStyle w:val="Prrafodelista"/>
        <w:spacing w:after="240" w:line="276" w:lineRule="auto"/>
        <w:ind w:left="1635" w:right="42"/>
        <w:rPr>
          <w:rFonts w:asciiTheme="majorHAnsi" w:eastAsia="Calibri" w:hAnsiTheme="majorHAnsi" w:cstheme="majorHAnsi"/>
          <w:color w:val="000000"/>
          <w:szCs w:val="22"/>
        </w:rPr>
      </w:pPr>
    </w:p>
    <w:p w14:paraId="79C45BC2" w14:textId="5723249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Una vez cumplidos con los requisitos, el propietario obtendrá el Permiso de Construcción y deberá iniciar los trabajos, máximo dentro de los doce meses subsiguientes a la fecha de obtención de este permiso.</w:t>
      </w:r>
    </w:p>
    <w:p w14:paraId="7D01251F" w14:textId="1F48A8BA"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Si transcurridos los doce meses desde la fecha de obtención el Permiso de Construcción no se hubieren iniciado los trabajos</w:t>
      </w:r>
      <w:r w:rsidR="002413C5">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este permiso caducará y deberá solicitar la revalidación (actualización) correspondiente, agregando:</w:t>
      </w:r>
    </w:p>
    <w:p w14:paraId="2FFA1C03" w14:textId="1D0868AF"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Solicitud dirigida al Director de Planificación, para edificaciones y para urbanizaciones, subdivisiones o conjuntos habitacionales.</w:t>
      </w:r>
    </w:p>
    <w:p w14:paraId="29115B69" w14:textId="77777777" w:rsidR="00DC27E8" w:rsidRPr="00B24A80" w:rsidRDefault="007F5505" w:rsidP="009F132D">
      <w:pPr>
        <w:numPr>
          <w:ilvl w:val="0"/>
          <w:numId w:val="17"/>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Informe Predial de Regulaciones de Uso del Suelo - IPRUS;</w:t>
      </w:r>
    </w:p>
    <w:p w14:paraId="19EC8717" w14:textId="77777777" w:rsidR="00DC27E8" w:rsidRPr="00B24A80" w:rsidRDefault="007F5505" w:rsidP="009F132D">
      <w:pPr>
        <w:numPr>
          <w:ilvl w:val="0"/>
          <w:numId w:val="17"/>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Permiso de construcción original y tres copias;</w:t>
      </w:r>
    </w:p>
    <w:p w14:paraId="22073CD2" w14:textId="14508E78" w:rsidR="00DC27E8" w:rsidRPr="00B24A80" w:rsidRDefault="00A81361" w:rsidP="009F132D">
      <w:pPr>
        <w:numPr>
          <w:ilvl w:val="0"/>
          <w:numId w:val="17"/>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Certificado de no adeudar a la municipalidad</w:t>
      </w:r>
      <w:r w:rsidR="007F5505" w:rsidRPr="00B24A80">
        <w:rPr>
          <w:rFonts w:asciiTheme="majorHAnsi" w:eastAsia="Calibri" w:hAnsiTheme="majorHAnsi" w:cstheme="majorHAnsi"/>
          <w:color w:val="000000"/>
          <w:sz w:val="22"/>
          <w:szCs w:val="22"/>
        </w:rPr>
        <w:t>;</w:t>
      </w:r>
    </w:p>
    <w:p w14:paraId="0AB5185D" w14:textId="77777777" w:rsidR="00DC27E8" w:rsidRPr="00B24A80" w:rsidRDefault="007F5505" w:rsidP="009F132D">
      <w:pPr>
        <w:numPr>
          <w:ilvl w:val="0"/>
          <w:numId w:val="17"/>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Copia de los planos aprobados;</w:t>
      </w:r>
    </w:p>
    <w:p w14:paraId="6074539E" w14:textId="73C082D3" w:rsidR="00DC27E8" w:rsidRDefault="007F5505" w:rsidP="009F132D">
      <w:pPr>
        <w:numPr>
          <w:ilvl w:val="0"/>
          <w:numId w:val="17"/>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Copia simple de las escrituras, debidamente inscritas en el Registrador de la Propiedad </w:t>
      </w:r>
    </w:p>
    <w:p w14:paraId="15EC49DE" w14:textId="2B8E1290" w:rsidR="002413C5" w:rsidRPr="00B24A80" w:rsidRDefault="002413C5" w:rsidP="009F132D">
      <w:pPr>
        <w:numPr>
          <w:ilvl w:val="0"/>
          <w:numId w:val="17"/>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Certificado del registro de la Propiedad o certificado de Gravamen.</w:t>
      </w:r>
    </w:p>
    <w:p w14:paraId="69B8B833" w14:textId="3DDB9D2B"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dicho permiso se establecerá además el tiempo máximo en el que deberá concluirse la construcción, que no excederá los tres años.</w:t>
      </w:r>
    </w:p>
    <w:p w14:paraId="6E7F7AA1" w14:textId="367BEB88"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El permiso de construcción pod</w:t>
      </w:r>
      <w:r w:rsidR="00776A43">
        <w:rPr>
          <w:rFonts w:asciiTheme="majorHAnsi" w:eastAsia="Calibri" w:hAnsiTheme="majorHAnsi" w:cstheme="majorHAnsi"/>
          <w:color w:val="000000"/>
          <w:sz w:val="22"/>
          <w:szCs w:val="22"/>
        </w:rPr>
        <w:t>rá ser revocado por el Jefe</w:t>
      </w:r>
      <w:r w:rsidRPr="00B24A80">
        <w:rPr>
          <w:rFonts w:asciiTheme="majorHAnsi" w:eastAsia="Calibri" w:hAnsiTheme="majorHAnsi" w:cstheme="majorHAnsi"/>
          <w:color w:val="000000"/>
          <w:sz w:val="22"/>
          <w:szCs w:val="22"/>
        </w:rPr>
        <w:t xml:space="preserve"> de Construcción o el Director de</w:t>
      </w:r>
      <w:r w:rsidR="00EC194F" w:rsidRPr="00B24A80">
        <w:rPr>
          <w:rFonts w:asciiTheme="majorHAnsi" w:eastAsia="Calibri" w:hAnsiTheme="majorHAnsi" w:cstheme="majorHAnsi"/>
          <w:color w:val="000000"/>
          <w:sz w:val="22"/>
          <w:szCs w:val="22"/>
        </w:rPr>
        <w:t xml:space="preserve"> Gestión de Planificación y Ordenamiento Territorial</w:t>
      </w:r>
      <w:r w:rsidRPr="00B24A80">
        <w:rPr>
          <w:rFonts w:asciiTheme="majorHAnsi" w:eastAsia="Calibri" w:hAnsiTheme="majorHAnsi" w:cstheme="majorHAnsi"/>
          <w:color w:val="000000"/>
          <w:sz w:val="22"/>
          <w:szCs w:val="22"/>
        </w:rPr>
        <w:t>, previo expediente administrativo sancionador, si se verifica que los permisos o revalidaciones anteriores no hayan tenido por objeto la real continuación de la obra; es decir, que exista un escaso o nulo avance de la construcción, de manera proporcional al tiempo transcurrido. Y en este caso, además, se sancionará al propietario del bien o sus herederos, de la misma manera que para el caso de obras inconclusas señaladas en esta Ordenanza.</w:t>
      </w:r>
    </w:p>
    <w:p w14:paraId="2B90673A" w14:textId="7777777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Las sanciones no dejarán de aplicarse en caso de transferencia de dominio del bien.</w:t>
      </w:r>
    </w:p>
    <w:p w14:paraId="4DEABD51" w14:textId="4A60B184" w:rsidR="00DC27E8" w:rsidRPr="00B24A80" w:rsidRDefault="00EB5C24" w:rsidP="008A7C8C">
      <w:pPr>
        <w:pStyle w:val="Ttulo4"/>
        <w:rPr>
          <w:rFonts w:cstheme="majorHAnsi"/>
          <w:sz w:val="22"/>
          <w:szCs w:val="22"/>
        </w:rPr>
      </w:pPr>
      <w:bookmarkStart w:id="230" w:name="_Toc81085662"/>
      <w:bookmarkStart w:id="231" w:name="_Toc181374102"/>
      <w:r w:rsidRPr="00B24A80">
        <w:rPr>
          <w:rFonts w:cstheme="majorHAnsi"/>
          <w:sz w:val="22"/>
          <w:szCs w:val="22"/>
        </w:rPr>
        <w:t>SECCIÓN</w:t>
      </w:r>
      <w:r w:rsidR="00F91BB6" w:rsidRPr="00B24A80">
        <w:rPr>
          <w:rFonts w:cstheme="majorHAnsi"/>
          <w:sz w:val="22"/>
          <w:szCs w:val="22"/>
        </w:rPr>
        <w:t xml:space="preserve"> </w:t>
      </w:r>
      <w:r w:rsidR="00767139">
        <w:rPr>
          <w:rFonts w:cstheme="majorHAnsi"/>
          <w:sz w:val="22"/>
          <w:szCs w:val="22"/>
        </w:rPr>
        <w:t>II</w:t>
      </w:r>
      <w:r w:rsidR="008A7C8C" w:rsidRPr="00B24A80">
        <w:rPr>
          <w:rFonts w:cstheme="majorHAnsi"/>
          <w:sz w:val="22"/>
          <w:szCs w:val="22"/>
        </w:rPr>
        <w:br/>
      </w:r>
      <w:r w:rsidR="007F5505" w:rsidRPr="00B24A80">
        <w:rPr>
          <w:rFonts w:cstheme="majorHAnsi"/>
          <w:sz w:val="22"/>
          <w:szCs w:val="22"/>
        </w:rPr>
        <w:t>Autorización de intervenciones constructivas menores.</w:t>
      </w:r>
      <w:bookmarkEnd w:id="230"/>
      <w:bookmarkEnd w:id="231"/>
    </w:p>
    <w:p w14:paraId="267F1127" w14:textId="445FA16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eastAsia="Calibri" w:hAnsiTheme="majorHAnsi" w:cstheme="majorHAnsi"/>
          <w:b/>
          <w:color w:val="000000"/>
          <w:szCs w:val="22"/>
        </w:rPr>
        <w:t>Permiso para obras menores. –</w:t>
      </w:r>
      <w:r w:rsidRPr="00B24A80">
        <w:rPr>
          <w:rFonts w:asciiTheme="majorHAnsi" w:eastAsia="Calibri" w:hAnsiTheme="majorHAnsi" w:cstheme="majorHAnsi"/>
          <w:color w:val="000000"/>
          <w:szCs w:val="22"/>
        </w:rPr>
        <w:t xml:space="preserve"> El Director de</w:t>
      </w:r>
      <w:r w:rsidR="00EC194F" w:rsidRPr="00B24A80">
        <w:rPr>
          <w:rFonts w:asciiTheme="majorHAnsi" w:eastAsia="Calibri" w:hAnsiTheme="majorHAnsi" w:cstheme="majorHAnsi"/>
          <w:color w:val="000000"/>
          <w:szCs w:val="22"/>
        </w:rPr>
        <w:t xml:space="preserve"> Gestión de Planificación y Ordenamiento Territorial </w:t>
      </w:r>
      <w:r w:rsidRPr="00B24A80">
        <w:rPr>
          <w:rFonts w:asciiTheme="majorHAnsi" w:eastAsia="Calibri" w:hAnsiTheme="majorHAnsi" w:cstheme="majorHAnsi"/>
          <w:color w:val="000000"/>
          <w:szCs w:val="22"/>
        </w:rPr>
        <w:t xml:space="preserve">podrá autorizar la construcción de obras menores, </w:t>
      </w:r>
      <w:r w:rsidRPr="00B24A80">
        <w:rPr>
          <w:rFonts w:asciiTheme="majorHAnsi" w:hAnsiTheme="majorHAnsi" w:cstheme="majorHAnsi"/>
          <w:szCs w:val="22"/>
        </w:rPr>
        <w:t xml:space="preserve">cuando la solicitud sea para obras nuevas, ampliaciones e intervenciones en las edificaciones y se otorgarán en los siguientes casos: </w:t>
      </w:r>
    </w:p>
    <w:p w14:paraId="73C1D0EB" w14:textId="7150910C" w:rsidR="00DC27E8" w:rsidRPr="00B24A80" w:rsidRDefault="007F5505" w:rsidP="00CA24CF">
      <w:pPr>
        <w:pStyle w:val="Prrafodelista"/>
        <w:numPr>
          <w:ilvl w:val="0"/>
          <w:numId w:val="67"/>
        </w:numPr>
        <w:ind w:right="42"/>
        <w:rPr>
          <w:rFonts w:asciiTheme="majorHAnsi" w:hAnsiTheme="majorHAnsi" w:cstheme="majorHAnsi"/>
          <w:szCs w:val="22"/>
        </w:rPr>
      </w:pPr>
      <w:r w:rsidRPr="00B24A80">
        <w:rPr>
          <w:rFonts w:asciiTheme="majorHAnsi" w:hAnsiTheme="majorHAnsi" w:cstheme="majorHAnsi"/>
          <w:szCs w:val="22"/>
        </w:rPr>
        <w:t xml:space="preserve">Edificación nueva o ampliación hasta 40 m2 como máximo; en este caso, se emitirá por una sola vez este permiso. </w:t>
      </w:r>
    </w:p>
    <w:p w14:paraId="6D78B9B6" w14:textId="20A211DB" w:rsidR="00DC27E8" w:rsidRPr="00B24A80" w:rsidRDefault="007F5505" w:rsidP="00CA24CF">
      <w:pPr>
        <w:pStyle w:val="Prrafodelista"/>
        <w:numPr>
          <w:ilvl w:val="0"/>
          <w:numId w:val="67"/>
        </w:numPr>
        <w:ind w:right="42"/>
        <w:rPr>
          <w:rFonts w:asciiTheme="majorHAnsi" w:hAnsiTheme="majorHAnsi" w:cstheme="majorHAnsi"/>
          <w:szCs w:val="22"/>
        </w:rPr>
      </w:pPr>
      <w:r w:rsidRPr="00B24A80">
        <w:rPr>
          <w:rFonts w:asciiTheme="majorHAnsi" w:hAnsiTheme="majorHAnsi" w:cstheme="majorHAnsi"/>
          <w:szCs w:val="22"/>
        </w:rPr>
        <w:t xml:space="preserve">Construcción de cerramientos; </w:t>
      </w:r>
    </w:p>
    <w:p w14:paraId="4B795C26" w14:textId="1F6E3CEA" w:rsidR="00DC27E8" w:rsidRPr="00B24A80" w:rsidRDefault="007F5505" w:rsidP="00CA24CF">
      <w:pPr>
        <w:pStyle w:val="Prrafodelista"/>
        <w:numPr>
          <w:ilvl w:val="0"/>
          <w:numId w:val="67"/>
        </w:numPr>
        <w:ind w:right="42"/>
        <w:rPr>
          <w:rFonts w:asciiTheme="majorHAnsi" w:hAnsiTheme="majorHAnsi" w:cstheme="majorHAnsi"/>
          <w:szCs w:val="22"/>
        </w:rPr>
      </w:pPr>
      <w:r w:rsidRPr="00B24A80">
        <w:rPr>
          <w:rFonts w:asciiTheme="majorHAnsi" w:hAnsiTheme="majorHAnsi" w:cstheme="majorHAnsi"/>
          <w:szCs w:val="22"/>
        </w:rPr>
        <w:t xml:space="preserve">Modificación o reparación de construcciones existentes siempre que no implique un cambio de uso en la edificación; </w:t>
      </w:r>
    </w:p>
    <w:p w14:paraId="3437B59F" w14:textId="565EA74E" w:rsidR="002A10D0" w:rsidRPr="00B24A80" w:rsidRDefault="007F5505" w:rsidP="00CA24CF">
      <w:pPr>
        <w:pStyle w:val="Prrafodelista"/>
        <w:numPr>
          <w:ilvl w:val="0"/>
          <w:numId w:val="67"/>
        </w:numPr>
        <w:spacing w:after="240"/>
        <w:ind w:right="42"/>
        <w:rPr>
          <w:rFonts w:asciiTheme="majorHAnsi" w:hAnsiTheme="majorHAnsi" w:cstheme="majorHAnsi"/>
          <w:szCs w:val="22"/>
        </w:rPr>
      </w:pPr>
      <w:r w:rsidRPr="00B24A80">
        <w:rPr>
          <w:rFonts w:asciiTheme="majorHAnsi" w:hAnsiTheme="majorHAnsi" w:cstheme="majorHAnsi"/>
          <w:szCs w:val="22"/>
        </w:rPr>
        <w:t>Demoliciones; y,</w:t>
      </w:r>
    </w:p>
    <w:p w14:paraId="09D10057" w14:textId="4189F88C" w:rsidR="00DC27E8" w:rsidRPr="005705A3" w:rsidRDefault="00DC27E8" w:rsidP="00A533EE">
      <w:pPr>
        <w:pStyle w:val="Prrafodelista"/>
        <w:spacing w:after="240"/>
        <w:ind w:right="42"/>
        <w:rPr>
          <w:rFonts w:asciiTheme="majorHAnsi" w:hAnsiTheme="majorHAnsi" w:cstheme="majorHAnsi"/>
          <w:color w:val="FF0000"/>
          <w:szCs w:val="22"/>
        </w:rPr>
      </w:pPr>
    </w:p>
    <w:p w14:paraId="3206B79D" w14:textId="7777777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hAnsiTheme="majorHAnsi" w:cstheme="majorHAnsi"/>
          <w:sz w:val="22"/>
          <w:szCs w:val="22"/>
        </w:rPr>
        <w:t xml:space="preserve"> </w:t>
      </w:r>
      <w:r w:rsidRPr="00B24A80">
        <w:rPr>
          <w:rFonts w:asciiTheme="majorHAnsi" w:eastAsia="Calibri" w:hAnsiTheme="majorHAnsi" w:cstheme="majorHAnsi"/>
          <w:color w:val="000000"/>
          <w:sz w:val="22"/>
          <w:szCs w:val="22"/>
        </w:rPr>
        <w:t>El plazo para la entrega del permiso de obra menor será de ocho días laborales.</w:t>
      </w:r>
    </w:p>
    <w:p w14:paraId="46BEC9BE" w14:textId="2CE997A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los requisitos a ser presentados para la autorización de intervenciones constructivas menores. -</w:t>
      </w:r>
      <w:r w:rsidRPr="00B24A80">
        <w:rPr>
          <w:rFonts w:asciiTheme="majorHAnsi" w:hAnsiTheme="majorHAnsi" w:cstheme="majorHAnsi"/>
          <w:szCs w:val="22"/>
        </w:rPr>
        <w:t xml:space="preserve"> Será responsabilidad del solicitante presentar los siguientes documentos a la </w:t>
      </w:r>
      <w:r w:rsidR="00A7169A" w:rsidRPr="00B24A80">
        <w:rPr>
          <w:rFonts w:asciiTheme="majorHAnsi" w:hAnsiTheme="majorHAnsi" w:cstheme="majorHAnsi"/>
          <w:szCs w:val="22"/>
        </w:rPr>
        <w:t>Dirección de Gestión Planificación y Ordenamiento Territorial</w:t>
      </w:r>
      <w:r w:rsidRPr="00B24A80">
        <w:rPr>
          <w:rFonts w:asciiTheme="majorHAnsi" w:hAnsiTheme="majorHAnsi" w:cstheme="majorHAnsi"/>
          <w:szCs w:val="22"/>
        </w:rPr>
        <w:t xml:space="preserve"> del GADM</w:t>
      </w:r>
      <w:r w:rsidR="00FE7E23" w:rsidRPr="00B24A80">
        <w:rPr>
          <w:rFonts w:asciiTheme="majorHAnsi" w:hAnsiTheme="majorHAnsi" w:cstheme="majorHAnsi"/>
          <w:szCs w:val="22"/>
        </w:rPr>
        <w:t xml:space="preserve"> de</w:t>
      </w:r>
      <w:r w:rsidR="006E0959" w:rsidRPr="00B24A80">
        <w:rPr>
          <w:rFonts w:asciiTheme="majorHAnsi" w:hAnsiTheme="majorHAnsi" w:cstheme="majorHAnsi"/>
          <w:szCs w:val="22"/>
        </w:rPr>
        <w:t>l cantón La</w:t>
      </w:r>
      <w:r w:rsidR="00E30701" w:rsidRPr="00B24A80">
        <w:rPr>
          <w:rFonts w:asciiTheme="majorHAnsi" w:eastAsia="Arial" w:hAnsiTheme="majorHAnsi" w:cstheme="majorHAnsi"/>
          <w:color w:val="25282C"/>
          <w:szCs w:val="22"/>
        </w:rPr>
        <w:t xml:space="preserve"> Joya de los Sachas</w:t>
      </w:r>
      <w:r w:rsidRPr="00B24A80">
        <w:rPr>
          <w:rFonts w:asciiTheme="majorHAnsi" w:hAnsiTheme="majorHAnsi" w:cstheme="majorHAnsi"/>
          <w:szCs w:val="22"/>
        </w:rPr>
        <w:t xml:space="preserve">, para iniciar el trámite: </w:t>
      </w:r>
    </w:p>
    <w:p w14:paraId="204E5159" w14:textId="655401D5" w:rsidR="00DC27E8" w:rsidRPr="00B24A80" w:rsidRDefault="007F5505" w:rsidP="00CA24CF">
      <w:pPr>
        <w:pStyle w:val="Prrafodelista"/>
        <w:numPr>
          <w:ilvl w:val="0"/>
          <w:numId w:val="68"/>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Solicitud suscrita por el propietario </w:t>
      </w:r>
    </w:p>
    <w:p w14:paraId="77937635" w14:textId="0559DF82" w:rsidR="00DC27E8" w:rsidRPr="00B24A80" w:rsidRDefault="002A10D0" w:rsidP="00CA24CF">
      <w:pPr>
        <w:pStyle w:val="Prrafodelista"/>
        <w:numPr>
          <w:ilvl w:val="0"/>
          <w:numId w:val="68"/>
        </w:numPr>
        <w:spacing w:line="276" w:lineRule="auto"/>
        <w:ind w:right="42"/>
        <w:rPr>
          <w:rFonts w:asciiTheme="majorHAnsi" w:hAnsiTheme="majorHAnsi" w:cstheme="majorHAnsi"/>
          <w:szCs w:val="22"/>
        </w:rPr>
      </w:pPr>
      <w:r w:rsidRPr="00B24A80">
        <w:rPr>
          <w:rFonts w:asciiTheme="majorHAnsi" w:hAnsiTheme="majorHAnsi" w:cstheme="majorHAnsi"/>
          <w:szCs w:val="22"/>
        </w:rPr>
        <w:t>Certificado de no adeudar al municipio</w:t>
      </w:r>
      <w:r w:rsidR="007F5505" w:rsidRPr="00B24A80">
        <w:rPr>
          <w:rFonts w:asciiTheme="majorHAnsi" w:hAnsiTheme="majorHAnsi" w:cstheme="majorHAnsi"/>
          <w:szCs w:val="22"/>
        </w:rPr>
        <w:t xml:space="preserve"> </w:t>
      </w:r>
    </w:p>
    <w:p w14:paraId="6F2AB5E7" w14:textId="7E5D236B" w:rsidR="00DC27E8" w:rsidRPr="00B24A80" w:rsidRDefault="007F5505" w:rsidP="00CA24CF">
      <w:pPr>
        <w:pStyle w:val="Prrafodelista"/>
        <w:numPr>
          <w:ilvl w:val="0"/>
          <w:numId w:val="68"/>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En caso de que el trámite lo realice un tercero, presentará la autorización del propietario y su cédula de ciudadanía y certificado de votación; </w:t>
      </w:r>
    </w:p>
    <w:p w14:paraId="5491596D" w14:textId="5624B97B" w:rsidR="00DC27E8" w:rsidRPr="009A14FA" w:rsidRDefault="009A14FA" w:rsidP="00CA24CF">
      <w:pPr>
        <w:pStyle w:val="Prrafodelista"/>
        <w:numPr>
          <w:ilvl w:val="0"/>
          <w:numId w:val="68"/>
        </w:numPr>
        <w:spacing w:line="276" w:lineRule="auto"/>
        <w:ind w:right="42"/>
        <w:rPr>
          <w:rFonts w:asciiTheme="majorHAnsi" w:hAnsiTheme="majorHAnsi" w:cstheme="majorHAnsi"/>
          <w:szCs w:val="22"/>
        </w:rPr>
      </w:pPr>
      <w:r w:rsidRPr="009A14FA">
        <w:rPr>
          <w:rFonts w:asciiTheme="majorHAnsi" w:hAnsiTheme="majorHAnsi" w:cstheme="majorHAnsi"/>
          <w:szCs w:val="22"/>
        </w:rPr>
        <w:t xml:space="preserve">Certificado actualizado del </w:t>
      </w:r>
      <w:r w:rsidR="007F5505" w:rsidRPr="009A14FA">
        <w:rPr>
          <w:rFonts w:asciiTheme="majorHAnsi" w:hAnsiTheme="majorHAnsi" w:cstheme="majorHAnsi"/>
          <w:szCs w:val="22"/>
        </w:rPr>
        <w:t xml:space="preserve">Registro de la Propiedad; </w:t>
      </w:r>
    </w:p>
    <w:p w14:paraId="672083D6" w14:textId="645F9670" w:rsidR="00DC27E8" w:rsidRPr="00B24A80" w:rsidRDefault="007F5505" w:rsidP="00CA24CF">
      <w:pPr>
        <w:pStyle w:val="Prrafodelista"/>
        <w:numPr>
          <w:ilvl w:val="0"/>
          <w:numId w:val="68"/>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Informe Predial de Regulaciones de Uso del Suelo - IPRUS actualizado; </w:t>
      </w:r>
    </w:p>
    <w:p w14:paraId="656E8F64" w14:textId="513DBFA8" w:rsidR="00DC27E8" w:rsidRPr="00B24A80" w:rsidRDefault="007F5505" w:rsidP="00CA24CF">
      <w:pPr>
        <w:pStyle w:val="Prrafodelista"/>
        <w:numPr>
          <w:ilvl w:val="0"/>
          <w:numId w:val="68"/>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Para edificación nueva o ampliación dentro del área permitida, se presentará planos (en físico y en digital en formato </w:t>
      </w:r>
      <w:r w:rsidR="00083E97" w:rsidRPr="00B24A80">
        <w:rPr>
          <w:rFonts w:asciiTheme="majorHAnsi" w:hAnsiTheme="majorHAnsi" w:cstheme="majorHAnsi"/>
          <w:i/>
          <w:iCs/>
          <w:szCs w:val="22"/>
        </w:rPr>
        <w:t>DWG</w:t>
      </w:r>
      <w:r w:rsidRPr="00B24A80">
        <w:rPr>
          <w:rFonts w:asciiTheme="majorHAnsi" w:hAnsiTheme="majorHAnsi" w:cstheme="majorHAnsi"/>
          <w:szCs w:val="22"/>
        </w:rPr>
        <w:t xml:space="preserve">) con la firma y datos del propietario (nombre y </w:t>
      </w:r>
      <w:r w:rsidRPr="00B24A80">
        <w:rPr>
          <w:rFonts w:asciiTheme="majorHAnsi" w:hAnsiTheme="majorHAnsi" w:cstheme="majorHAnsi"/>
          <w:szCs w:val="22"/>
        </w:rPr>
        <w:lastRenderedPageBreak/>
        <w:t xml:space="preserve">número de cédula) y de los profesionales competentes de ser el caso (nombre, número de cédula y registro </w:t>
      </w:r>
      <w:r w:rsidR="006E0959" w:rsidRPr="00B24A80">
        <w:rPr>
          <w:rFonts w:asciiTheme="majorHAnsi" w:hAnsiTheme="majorHAnsi" w:cstheme="majorHAnsi"/>
          <w:szCs w:val="22"/>
        </w:rPr>
        <w:t>SENESCYT</w:t>
      </w:r>
      <w:r w:rsidRPr="00B24A80">
        <w:rPr>
          <w:rFonts w:asciiTheme="majorHAnsi" w:hAnsiTheme="majorHAnsi" w:cstheme="majorHAnsi"/>
          <w:szCs w:val="22"/>
        </w:rPr>
        <w:t>). Los planos deberán estar elaborados en conformidad con las normas nacionales de construcción, la normativa urbanística y demás normativa vigente para el efecto</w:t>
      </w:r>
      <w:r w:rsidR="00746D5D">
        <w:rPr>
          <w:rFonts w:asciiTheme="majorHAnsi" w:hAnsiTheme="majorHAnsi" w:cstheme="majorHAnsi"/>
          <w:szCs w:val="22"/>
        </w:rPr>
        <w:t>,</w:t>
      </w:r>
      <w:r w:rsidR="00423C88">
        <w:rPr>
          <w:rFonts w:asciiTheme="majorHAnsi" w:hAnsiTheme="majorHAnsi" w:cstheme="majorHAnsi"/>
          <w:szCs w:val="22"/>
        </w:rPr>
        <w:t xml:space="preserve"> de ser el caso.</w:t>
      </w:r>
      <w:r w:rsidRPr="00B24A80">
        <w:rPr>
          <w:rFonts w:asciiTheme="majorHAnsi" w:hAnsiTheme="majorHAnsi" w:cstheme="majorHAnsi"/>
          <w:szCs w:val="22"/>
        </w:rPr>
        <w:t xml:space="preserve"> </w:t>
      </w:r>
    </w:p>
    <w:p w14:paraId="0F34D02B" w14:textId="003901D1" w:rsidR="00DC27E8" w:rsidRPr="00B24A80" w:rsidRDefault="007F5505" w:rsidP="00CA24CF">
      <w:pPr>
        <w:pStyle w:val="Prrafodelista"/>
        <w:numPr>
          <w:ilvl w:val="0"/>
          <w:numId w:val="68"/>
        </w:numPr>
        <w:spacing w:line="276" w:lineRule="auto"/>
        <w:ind w:right="42"/>
        <w:rPr>
          <w:rFonts w:asciiTheme="majorHAnsi" w:hAnsiTheme="majorHAnsi" w:cstheme="majorHAnsi"/>
          <w:szCs w:val="22"/>
        </w:rPr>
      </w:pPr>
      <w:r w:rsidRPr="00B24A80">
        <w:rPr>
          <w:rFonts w:asciiTheme="majorHAnsi" w:hAnsiTheme="majorHAnsi" w:cstheme="majorHAnsi"/>
          <w:szCs w:val="22"/>
        </w:rPr>
        <w:t>Para las obras de ampliación en pisos superiores de una edificación existente, se deberá presentar planos arquitectónicos y estructurales con su respectiva memoria de cálculo, además de un alcance del estudio de suelos original que valide el incremento de cargas proyectado o de no poseerlo se deberá entregar un estudio de suelo;</w:t>
      </w:r>
    </w:p>
    <w:p w14:paraId="68A6B970" w14:textId="77777777" w:rsidR="00DC27E8" w:rsidRPr="00B24A80" w:rsidRDefault="00DC27E8">
      <w:pPr>
        <w:spacing w:after="240" w:line="276" w:lineRule="auto"/>
        <w:ind w:right="42"/>
        <w:rPr>
          <w:rFonts w:asciiTheme="majorHAnsi" w:eastAsia="Calibri" w:hAnsiTheme="majorHAnsi" w:cstheme="majorHAnsi"/>
          <w:b/>
          <w:sz w:val="22"/>
          <w:szCs w:val="22"/>
        </w:rPr>
      </w:pPr>
    </w:p>
    <w:p w14:paraId="5F24F618" w14:textId="1CEBE7C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eastAsia="Calibri" w:hAnsiTheme="majorHAnsi" w:cstheme="majorHAnsi"/>
          <w:b/>
          <w:color w:val="000000"/>
          <w:szCs w:val="22"/>
        </w:rPr>
        <w:t>Permiso de demolición. -</w:t>
      </w:r>
      <w:r w:rsidRPr="00B24A80">
        <w:rPr>
          <w:rFonts w:asciiTheme="majorHAnsi" w:eastAsia="Calibri" w:hAnsiTheme="majorHAnsi" w:cstheme="majorHAnsi"/>
          <w:color w:val="000000"/>
          <w:szCs w:val="22"/>
        </w:rPr>
        <w:t xml:space="preserve"> Para el caso de las edificaciones que se requieran ser demolidas,</w:t>
      </w:r>
      <w:r w:rsidRPr="00B24A80">
        <w:rPr>
          <w:rFonts w:asciiTheme="majorHAnsi" w:hAnsiTheme="majorHAnsi" w:cstheme="majorHAnsi"/>
          <w:szCs w:val="22"/>
        </w:rPr>
        <w:t xml:space="preserve"> se deberá presentar la metodología técnica respectiva; y</w:t>
      </w:r>
      <w:r w:rsidRPr="00B24A80">
        <w:rPr>
          <w:rFonts w:asciiTheme="majorHAnsi" w:eastAsia="Calibri" w:hAnsiTheme="majorHAnsi" w:cstheme="majorHAnsi"/>
          <w:color w:val="000000"/>
          <w:szCs w:val="22"/>
        </w:rPr>
        <w:t xml:space="preserve"> se deberá cumplir con los siguientes requisitos:</w:t>
      </w:r>
    </w:p>
    <w:p w14:paraId="2801F2F4" w14:textId="4D5D6DBF" w:rsidR="00DC27E8" w:rsidRPr="00B24A80" w:rsidRDefault="007F5505" w:rsidP="00CA24CF">
      <w:pPr>
        <w:pStyle w:val="Prrafodelista"/>
        <w:numPr>
          <w:ilvl w:val="0"/>
          <w:numId w:val="69"/>
        </w:numP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Solicitud dirigida al </w:t>
      </w:r>
      <w:r w:rsidR="00A7169A" w:rsidRPr="00B24A80">
        <w:rPr>
          <w:rFonts w:asciiTheme="majorHAnsi" w:eastAsia="Calibri" w:hAnsiTheme="majorHAnsi" w:cstheme="majorHAnsi"/>
          <w:color w:val="000000"/>
          <w:szCs w:val="22"/>
        </w:rPr>
        <w:t>Dirección de Gestión Planificación y Ordenamiento Territorial</w:t>
      </w:r>
      <w:r w:rsidR="00C97FA7">
        <w:rPr>
          <w:rFonts w:asciiTheme="majorHAnsi" w:eastAsia="Calibri" w:hAnsiTheme="majorHAnsi" w:cstheme="majorHAnsi"/>
          <w:color w:val="000000"/>
          <w:szCs w:val="22"/>
        </w:rPr>
        <w:t>;</w:t>
      </w:r>
      <w:r w:rsidRPr="005B00DF">
        <w:rPr>
          <w:rFonts w:asciiTheme="majorHAnsi" w:eastAsia="Calibri" w:hAnsiTheme="majorHAnsi" w:cstheme="majorHAnsi"/>
          <w:color w:val="FF0000"/>
          <w:szCs w:val="22"/>
        </w:rPr>
        <w:t xml:space="preserve"> </w:t>
      </w:r>
    </w:p>
    <w:p w14:paraId="6DD23442" w14:textId="3E81EF08" w:rsidR="00DC27E8" w:rsidRPr="00B24A80" w:rsidRDefault="005B00DF" w:rsidP="00CA24CF">
      <w:pPr>
        <w:pStyle w:val="Prrafodelista"/>
        <w:numPr>
          <w:ilvl w:val="0"/>
          <w:numId w:val="69"/>
        </w:numPr>
        <w:spacing w:line="276" w:lineRule="auto"/>
        <w:ind w:right="42"/>
        <w:rPr>
          <w:rFonts w:asciiTheme="majorHAnsi" w:eastAsia="Calibri" w:hAnsiTheme="majorHAnsi" w:cstheme="majorHAnsi"/>
          <w:color w:val="000000"/>
          <w:szCs w:val="22"/>
        </w:rPr>
      </w:pPr>
      <w:r>
        <w:rPr>
          <w:rFonts w:asciiTheme="majorHAnsi" w:eastAsia="Calibri" w:hAnsiTheme="majorHAnsi" w:cstheme="majorHAnsi"/>
          <w:color w:val="000000"/>
          <w:szCs w:val="22"/>
        </w:rPr>
        <w:t>S</w:t>
      </w:r>
      <w:r w:rsidR="00AF1630" w:rsidRPr="00B24A80">
        <w:rPr>
          <w:rFonts w:asciiTheme="majorHAnsi" w:eastAsia="Calibri" w:hAnsiTheme="majorHAnsi" w:cstheme="majorHAnsi"/>
          <w:color w:val="000000"/>
          <w:szCs w:val="22"/>
        </w:rPr>
        <w:t xml:space="preserve">e deberá presentar la metodología a utilizarse con la finalidad </w:t>
      </w:r>
      <w:r w:rsidR="00154F1B" w:rsidRPr="00B24A80">
        <w:rPr>
          <w:rFonts w:asciiTheme="majorHAnsi" w:eastAsia="Calibri" w:hAnsiTheme="majorHAnsi" w:cstheme="majorHAnsi"/>
          <w:color w:val="000000"/>
          <w:szCs w:val="22"/>
        </w:rPr>
        <w:t>d</w:t>
      </w:r>
      <w:r w:rsidR="00AF1630" w:rsidRPr="00B24A80">
        <w:rPr>
          <w:rFonts w:asciiTheme="majorHAnsi" w:eastAsia="Calibri" w:hAnsiTheme="majorHAnsi" w:cstheme="majorHAnsi"/>
          <w:color w:val="000000"/>
          <w:szCs w:val="22"/>
        </w:rPr>
        <w:t>e coordinar sus trabajos</w:t>
      </w:r>
      <w:r w:rsidR="007F5505" w:rsidRPr="00B24A80">
        <w:rPr>
          <w:rFonts w:asciiTheme="majorHAnsi" w:eastAsia="Calibri" w:hAnsiTheme="majorHAnsi" w:cstheme="majorHAnsi"/>
          <w:color w:val="000000"/>
          <w:szCs w:val="22"/>
        </w:rPr>
        <w:t>;</w:t>
      </w:r>
    </w:p>
    <w:p w14:paraId="342BBBF7" w14:textId="54D68FA4" w:rsidR="00DC27E8" w:rsidRPr="00B24A80" w:rsidRDefault="007F5505" w:rsidP="00D55FB3">
      <w:pPr>
        <w:pStyle w:val="Prrafodelista"/>
        <w:numPr>
          <w:ilvl w:val="0"/>
          <w:numId w:val="69"/>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Entrega de la garantía de responsabilidad de la obra que consistirá en </w:t>
      </w:r>
      <w:r w:rsidR="00DA392A">
        <w:rPr>
          <w:rFonts w:asciiTheme="majorHAnsi" w:eastAsia="Calibri" w:hAnsiTheme="majorHAnsi" w:cstheme="majorHAnsi"/>
          <w:color w:val="000000"/>
          <w:szCs w:val="22"/>
        </w:rPr>
        <w:t>el cobro</w:t>
      </w:r>
      <w:r w:rsidRPr="004311F9">
        <w:rPr>
          <w:rFonts w:asciiTheme="majorHAnsi" w:eastAsia="Calibri" w:hAnsiTheme="majorHAnsi" w:cstheme="majorHAnsi"/>
          <w:szCs w:val="22"/>
        </w:rPr>
        <w:t>,</w:t>
      </w:r>
      <w:r w:rsidRPr="00DA392A">
        <w:rPr>
          <w:rFonts w:asciiTheme="majorHAnsi" w:eastAsia="Calibri" w:hAnsiTheme="majorHAnsi" w:cstheme="majorHAnsi"/>
          <w:color w:val="FF0000"/>
          <w:szCs w:val="22"/>
        </w:rPr>
        <w:t xml:space="preserve"> </w:t>
      </w:r>
      <w:r w:rsidRPr="009034BF">
        <w:rPr>
          <w:rFonts w:asciiTheme="majorHAnsi" w:eastAsia="Calibri" w:hAnsiTheme="majorHAnsi" w:cstheme="majorHAnsi"/>
          <w:szCs w:val="22"/>
        </w:rPr>
        <w:t xml:space="preserve">equivalente al </w:t>
      </w:r>
      <w:r w:rsidR="008A52D6" w:rsidRPr="009034BF">
        <w:rPr>
          <w:rFonts w:asciiTheme="majorHAnsi" w:eastAsia="Calibri" w:hAnsiTheme="majorHAnsi" w:cstheme="majorHAnsi"/>
          <w:szCs w:val="22"/>
        </w:rPr>
        <w:t>1.5</w:t>
      </w:r>
      <w:r w:rsidRPr="009034BF">
        <w:rPr>
          <w:rFonts w:asciiTheme="majorHAnsi" w:eastAsia="Calibri" w:hAnsiTheme="majorHAnsi" w:cstheme="majorHAnsi"/>
          <w:szCs w:val="22"/>
        </w:rPr>
        <w:t xml:space="preserve">% del avalúo </w:t>
      </w:r>
      <w:r w:rsidR="00383466" w:rsidRPr="009034BF">
        <w:rPr>
          <w:rFonts w:asciiTheme="majorHAnsi" w:eastAsia="Calibri" w:hAnsiTheme="majorHAnsi" w:cstheme="majorHAnsi"/>
          <w:szCs w:val="22"/>
        </w:rPr>
        <w:t>del bien según el certificado catastral</w:t>
      </w:r>
      <w:r w:rsidR="00A135FA">
        <w:rPr>
          <w:rFonts w:asciiTheme="majorHAnsi" w:eastAsia="Calibri" w:hAnsiTheme="majorHAnsi" w:cstheme="majorHAnsi"/>
          <w:szCs w:val="22"/>
        </w:rPr>
        <w:t>,</w:t>
      </w:r>
      <w:r w:rsidR="009034BF">
        <w:rPr>
          <w:rFonts w:asciiTheme="majorHAnsi" w:eastAsia="Calibri" w:hAnsiTheme="majorHAnsi" w:cstheme="majorHAnsi"/>
          <w:szCs w:val="22"/>
        </w:rPr>
        <w:t xml:space="preserve"> garantía que </w:t>
      </w:r>
      <w:r w:rsidR="00A135FA">
        <w:rPr>
          <w:rFonts w:asciiTheme="majorHAnsi" w:eastAsia="Calibri" w:hAnsiTheme="majorHAnsi" w:cstheme="majorHAnsi"/>
          <w:szCs w:val="22"/>
        </w:rPr>
        <w:t>será</w:t>
      </w:r>
      <w:r w:rsidR="009034BF">
        <w:rPr>
          <w:rFonts w:asciiTheme="majorHAnsi" w:eastAsia="Calibri" w:hAnsiTheme="majorHAnsi" w:cstheme="majorHAnsi"/>
          <w:szCs w:val="22"/>
        </w:rPr>
        <w:t xml:space="preserve"> de las formas establecidas en el </w:t>
      </w:r>
      <w:r w:rsidR="00E50F1F">
        <w:rPr>
          <w:rFonts w:asciiTheme="majorHAnsi" w:eastAsia="Calibri" w:hAnsiTheme="majorHAnsi" w:cstheme="majorHAnsi"/>
          <w:szCs w:val="22"/>
        </w:rPr>
        <w:t>artículo</w:t>
      </w:r>
      <w:r w:rsidR="009034BF">
        <w:rPr>
          <w:rFonts w:asciiTheme="majorHAnsi" w:eastAsia="Calibri" w:hAnsiTheme="majorHAnsi" w:cstheme="majorHAnsi"/>
          <w:szCs w:val="22"/>
        </w:rPr>
        <w:t xml:space="preserve"> </w:t>
      </w:r>
      <w:r w:rsidR="002E256B">
        <w:rPr>
          <w:rFonts w:asciiTheme="majorHAnsi" w:eastAsia="Calibri" w:hAnsiTheme="majorHAnsi" w:cstheme="majorHAnsi"/>
          <w:szCs w:val="22"/>
        </w:rPr>
        <w:t>174</w:t>
      </w:r>
      <w:r w:rsidR="009034BF">
        <w:rPr>
          <w:rFonts w:asciiTheme="majorHAnsi" w:eastAsia="Calibri" w:hAnsiTheme="majorHAnsi" w:cstheme="majorHAnsi"/>
          <w:szCs w:val="22"/>
        </w:rPr>
        <w:t xml:space="preserve"> de la presente Ordenanza</w:t>
      </w:r>
      <w:r w:rsidRPr="00B24A80">
        <w:rPr>
          <w:rFonts w:asciiTheme="majorHAnsi" w:eastAsia="Calibri" w:hAnsiTheme="majorHAnsi" w:cstheme="majorHAnsi"/>
          <w:color w:val="000000"/>
          <w:szCs w:val="22"/>
        </w:rPr>
        <w:t xml:space="preserve">, firmada por el Director Técnico de Obra y el Propietario; garantía que servirá para </w:t>
      </w:r>
      <w:r w:rsidR="00246CDF" w:rsidRPr="00B24A80">
        <w:rPr>
          <w:rFonts w:asciiTheme="majorHAnsi" w:eastAsia="Calibri" w:hAnsiTheme="majorHAnsi" w:cstheme="majorHAnsi"/>
          <w:color w:val="000000"/>
          <w:szCs w:val="22"/>
        </w:rPr>
        <w:t>subsanar posibles afectaciones</w:t>
      </w:r>
      <w:r w:rsidR="00D55FB3" w:rsidRPr="00B24A80">
        <w:rPr>
          <w:rFonts w:asciiTheme="majorHAnsi" w:eastAsia="Calibri" w:hAnsiTheme="majorHAnsi" w:cstheme="majorHAnsi"/>
          <w:color w:val="000000"/>
          <w:szCs w:val="22"/>
        </w:rPr>
        <w:t xml:space="preserve">; </w:t>
      </w:r>
      <w:r w:rsidR="006E4A80">
        <w:rPr>
          <w:rFonts w:asciiTheme="majorHAnsi" w:eastAsia="Calibri" w:hAnsiTheme="majorHAnsi" w:cstheme="majorHAnsi"/>
          <w:color w:val="000000"/>
          <w:szCs w:val="22"/>
        </w:rPr>
        <w:t>garantía que no se exigirá a entidades del sector público.</w:t>
      </w:r>
    </w:p>
    <w:p w14:paraId="1D2FEE06" w14:textId="39203186" w:rsidR="00AF1630" w:rsidRPr="00B24A80" w:rsidRDefault="00AF1630" w:rsidP="00CA24CF">
      <w:pPr>
        <w:pStyle w:val="Prrafodelista"/>
        <w:numPr>
          <w:ilvl w:val="0"/>
          <w:numId w:val="69"/>
        </w:numP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Certificado de riesgos emitido por el </w:t>
      </w:r>
      <w:r w:rsidR="000778FB">
        <w:rPr>
          <w:rFonts w:asciiTheme="majorHAnsi" w:eastAsia="Calibri" w:hAnsiTheme="majorHAnsi" w:cstheme="majorHAnsi"/>
          <w:color w:val="000000"/>
          <w:szCs w:val="22"/>
        </w:rPr>
        <w:t>GAD Municipal de La Joya de los Sachas.</w:t>
      </w:r>
    </w:p>
    <w:p w14:paraId="4E173F47" w14:textId="5A0CE393" w:rsidR="00AF1630" w:rsidRPr="00B24A80" w:rsidRDefault="00154F1B" w:rsidP="00CA24CF">
      <w:pPr>
        <w:pStyle w:val="Prrafodelista"/>
        <w:numPr>
          <w:ilvl w:val="0"/>
          <w:numId w:val="69"/>
        </w:numP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S</w:t>
      </w:r>
      <w:r w:rsidR="00AF1630" w:rsidRPr="00B24A80">
        <w:rPr>
          <w:rFonts w:asciiTheme="majorHAnsi" w:eastAsia="Calibri" w:hAnsiTheme="majorHAnsi" w:cstheme="majorHAnsi"/>
          <w:color w:val="000000"/>
          <w:szCs w:val="22"/>
        </w:rPr>
        <w:t xml:space="preserve">e </w:t>
      </w:r>
      <w:r w:rsidRPr="00B24A80">
        <w:rPr>
          <w:rFonts w:asciiTheme="majorHAnsi" w:eastAsia="Calibri" w:hAnsiTheme="majorHAnsi" w:cstheme="majorHAnsi"/>
          <w:color w:val="000000"/>
          <w:szCs w:val="22"/>
        </w:rPr>
        <w:t>coordinará</w:t>
      </w:r>
      <w:r w:rsidR="008A5738" w:rsidRPr="00B24A80">
        <w:rPr>
          <w:rFonts w:asciiTheme="majorHAnsi" w:eastAsia="Calibri" w:hAnsiTheme="majorHAnsi" w:cstheme="majorHAnsi"/>
          <w:color w:val="000000"/>
          <w:szCs w:val="22"/>
        </w:rPr>
        <w:t xml:space="preserve"> con la </w:t>
      </w:r>
      <w:r w:rsidR="000D2725">
        <w:rPr>
          <w:rFonts w:asciiTheme="majorHAnsi" w:eastAsia="Calibri" w:hAnsiTheme="majorHAnsi" w:cstheme="majorHAnsi"/>
          <w:color w:val="000000"/>
          <w:szCs w:val="22"/>
        </w:rPr>
        <w:t xml:space="preserve">Dirección de Gestión Ambiental </w:t>
      </w:r>
      <w:r w:rsidRPr="00B24A80">
        <w:rPr>
          <w:rFonts w:asciiTheme="majorHAnsi" w:eastAsia="Calibri" w:hAnsiTheme="majorHAnsi" w:cstheme="majorHAnsi"/>
          <w:color w:val="000000"/>
          <w:szCs w:val="22"/>
        </w:rPr>
        <w:t>para</w:t>
      </w:r>
      <w:r w:rsidR="00AF1630" w:rsidRPr="00B24A80">
        <w:rPr>
          <w:rFonts w:asciiTheme="majorHAnsi" w:eastAsia="Calibri" w:hAnsiTheme="majorHAnsi" w:cstheme="majorHAnsi"/>
          <w:color w:val="000000"/>
          <w:szCs w:val="22"/>
        </w:rPr>
        <w:t xml:space="preserve"> la disposición </w:t>
      </w:r>
      <w:r w:rsidR="00C21BAC">
        <w:rPr>
          <w:rFonts w:asciiTheme="majorHAnsi" w:eastAsia="Calibri" w:hAnsiTheme="majorHAnsi" w:cstheme="majorHAnsi"/>
          <w:color w:val="000000"/>
          <w:szCs w:val="22"/>
        </w:rPr>
        <w:t>final</w:t>
      </w:r>
      <w:r w:rsidR="00AF1630" w:rsidRPr="00B24A80">
        <w:rPr>
          <w:rFonts w:asciiTheme="majorHAnsi" w:eastAsia="Calibri" w:hAnsiTheme="majorHAnsi" w:cstheme="majorHAnsi"/>
          <w:color w:val="000000"/>
          <w:szCs w:val="22"/>
        </w:rPr>
        <w:t xml:space="preserve"> para los restos producto de la </w:t>
      </w:r>
      <w:r w:rsidRPr="00B24A80">
        <w:rPr>
          <w:rFonts w:asciiTheme="majorHAnsi" w:eastAsia="Calibri" w:hAnsiTheme="majorHAnsi" w:cstheme="majorHAnsi"/>
          <w:color w:val="000000"/>
          <w:szCs w:val="22"/>
        </w:rPr>
        <w:t>demolición</w:t>
      </w:r>
      <w:r w:rsidR="00AF1630" w:rsidRPr="00B24A80">
        <w:rPr>
          <w:rFonts w:asciiTheme="majorHAnsi" w:eastAsia="Calibri" w:hAnsiTheme="majorHAnsi" w:cstheme="majorHAnsi"/>
          <w:color w:val="000000"/>
          <w:szCs w:val="22"/>
        </w:rPr>
        <w:t xml:space="preserve">. </w:t>
      </w:r>
    </w:p>
    <w:p w14:paraId="287B42D1" w14:textId="5F0F2F0A" w:rsidR="00DC27E8" w:rsidRPr="00B24A80" w:rsidRDefault="00DC27E8">
      <w:pPr>
        <w:spacing w:line="276" w:lineRule="auto"/>
        <w:ind w:right="42"/>
        <w:rPr>
          <w:rFonts w:asciiTheme="majorHAnsi" w:hAnsiTheme="majorHAnsi" w:cstheme="majorHAnsi"/>
          <w:sz w:val="22"/>
          <w:szCs w:val="22"/>
        </w:rPr>
      </w:pPr>
    </w:p>
    <w:p w14:paraId="1BBF0373" w14:textId="25A3885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la autorización de intervenciones constructivas menores. -</w:t>
      </w:r>
      <w:r w:rsidRPr="00B24A80">
        <w:rPr>
          <w:rFonts w:asciiTheme="majorHAnsi" w:hAnsiTheme="majorHAnsi" w:cstheme="majorHAnsi"/>
          <w:szCs w:val="22"/>
        </w:rPr>
        <w:t xml:space="preserve"> Previo a otorgar la autorización de intervenciones constructivas menores, el GADM</w:t>
      </w:r>
      <w:r w:rsidR="00FE7E23" w:rsidRPr="00B24A80">
        <w:rPr>
          <w:rFonts w:asciiTheme="majorHAnsi" w:hAnsiTheme="majorHAnsi" w:cstheme="majorHAnsi"/>
          <w:szCs w:val="22"/>
        </w:rPr>
        <w:t xml:space="preserve"> de</w:t>
      </w:r>
      <w:r w:rsidR="006E0959" w:rsidRPr="00B24A80">
        <w:rPr>
          <w:rFonts w:asciiTheme="majorHAnsi" w:hAnsiTheme="majorHAnsi" w:cstheme="majorHAnsi"/>
          <w:szCs w:val="22"/>
        </w:rPr>
        <w:t>l cantón La</w:t>
      </w:r>
      <w:r w:rsidR="00E30701" w:rsidRPr="00B24A80">
        <w:rPr>
          <w:rFonts w:asciiTheme="majorHAnsi" w:eastAsia="Arial" w:hAnsiTheme="majorHAnsi" w:cstheme="majorHAnsi"/>
          <w:color w:val="25282C"/>
          <w:szCs w:val="22"/>
        </w:rPr>
        <w:t xml:space="preserve"> Joya de los Sachas</w:t>
      </w:r>
      <w:r w:rsidRPr="00B24A80">
        <w:rPr>
          <w:rFonts w:asciiTheme="majorHAnsi" w:hAnsiTheme="majorHAnsi" w:cstheme="majorHAnsi"/>
          <w:szCs w:val="22"/>
        </w:rPr>
        <w:t xml:space="preserve"> a través de la </w:t>
      </w:r>
      <w:r w:rsidR="006E0959" w:rsidRPr="00B24A80">
        <w:rPr>
          <w:rFonts w:asciiTheme="majorHAnsi" w:hAnsiTheme="majorHAnsi" w:cstheme="majorHAnsi"/>
          <w:szCs w:val="22"/>
        </w:rPr>
        <w:t xml:space="preserve">Dirección de Gestión Planificación y Ordenamiento Territorial </w:t>
      </w:r>
      <w:r w:rsidRPr="00B24A80">
        <w:rPr>
          <w:rFonts w:asciiTheme="majorHAnsi" w:hAnsiTheme="majorHAnsi" w:cstheme="majorHAnsi"/>
          <w:szCs w:val="22"/>
        </w:rPr>
        <w:t xml:space="preserve">deberá emitir un informe técnico favorable donde conste el cumplimiento de las normas nacionales de construcción, la normativa urbanística y demás normas vigentes. </w:t>
      </w:r>
    </w:p>
    <w:p w14:paraId="0DB29819" w14:textId="77777777" w:rsidR="006E0959" w:rsidRPr="00B24A80" w:rsidRDefault="006E0959" w:rsidP="006E0959">
      <w:pPr>
        <w:pStyle w:val="Prrafodelista"/>
        <w:widowControl/>
        <w:tabs>
          <w:tab w:val="left" w:pos="851"/>
        </w:tabs>
        <w:spacing w:after="240" w:line="276" w:lineRule="auto"/>
        <w:ind w:left="0" w:right="-100"/>
        <w:rPr>
          <w:rFonts w:asciiTheme="majorHAnsi" w:hAnsiTheme="majorHAnsi" w:cstheme="majorHAnsi"/>
          <w:szCs w:val="22"/>
        </w:rPr>
      </w:pPr>
    </w:p>
    <w:p w14:paraId="09F41D1C" w14:textId="60C345A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De la notificación de inicio del proceso. -</w:t>
      </w:r>
      <w:r w:rsidRPr="00B24A80">
        <w:rPr>
          <w:rFonts w:asciiTheme="majorHAnsi" w:hAnsiTheme="majorHAnsi" w:cstheme="majorHAnsi"/>
          <w:szCs w:val="22"/>
        </w:rPr>
        <w:t xml:space="preserve"> El propietario deberá notificar al </w:t>
      </w:r>
      <w:r w:rsidR="006E0959" w:rsidRPr="00B24A80">
        <w:rPr>
          <w:rFonts w:asciiTheme="majorHAnsi" w:hAnsiTheme="majorHAnsi" w:cstheme="majorHAnsi"/>
          <w:szCs w:val="22"/>
        </w:rPr>
        <w:t>GADM del cantón La Joya de los Sachas</w:t>
      </w:r>
      <w:r w:rsidR="00FE7E23" w:rsidRPr="00B24A80">
        <w:rPr>
          <w:rFonts w:asciiTheme="majorHAnsi" w:hAnsiTheme="majorHAnsi" w:cstheme="majorHAnsi"/>
          <w:szCs w:val="22"/>
        </w:rPr>
        <w:t xml:space="preserve"> </w:t>
      </w:r>
      <w:r w:rsidRPr="00B24A80">
        <w:rPr>
          <w:rFonts w:asciiTheme="majorHAnsi" w:hAnsiTheme="majorHAnsi" w:cstheme="majorHAnsi"/>
          <w:szCs w:val="22"/>
        </w:rPr>
        <w:t xml:space="preserve">el inicio de obra. </w:t>
      </w:r>
    </w:p>
    <w:p w14:paraId="463161E5" w14:textId="025F6E2E" w:rsidR="006E0959" w:rsidRPr="00B24A80" w:rsidRDefault="006E0959" w:rsidP="006E0959">
      <w:pPr>
        <w:pStyle w:val="Prrafodelista"/>
        <w:widowControl/>
        <w:tabs>
          <w:tab w:val="left" w:pos="851"/>
        </w:tabs>
        <w:spacing w:after="240" w:line="276" w:lineRule="auto"/>
        <w:ind w:left="0" w:right="-100"/>
        <w:rPr>
          <w:rFonts w:asciiTheme="majorHAnsi" w:hAnsiTheme="majorHAnsi" w:cstheme="majorHAnsi"/>
          <w:szCs w:val="22"/>
        </w:rPr>
      </w:pPr>
    </w:p>
    <w:p w14:paraId="750D75D6" w14:textId="46516D9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las inspecciones de obra</w:t>
      </w:r>
      <w:r w:rsidRPr="00B24A80">
        <w:rPr>
          <w:rFonts w:asciiTheme="majorHAnsi" w:hAnsiTheme="majorHAnsi" w:cstheme="majorHAnsi"/>
          <w:szCs w:val="22"/>
        </w:rPr>
        <w:t xml:space="preserve">. - Las fechas de visita de obra se realizarán de acuerdo al cronograma </w:t>
      </w:r>
      <w:r w:rsidR="00D70025">
        <w:rPr>
          <w:rFonts w:asciiTheme="majorHAnsi" w:hAnsiTheme="majorHAnsi" w:cstheme="majorHAnsi"/>
          <w:szCs w:val="22"/>
        </w:rPr>
        <w:t xml:space="preserve">aprobado </w:t>
      </w:r>
      <w:r w:rsidRPr="00B24A80">
        <w:rPr>
          <w:rFonts w:asciiTheme="majorHAnsi" w:hAnsiTheme="majorHAnsi" w:cstheme="majorHAnsi"/>
          <w:szCs w:val="22"/>
        </w:rPr>
        <w:t>y previa coordinación con el responsable del proyecto. El GADM</w:t>
      </w:r>
      <w:r w:rsidR="00FE7E23" w:rsidRPr="00B24A80">
        <w:rPr>
          <w:rFonts w:asciiTheme="majorHAnsi" w:hAnsiTheme="majorHAnsi" w:cstheme="majorHAnsi"/>
          <w:szCs w:val="22"/>
        </w:rPr>
        <w:t xml:space="preserve"> de</w:t>
      </w:r>
      <w:r w:rsidR="006E0959" w:rsidRPr="00B24A80">
        <w:rPr>
          <w:rFonts w:asciiTheme="majorHAnsi" w:hAnsiTheme="majorHAnsi" w:cstheme="majorHAnsi"/>
          <w:szCs w:val="22"/>
        </w:rPr>
        <w:t>l cantón La</w:t>
      </w:r>
      <w:r w:rsidR="00E30701" w:rsidRPr="00B24A80">
        <w:rPr>
          <w:rFonts w:asciiTheme="majorHAnsi" w:eastAsia="Arial" w:hAnsiTheme="majorHAnsi" w:cstheme="majorHAnsi"/>
          <w:color w:val="25282C"/>
          <w:szCs w:val="22"/>
        </w:rPr>
        <w:t xml:space="preserve"> Joya de los Sachas</w:t>
      </w:r>
      <w:r w:rsidRPr="00B24A80">
        <w:rPr>
          <w:rFonts w:asciiTheme="majorHAnsi" w:hAnsiTheme="majorHAnsi" w:cstheme="majorHAnsi"/>
          <w:szCs w:val="22"/>
        </w:rPr>
        <w:t xml:space="preserve"> deberá realizar por lo menos una inspección para verificar el cumplimento de la autorización otorgada. </w:t>
      </w:r>
    </w:p>
    <w:p w14:paraId="420AB25B" w14:textId="77777777" w:rsidR="006E0959" w:rsidRPr="00B24A80" w:rsidRDefault="006E0959" w:rsidP="006E0959">
      <w:pPr>
        <w:pStyle w:val="Prrafodelista"/>
        <w:widowControl/>
        <w:tabs>
          <w:tab w:val="left" w:pos="851"/>
        </w:tabs>
        <w:spacing w:after="240" w:line="276" w:lineRule="auto"/>
        <w:ind w:left="0" w:right="-100"/>
        <w:rPr>
          <w:rFonts w:asciiTheme="majorHAnsi" w:hAnsiTheme="majorHAnsi" w:cstheme="majorHAnsi"/>
          <w:szCs w:val="22"/>
        </w:rPr>
      </w:pPr>
    </w:p>
    <w:p w14:paraId="206E9B90" w14:textId="37A09B5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Informe de finalización de obra. -</w:t>
      </w:r>
      <w:r w:rsidRPr="00B24A80">
        <w:rPr>
          <w:rFonts w:asciiTheme="majorHAnsi" w:hAnsiTheme="majorHAnsi" w:cstheme="majorHAnsi"/>
          <w:szCs w:val="22"/>
        </w:rPr>
        <w:t xml:space="preserve"> El responsable de la obra emitirá al GADMC</w:t>
      </w:r>
      <w:r w:rsidR="006E0959" w:rsidRPr="00B24A80">
        <w:rPr>
          <w:rFonts w:asciiTheme="majorHAnsi" w:hAnsiTheme="majorHAnsi" w:cstheme="majorHAnsi"/>
          <w:szCs w:val="22"/>
        </w:rPr>
        <w:t>JS</w:t>
      </w:r>
      <w:r w:rsidRPr="00B24A80">
        <w:rPr>
          <w:rFonts w:asciiTheme="majorHAnsi" w:hAnsiTheme="majorHAnsi" w:cstheme="majorHAnsi"/>
          <w:szCs w:val="22"/>
        </w:rPr>
        <w:t xml:space="preserve"> el informe de finalización de obra</w:t>
      </w:r>
      <w:r w:rsidR="00C10B65">
        <w:rPr>
          <w:rFonts w:asciiTheme="majorHAnsi" w:hAnsiTheme="majorHAnsi" w:cstheme="majorHAnsi"/>
          <w:szCs w:val="22"/>
        </w:rPr>
        <w:t xml:space="preserve">, </w:t>
      </w:r>
      <w:r w:rsidR="005E1EBA">
        <w:rPr>
          <w:rFonts w:asciiTheme="majorHAnsi" w:hAnsiTheme="majorHAnsi" w:cstheme="majorHAnsi"/>
          <w:szCs w:val="22"/>
        </w:rPr>
        <w:t xml:space="preserve">con la finalidad de </w:t>
      </w:r>
      <w:r w:rsidR="00C10B65">
        <w:rPr>
          <w:rFonts w:asciiTheme="majorHAnsi" w:hAnsiTheme="majorHAnsi" w:cstheme="majorHAnsi"/>
          <w:szCs w:val="22"/>
        </w:rPr>
        <w:t>empezar el proceso de devolución de la garantía</w:t>
      </w:r>
      <w:r w:rsidR="000727BD">
        <w:rPr>
          <w:rFonts w:asciiTheme="majorHAnsi" w:hAnsiTheme="majorHAnsi" w:cstheme="majorHAnsi"/>
          <w:szCs w:val="22"/>
        </w:rPr>
        <w:t xml:space="preserve"> y el permiso de habitabilidad.</w:t>
      </w:r>
    </w:p>
    <w:p w14:paraId="130D02FF" w14:textId="24EFD56F" w:rsidR="006E0959" w:rsidRPr="00B24A80" w:rsidRDefault="006E0959" w:rsidP="006E0959">
      <w:pPr>
        <w:pStyle w:val="Prrafodelista"/>
        <w:widowControl/>
        <w:tabs>
          <w:tab w:val="left" w:pos="851"/>
        </w:tabs>
        <w:spacing w:after="240" w:line="276" w:lineRule="auto"/>
        <w:ind w:left="0" w:right="-100"/>
        <w:rPr>
          <w:rFonts w:asciiTheme="majorHAnsi" w:hAnsiTheme="majorHAnsi" w:cstheme="majorHAnsi"/>
          <w:szCs w:val="22"/>
        </w:rPr>
      </w:pPr>
    </w:p>
    <w:p w14:paraId="5557E80C" w14:textId="4B0F872C" w:rsidR="00DC27E8" w:rsidRPr="00B24A80" w:rsidRDefault="00EB5C24" w:rsidP="008A7C8C">
      <w:pPr>
        <w:pStyle w:val="Ttulo4"/>
        <w:rPr>
          <w:rFonts w:cstheme="majorHAnsi"/>
          <w:sz w:val="22"/>
          <w:szCs w:val="22"/>
        </w:rPr>
      </w:pPr>
      <w:bookmarkStart w:id="232" w:name="_Toc81085663"/>
      <w:bookmarkStart w:id="233" w:name="_Toc181374103"/>
      <w:r w:rsidRPr="00B24A80">
        <w:rPr>
          <w:rFonts w:cstheme="majorHAnsi"/>
          <w:sz w:val="22"/>
          <w:szCs w:val="22"/>
        </w:rPr>
        <w:lastRenderedPageBreak/>
        <w:t>SECCIÓN</w:t>
      </w:r>
      <w:r w:rsidR="002A28BC" w:rsidRPr="00B24A80">
        <w:rPr>
          <w:rFonts w:cstheme="majorHAnsi"/>
          <w:sz w:val="22"/>
          <w:szCs w:val="22"/>
        </w:rPr>
        <w:t xml:space="preserve"> </w:t>
      </w:r>
      <w:r w:rsidR="00767139">
        <w:rPr>
          <w:rFonts w:cstheme="majorHAnsi"/>
          <w:sz w:val="22"/>
          <w:szCs w:val="22"/>
        </w:rPr>
        <w:t>III</w:t>
      </w:r>
      <w:r w:rsidR="008A7C8C" w:rsidRPr="00B24A80">
        <w:rPr>
          <w:rFonts w:cstheme="majorHAnsi"/>
          <w:sz w:val="22"/>
          <w:szCs w:val="22"/>
        </w:rPr>
        <w:br/>
      </w:r>
      <w:r w:rsidR="007F5505" w:rsidRPr="00B24A80">
        <w:rPr>
          <w:rFonts w:cstheme="majorHAnsi"/>
          <w:sz w:val="22"/>
          <w:szCs w:val="22"/>
        </w:rPr>
        <w:t>Autorización de intervenciones constructivas mayores.</w:t>
      </w:r>
      <w:bookmarkEnd w:id="232"/>
      <w:bookmarkEnd w:id="233"/>
    </w:p>
    <w:p w14:paraId="286E056E" w14:textId="2003240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Autorización de intervenciones constructivas mayores. -</w:t>
      </w:r>
      <w:r w:rsidRPr="00B24A80">
        <w:rPr>
          <w:rFonts w:asciiTheme="majorHAnsi" w:hAnsiTheme="majorHAnsi" w:cstheme="majorHAnsi"/>
          <w:szCs w:val="22"/>
        </w:rPr>
        <w:t xml:space="preserve"> Se entiende por autorización de intervenciones constructivas mayores a la autorización otorgada por el GADM</w:t>
      </w:r>
      <w:r w:rsidR="000367E3" w:rsidRPr="00B24A80">
        <w:rPr>
          <w:rFonts w:asciiTheme="majorHAnsi" w:hAnsiTheme="majorHAnsi" w:cstheme="majorHAnsi"/>
          <w:szCs w:val="22"/>
        </w:rPr>
        <w:t xml:space="preserve"> de</w:t>
      </w:r>
      <w:r w:rsidR="006E0959" w:rsidRPr="00B24A80">
        <w:rPr>
          <w:rFonts w:asciiTheme="majorHAnsi" w:hAnsiTheme="majorHAnsi" w:cstheme="majorHAnsi"/>
          <w:szCs w:val="22"/>
        </w:rPr>
        <w:t>l cantón</w:t>
      </w:r>
      <w:r w:rsidR="000367E3" w:rsidRPr="00B24A80">
        <w:rPr>
          <w:rFonts w:asciiTheme="majorHAnsi" w:hAnsiTheme="majorHAnsi" w:cstheme="majorHAnsi"/>
          <w:szCs w:val="22"/>
        </w:rPr>
        <w:t xml:space="preserve"> </w:t>
      </w:r>
      <w:r w:rsidR="00E30701" w:rsidRPr="00B24A80">
        <w:rPr>
          <w:rFonts w:asciiTheme="majorHAnsi" w:eastAsia="Arial" w:hAnsiTheme="majorHAnsi" w:cstheme="majorHAnsi"/>
          <w:color w:val="25282C"/>
          <w:szCs w:val="22"/>
        </w:rPr>
        <w:t>La Joya de los Sachas</w:t>
      </w:r>
      <w:r w:rsidRPr="00B24A80">
        <w:rPr>
          <w:rFonts w:asciiTheme="majorHAnsi" w:hAnsiTheme="majorHAnsi" w:cstheme="majorHAnsi"/>
          <w:szCs w:val="22"/>
        </w:rPr>
        <w:t xml:space="preserve"> para desarrollar en un predio determinado, obras de nueva construcción, reconstrucción o remodelación cuando el área de intervención supere los 40 m2</w:t>
      </w:r>
      <w:r w:rsidR="00E50F1F">
        <w:rPr>
          <w:rFonts w:asciiTheme="majorHAnsi" w:hAnsiTheme="majorHAnsi" w:cstheme="majorHAnsi"/>
          <w:szCs w:val="22"/>
        </w:rPr>
        <w:t>.</w:t>
      </w:r>
    </w:p>
    <w:p w14:paraId="40581242" w14:textId="77777777" w:rsidR="006E0959" w:rsidRPr="00B24A80" w:rsidRDefault="006E0959" w:rsidP="006E0959">
      <w:pPr>
        <w:pStyle w:val="Prrafodelista"/>
        <w:widowControl/>
        <w:tabs>
          <w:tab w:val="left" w:pos="851"/>
        </w:tabs>
        <w:spacing w:after="240" w:line="276" w:lineRule="auto"/>
        <w:ind w:left="0" w:right="-100"/>
        <w:rPr>
          <w:rFonts w:asciiTheme="majorHAnsi" w:hAnsiTheme="majorHAnsi" w:cstheme="majorHAnsi"/>
          <w:szCs w:val="22"/>
        </w:rPr>
      </w:pPr>
    </w:p>
    <w:p w14:paraId="1FD3041C" w14:textId="137C194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los requisitos para la aprobación del </w:t>
      </w:r>
      <w:r w:rsidR="00154F1B" w:rsidRPr="00B24A80">
        <w:rPr>
          <w:rFonts w:asciiTheme="majorHAnsi" w:hAnsiTheme="majorHAnsi" w:cstheme="majorHAnsi"/>
          <w:b/>
          <w:szCs w:val="22"/>
        </w:rPr>
        <w:t>anteproyecto. -</w:t>
      </w:r>
      <w:r w:rsidRPr="00B24A80">
        <w:rPr>
          <w:rFonts w:asciiTheme="majorHAnsi" w:hAnsiTheme="majorHAnsi" w:cstheme="majorHAnsi"/>
          <w:szCs w:val="22"/>
        </w:rPr>
        <w:t xml:space="preserve"> </w:t>
      </w:r>
      <w:r w:rsidR="00491231">
        <w:rPr>
          <w:rFonts w:asciiTheme="majorHAnsi" w:hAnsiTheme="majorHAnsi" w:cstheme="majorHAnsi"/>
          <w:szCs w:val="22"/>
        </w:rPr>
        <w:t>L</w:t>
      </w:r>
      <w:r w:rsidRPr="00B24A80">
        <w:rPr>
          <w:rFonts w:asciiTheme="majorHAnsi" w:hAnsiTheme="majorHAnsi" w:cstheme="majorHAnsi"/>
          <w:szCs w:val="22"/>
        </w:rPr>
        <w:t xml:space="preserve">a aprobación de un anteproyecto para intervenciones constructivas mayores, será responsabilidad del solicitante presentar los siguientes documentos para iniciar el trámite: </w:t>
      </w:r>
    </w:p>
    <w:p w14:paraId="7D517405" w14:textId="195EEDFA" w:rsidR="00DC27E8" w:rsidRPr="00B24A80" w:rsidRDefault="007F5505"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Solicitud suscrita por el propietario, de acuerdo al formato establecido por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w:t>
      </w:r>
    </w:p>
    <w:p w14:paraId="38DCD974" w14:textId="69DC3F66" w:rsidR="00DC27E8" w:rsidRPr="00B24A80" w:rsidRDefault="007F5505"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En caso de que el trámite lo realice un tercero presentará la autorización del propietario y su cédula de identidad y certificado de votación;</w:t>
      </w:r>
    </w:p>
    <w:p w14:paraId="0B8F17E0" w14:textId="3947E8BF" w:rsidR="00DC27E8" w:rsidRPr="00B24A80" w:rsidRDefault="00154F1B"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Certificado de no adeudar al </w:t>
      </w:r>
      <w:r w:rsidR="006D2464" w:rsidRPr="00B24A80">
        <w:rPr>
          <w:rFonts w:asciiTheme="majorHAnsi" w:hAnsiTheme="majorHAnsi" w:cstheme="majorHAnsi"/>
          <w:szCs w:val="22"/>
        </w:rPr>
        <w:t xml:space="preserve">GADM del </w:t>
      </w:r>
      <w:r w:rsidR="006E0959" w:rsidRPr="00B24A80">
        <w:rPr>
          <w:rFonts w:asciiTheme="majorHAnsi" w:hAnsiTheme="majorHAnsi" w:cstheme="majorHAnsi"/>
          <w:szCs w:val="22"/>
        </w:rPr>
        <w:t>cantón La</w:t>
      </w:r>
      <w:r w:rsidR="006D2464" w:rsidRPr="00B24A80">
        <w:rPr>
          <w:rFonts w:asciiTheme="majorHAnsi" w:hAnsiTheme="majorHAnsi" w:cstheme="majorHAnsi"/>
          <w:szCs w:val="22"/>
        </w:rPr>
        <w:t xml:space="preserve"> Joya de los Sachas.</w:t>
      </w:r>
    </w:p>
    <w:p w14:paraId="0B93B2F6" w14:textId="6A828175" w:rsidR="00DC27E8" w:rsidRDefault="007F5505"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Copia simple de escritura del inmueble inscrita</w:t>
      </w:r>
      <w:r w:rsidR="00154F1B" w:rsidRPr="00B24A80">
        <w:rPr>
          <w:rFonts w:asciiTheme="majorHAnsi" w:hAnsiTheme="majorHAnsi" w:cstheme="majorHAnsi"/>
          <w:szCs w:val="22"/>
        </w:rPr>
        <w:t xml:space="preserve"> en el Registro de la Propiedad;</w:t>
      </w:r>
    </w:p>
    <w:p w14:paraId="5037A4FE" w14:textId="76F882C1" w:rsidR="00893247" w:rsidRPr="00B24A80" w:rsidRDefault="00893247" w:rsidP="00CA24CF">
      <w:pPr>
        <w:pStyle w:val="Prrafodelista"/>
        <w:numPr>
          <w:ilvl w:val="0"/>
          <w:numId w:val="70"/>
        </w:numPr>
        <w:spacing w:line="276" w:lineRule="auto"/>
        <w:ind w:right="42"/>
        <w:rPr>
          <w:rFonts w:asciiTheme="majorHAnsi" w:hAnsiTheme="majorHAnsi" w:cstheme="majorHAnsi"/>
          <w:szCs w:val="22"/>
        </w:rPr>
      </w:pPr>
      <w:r>
        <w:rPr>
          <w:rFonts w:asciiTheme="majorHAnsi" w:hAnsiTheme="majorHAnsi" w:cstheme="majorHAnsi"/>
          <w:szCs w:val="22"/>
        </w:rPr>
        <w:t>Certificado actualizado del Registro de la Propiedad.</w:t>
      </w:r>
    </w:p>
    <w:p w14:paraId="3C453EE4" w14:textId="71C87E45" w:rsidR="00DC27E8" w:rsidRPr="00B24A80" w:rsidRDefault="007F5505"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Informe Predial de Regulaciones de Uso del Suelo - IPRUS actualizado; </w:t>
      </w:r>
    </w:p>
    <w:p w14:paraId="478A7B28" w14:textId="23512D30" w:rsidR="00DC27E8" w:rsidRPr="00B24A80" w:rsidRDefault="007F5505"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Planos arquitectónicos (</w:t>
      </w:r>
      <w:r w:rsidR="008A66A7">
        <w:rPr>
          <w:rFonts w:asciiTheme="majorHAnsi" w:hAnsiTheme="majorHAnsi" w:cstheme="majorHAnsi"/>
          <w:szCs w:val="22"/>
        </w:rPr>
        <w:t xml:space="preserve">2 </w:t>
      </w:r>
      <w:r w:rsidRPr="00B24A80">
        <w:rPr>
          <w:rFonts w:asciiTheme="majorHAnsi" w:hAnsiTheme="majorHAnsi" w:cstheme="majorHAnsi"/>
          <w:szCs w:val="22"/>
        </w:rPr>
        <w:t xml:space="preserve">en físico y en digital en formato </w:t>
      </w:r>
      <w:r w:rsidR="00083E97" w:rsidRPr="00B24A80">
        <w:rPr>
          <w:rFonts w:asciiTheme="majorHAnsi" w:hAnsiTheme="majorHAnsi" w:cstheme="majorHAnsi"/>
          <w:i/>
          <w:iCs/>
          <w:szCs w:val="22"/>
        </w:rPr>
        <w:t>DWG</w:t>
      </w:r>
      <w:r w:rsidRPr="00B24A80">
        <w:rPr>
          <w:rFonts w:asciiTheme="majorHAnsi" w:hAnsiTheme="majorHAnsi" w:cstheme="majorHAnsi"/>
          <w:szCs w:val="22"/>
        </w:rPr>
        <w:t xml:space="preserve"> georreferenciados) con los datos y firma del propietario (nombre y número de cédula) y del profesional competente (nombre, número de cédula y registro </w:t>
      </w:r>
      <w:r w:rsidR="006E0959" w:rsidRPr="00B24A80">
        <w:rPr>
          <w:rFonts w:asciiTheme="majorHAnsi" w:hAnsiTheme="majorHAnsi" w:cstheme="majorHAnsi"/>
          <w:szCs w:val="22"/>
        </w:rPr>
        <w:t xml:space="preserve">SENESCYT). </w:t>
      </w:r>
      <w:r w:rsidRPr="00B24A80">
        <w:rPr>
          <w:rFonts w:asciiTheme="majorHAnsi" w:hAnsiTheme="majorHAnsi" w:cstheme="majorHAnsi"/>
          <w:szCs w:val="22"/>
        </w:rPr>
        <w:t xml:space="preserve">Los planos deberán estar elaborados en conformidad con las normas nacionales de construcción, la normativa urbanística y demás normativa vigente para el efecto; y, </w:t>
      </w:r>
    </w:p>
    <w:p w14:paraId="26A38E91" w14:textId="689ED4E4" w:rsidR="00DC27E8" w:rsidRDefault="007F5505" w:rsidP="00CA24CF">
      <w:pPr>
        <w:pStyle w:val="Prrafodelista"/>
        <w:numPr>
          <w:ilvl w:val="0"/>
          <w:numId w:val="70"/>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Informes de factibilidad de servicios públicos de soporte emitidos por las entidades competentes. </w:t>
      </w:r>
    </w:p>
    <w:p w14:paraId="12E52A5C" w14:textId="6B125B82" w:rsidR="00E57E21" w:rsidRDefault="00E57E21" w:rsidP="00E57E21">
      <w:pPr>
        <w:pStyle w:val="Prrafodelista"/>
        <w:numPr>
          <w:ilvl w:val="0"/>
          <w:numId w:val="70"/>
        </w:numPr>
        <w:spacing w:line="276" w:lineRule="auto"/>
        <w:ind w:right="42"/>
        <w:rPr>
          <w:rFonts w:asciiTheme="majorHAnsi" w:hAnsiTheme="majorHAnsi" w:cstheme="majorHAnsi"/>
          <w:szCs w:val="22"/>
        </w:rPr>
      </w:pPr>
      <w:r w:rsidRPr="00E57E21">
        <w:rPr>
          <w:rFonts w:asciiTheme="majorHAnsi" w:hAnsiTheme="majorHAnsi" w:cstheme="majorHAnsi"/>
          <w:szCs w:val="22"/>
        </w:rPr>
        <w:t>Cuando el diseño contemple una excavación de más de 1,50 m, de</w:t>
      </w:r>
      <w:r>
        <w:rPr>
          <w:rFonts w:asciiTheme="majorHAnsi" w:hAnsiTheme="majorHAnsi" w:cstheme="majorHAnsi"/>
          <w:szCs w:val="22"/>
        </w:rPr>
        <w:t xml:space="preserve"> </w:t>
      </w:r>
      <w:r w:rsidRPr="00E57E21">
        <w:rPr>
          <w:rFonts w:asciiTheme="majorHAnsi" w:hAnsiTheme="majorHAnsi" w:cstheme="majorHAnsi"/>
          <w:szCs w:val="22"/>
        </w:rPr>
        <w:t>profundidad, se requiere presentar un estudio de suelos y la memoria del</w:t>
      </w:r>
      <w:r>
        <w:rPr>
          <w:rFonts w:asciiTheme="majorHAnsi" w:hAnsiTheme="majorHAnsi" w:cstheme="majorHAnsi"/>
          <w:szCs w:val="22"/>
        </w:rPr>
        <w:t xml:space="preserve"> </w:t>
      </w:r>
      <w:r w:rsidRPr="00E57E21">
        <w:rPr>
          <w:rFonts w:asciiTheme="majorHAnsi" w:hAnsiTheme="majorHAnsi" w:cstheme="majorHAnsi"/>
          <w:szCs w:val="22"/>
        </w:rPr>
        <w:t>sistema de excavación, con planos y descripción del proceso;</w:t>
      </w:r>
    </w:p>
    <w:p w14:paraId="003FC69D" w14:textId="77777777" w:rsidR="00B2079B" w:rsidRDefault="00BD1904" w:rsidP="00E57E21">
      <w:pPr>
        <w:pStyle w:val="Prrafodelista"/>
        <w:numPr>
          <w:ilvl w:val="0"/>
          <w:numId w:val="70"/>
        </w:numPr>
        <w:spacing w:line="276" w:lineRule="auto"/>
        <w:ind w:right="42"/>
        <w:rPr>
          <w:rFonts w:asciiTheme="majorHAnsi" w:hAnsiTheme="majorHAnsi" w:cstheme="majorHAnsi"/>
          <w:szCs w:val="22"/>
        </w:rPr>
      </w:pPr>
      <w:r>
        <w:rPr>
          <w:rFonts w:asciiTheme="majorHAnsi" w:hAnsiTheme="majorHAnsi" w:cstheme="majorHAnsi"/>
          <w:szCs w:val="22"/>
        </w:rPr>
        <w:t xml:space="preserve">Las ingenierías complementarias del proyecto deberán contar con la firma de responsabilidad del profesional </w:t>
      </w:r>
      <w:r w:rsidR="002E7AEB">
        <w:rPr>
          <w:rFonts w:asciiTheme="majorHAnsi" w:hAnsiTheme="majorHAnsi" w:cstheme="majorHAnsi"/>
          <w:szCs w:val="22"/>
        </w:rPr>
        <w:t>especializado.</w:t>
      </w:r>
    </w:p>
    <w:p w14:paraId="540CBFBB" w14:textId="77777777" w:rsid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 xml:space="preserve">Adjuntar contrato notariado de dirección técnica ó construcción del proyecto entre el ó los propietarios y un profesional de la construcción (arquitecto ó ingeniero) ó empresa constructora. El cual deberá indicar la responsabilidad de ambas partes sobre el cumplimiento y seguimiento de los planos aprobados durante la construcción; </w:t>
      </w:r>
    </w:p>
    <w:p w14:paraId="6B3D41CC" w14:textId="172A7D11" w:rsid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 xml:space="preserve">La obra será ejecutada únicamente bajo la supervisión de un profesional de la construcción, para que se dé fiel cumplimiento a los planos previamente aprobados; lo que responsabilizara al propietario y al profesional de la construcción ante cualquier eventualidad; </w:t>
      </w:r>
    </w:p>
    <w:p w14:paraId="15AFDFD4" w14:textId="77777777" w:rsid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 xml:space="preserve">El constructor deberá colocar un rótulo de 60cm x 120cm, en el predio a construir, que contenga la identificación del proyecto, nombres de los profesionales del diseño arquitectónico, estructural y de instalaciones y número del permiso de construcción; </w:t>
      </w:r>
    </w:p>
    <w:p w14:paraId="21BF1D53" w14:textId="5A62A70F"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El constructor deberá mantener en la obra copia de permiso de construcción y un juego completo de todos los planos aprobados</w:t>
      </w:r>
    </w:p>
    <w:p w14:paraId="3BD4C881" w14:textId="77777777"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 xml:space="preserve">Se protegerá con cerramientos o vallas provisionales mientras dure la construcción; </w:t>
      </w:r>
    </w:p>
    <w:p w14:paraId="6D1CBE0C" w14:textId="77777777"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lastRenderedPageBreak/>
        <w:t xml:space="preserve">Para edificaciones de uso residencial, comercial o industrial que tengan instalaciones centralizadas de gas combustible, se presentarán los planos pertinentes con responsabilidad de un profesional idóneo de la rama; </w:t>
      </w:r>
    </w:p>
    <w:p w14:paraId="02B3D39D" w14:textId="77777777"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 xml:space="preserve">Tres CD del proyecto arquitectónico y de sus ingenierías según su requerimiento: (estructurales, eléctricas, electrónicas, sanitarias, contraincendios); </w:t>
      </w:r>
    </w:p>
    <w:p w14:paraId="47C9EE40" w14:textId="77777777"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Pago de tasa por uso de vía pública de ser el caso;</w:t>
      </w:r>
    </w:p>
    <w:p w14:paraId="28C5DA48" w14:textId="77777777"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Formulario INEC;</w:t>
      </w:r>
    </w:p>
    <w:p w14:paraId="4953BC25" w14:textId="77777777" w:rsidR="0038724A" w:rsidRP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Formulario de Revisión y Aprobación de Planos; y,</w:t>
      </w:r>
    </w:p>
    <w:p w14:paraId="391864E7" w14:textId="2C65B5ED" w:rsidR="0038724A" w:rsidRDefault="0038724A" w:rsidP="0038724A">
      <w:pPr>
        <w:pStyle w:val="Prrafodelista"/>
        <w:numPr>
          <w:ilvl w:val="0"/>
          <w:numId w:val="70"/>
        </w:numPr>
        <w:spacing w:line="276" w:lineRule="auto"/>
        <w:ind w:right="42"/>
        <w:rPr>
          <w:rFonts w:asciiTheme="majorHAnsi" w:hAnsiTheme="majorHAnsi" w:cstheme="majorHAnsi"/>
          <w:szCs w:val="22"/>
        </w:rPr>
      </w:pPr>
      <w:r w:rsidRPr="0038724A">
        <w:rPr>
          <w:rFonts w:asciiTheme="majorHAnsi" w:hAnsiTheme="majorHAnsi" w:cstheme="majorHAnsi"/>
          <w:szCs w:val="22"/>
        </w:rPr>
        <w:t>Formulario de Permiso de Construcción.</w:t>
      </w:r>
    </w:p>
    <w:p w14:paraId="4DD15518" w14:textId="7E86AB7A" w:rsidR="00BD1904" w:rsidRPr="00E57E21" w:rsidRDefault="002E7AEB" w:rsidP="00B2079B">
      <w:pPr>
        <w:pStyle w:val="Prrafodelista"/>
        <w:spacing w:line="276" w:lineRule="auto"/>
        <w:ind w:right="42"/>
        <w:rPr>
          <w:rFonts w:asciiTheme="majorHAnsi" w:hAnsiTheme="majorHAnsi" w:cstheme="majorHAnsi"/>
          <w:szCs w:val="22"/>
        </w:rPr>
      </w:pPr>
      <w:r>
        <w:rPr>
          <w:rFonts w:asciiTheme="majorHAnsi" w:hAnsiTheme="majorHAnsi" w:cstheme="majorHAnsi"/>
          <w:szCs w:val="22"/>
        </w:rPr>
        <w:t xml:space="preserve"> </w:t>
      </w:r>
    </w:p>
    <w:p w14:paraId="6BA10CC4" w14:textId="0F6D51B9" w:rsidR="00DC27E8" w:rsidRDefault="00C267AF">
      <w:pPr>
        <w:spacing w:line="276" w:lineRule="auto"/>
        <w:ind w:right="42"/>
        <w:rPr>
          <w:rFonts w:asciiTheme="majorHAnsi" w:hAnsiTheme="majorHAnsi" w:cstheme="majorHAnsi"/>
          <w:sz w:val="22"/>
          <w:szCs w:val="22"/>
        </w:rPr>
      </w:pPr>
      <w:r>
        <w:rPr>
          <w:rFonts w:asciiTheme="majorHAnsi" w:hAnsiTheme="majorHAnsi" w:cstheme="majorHAnsi"/>
          <w:sz w:val="22"/>
          <w:szCs w:val="22"/>
        </w:rPr>
        <w:t xml:space="preserve">                </w:t>
      </w:r>
    </w:p>
    <w:p w14:paraId="66687B21" w14:textId="356A672E" w:rsidR="00A90AE1" w:rsidRPr="00566CAB" w:rsidRDefault="00A90AE1" w:rsidP="00A90AE1">
      <w:pPr>
        <w:spacing w:line="276" w:lineRule="auto"/>
        <w:ind w:right="42"/>
        <w:rPr>
          <w:rFonts w:asciiTheme="majorHAnsi" w:hAnsiTheme="majorHAnsi" w:cstheme="majorHAnsi"/>
          <w:sz w:val="22"/>
          <w:szCs w:val="22"/>
        </w:rPr>
      </w:pPr>
      <w:r w:rsidRPr="00566CAB">
        <w:rPr>
          <w:rFonts w:asciiTheme="majorHAnsi" w:hAnsiTheme="majorHAnsi" w:cstheme="majorHAnsi"/>
          <w:sz w:val="22"/>
          <w:szCs w:val="22"/>
        </w:rPr>
        <w:t>El Informe de Permiso de Construcción tendrá una vigencia de doce meses, a partir de</w:t>
      </w:r>
      <w:r w:rsidR="00566CAB" w:rsidRPr="00566CAB">
        <w:rPr>
          <w:rFonts w:asciiTheme="majorHAnsi" w:hAnsiTheme="majorHAnsi" w:cstheme="majorHAnsi"/>
          <w:sz w:val="22"/>
          <w:szCs w:val="22"/>
        </w:rPr>
        <w:t xml:space="preserve"> </w:t>
      </w:r>
      <w:r w:rsidRPr="00566CAB">
        <w:rPr>
          <w:rFonts w:asciiTheme="majorHAnsi" w:hAnsiTheme="majorHAnsi" w:cstheme="majorHAnsi"/>
          <w:sz w:val="22"/>
          <w:szCs w:val="22"/>
        </w:rPr>
        <w:t>su emisión. De acuerdo al tamaño y dimensión de la edificación, se exigirá los</w:t>
      </w:r>
      <w:r w:rsidR="00566CAB" w:rsidRPr="00566CAB">
        <w:rPr>
          <w:rFonts w:asciiTheme="majorHAnsi" w:hAnsiTheme="majorHAnsi" w:cstheme="majorHAnsi"/>
          <w:sz w:val="22"/>
          <w:szCs w:val="22"/>
        </w:rPr>
        <w:t xml:space="preserve"> </w:t>
      </w:r>
      <w:r w:rsidRPr="00566CAB">
        <w:rPr>
          <w:rFonts w:asciiTheme="majorHAnsi" w:hAnsiTheme="majorHAnsi" w:cstheme="majorHAnsi"/>
          <w:sz w:val="22"/>
          <w:szCs w:val="22"/>
        </w:rPr>
        <w:t>permisos ambientales del caso, que pueden ir desde un informe técnico de la</w:t>
      </w:r>
      <w:r w:rsidR="00566CAB" w:rsidRPr="00566CAB">
        <w:rPr>
          <w:rFonts w:asciiTheme="majorHAnsi" w:hAnsiTheme="majorHAnsi" w:cstheme="majorHAnsi"/>
          <w:sz w:val="22"/>
          <w:szCs w:val="22"/>
        </w:rPr>
        <w:t xml:space="preserve"> </w:t>
      </w:r>
      <w:r w:rsidRPr="00566CAB">
        <w:rPr>
          <w:rFonts w:asciiTheme="majorHAnsi" w:hAnsiTheme="majorHAnsi" w:cstheme="majorHAnsi"/>
          <w:sz w:val="22"/>
          <w:szCs w:val="22"/>
        </w:rPr>
        <w:t>Unidad de Gestión Ambiental, fichas de intersección hasta licencias ambientales</w:t>
      </w:r>
      <w:r w:rsidR="00566CAB" w:rsidRPr="00566CAB">
        <w:rPr>
          <w:rFonts w:asciiTheme="majorHAnsi" w:hAnsiTheme="majorHAnsi" w:cstheme="majorHAnsi"/>
          <w:sz w:val="22"/>
          <w:szCs w:val="22"/>
        </w:rPr>
        <w:t xml:space="preserve"> </w:t>
      </w:r>
      <w:r w:rsidRPr="00566CAB">
        <w:rPr>
          <w:rFonts w:asciiTheme="majorHAnsi" w:hAnsiTheme="majorHAnsi" w:cstheme="majorHAnsi"/>
          <w:sz w:val="22"/>
          <w:szCs w:val="22"/>
        </w:rPr>
        <w:t>emitidas por la institución competente. Este documento no se utilizará en trámites</w:t>
      </w:r>
      <w:r w:rsidR="00566CAB" w:rsidRPr="00566CAB">
        <w:rPr>
          <w:rFonts w:asciiTheme="majorHAnsi" w:hAnsiTheme="majorHAnsi" w:cstheme="majorHAnsi"/>
          <w:sz w:val="22"/>
          <w:szCs w:val="22"/>
        </w:rPr>
        <w:t xml:space="preserve"> </w:t>
      </w:r>
      <w:r w:rsidRPr="00566CAB">
        <w:rPr>
          <w:rFonts w:asciiTheme="majorHAnsi" w:hAnsiTheme="majorHAnsi" w:cstheme="majorHAnsi"/>
          <w:sz w:val="22"/>
          <w:szCs w:val="22"/>
        </w:rPr>
        <w:t>legales en contra de terceros.</w:t>
      </w:r>
    </w:p>
    <w:p w14:paraId="1C73AEF8" w14:textId="08E6C7F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aprobación del </w:t>
      </w:r>
      <w:r w:rsidR="00AF1630" w:rsidRPr="00B24A80">
        <w:rPr>
          <w:rFonts w:asciiTheme="majorHAnsi" w:hAnsiTheme="majorHAnsi" w:cstheme="majorHAnsi"/>
          <w:b/>
          <w:szCs w:val="22"/>
        </w:rPr>
        <w:t>anteproyecto</w:t>
      </w:r>
      <w:r w:rsidR="00AF1630" w:rsidRPr="00B24A80">
        <w:rPr>
          <w:rFonts w:asciiTheme="majorHAnsi" w:hAnsiTheme="majorHAnsi" w:cstheme="majorHAnsi"/>
          <w:szCs w:val="22"/>
        </w:rPr>
        <w:t>. -</w:t>
      </w:r>
      <w:r w:rsidRPr="00B24A80">
        <w:rPr>
          <w:rFonts w:asciiTheme="majorHAnsi" w:hAnsiTheme="majorHAnsi" w:cstheme="majorHAnsi"/>
          <w:szCs w:val="22"/>
        </w:rPr>
        <w:t xml:space="preserve">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deberá revisar el cumplimiento de las normas nacionales de construcción, la normativa urbanística y demás normas vigentes. Con base a esta revisión emitirá un certificado de aprobación de anteproyecto.</w:t>
      </w:r>
    </w:p>
    <w:p w14:paraId="189318DE" w14:textId="77777777" w:rsidR="006E0959" w:rsidRPr="00B24A80" w:rsidRDefault="006E0959" w:rsidP="006E0959">
      <w:pPr>
        <w:pStyle w:val="Prrafodelista"/>
        <w:widowControl/>
        <w:tabs>
          <w:tab w:val="left" w:pos="851"/>
        </w:tabs>
        <w:spacing w:after="240" w:line="276" w:lineRule="auto"/>
        <w:ind w:left="0" w:right="-100"/>
        <w:rPr>
          <w:rFonts w:asciiTheme="majorHAnsi" w:hAnsiTheme="majorHAnsi" w:cstheme="majorHAnsi"/>
          <w:szCs w:val="22"/>
        </w:rPr>
      </w:pPr>
    </w:p>
    <w:p w14:paraId="1D0C2C00" w14:textId="5F6562D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los requisitos a ser presentados para la autorización de intervenciones constructivas mayores del proyecto </w:t>
      </w:r>
      <w:r w:rsidR="00AF1630" w:rsidRPr="00B24A80">
        <w:rPr>
          <w:rFonts w:asciiTheme="majorHAnsi" w:hAnsiTheme="majorHAnsi" w:cstheme="majorHAnsi"/>
          <w:b/>
          <w:szCs w:val="22"/>
        </w:rPr>
        <w:t>definitivo</w:t>
      </w:r>
      <w:r w:rsidR="00AF1630" w:rsidRPr="00B24A80">
        <w:rPr>
          <w:rFonts w:asciiTheme="majorHAnsi" w:hAnsiTheme="majorHAnsi" w:cstheme="majorHAnsi"/>
          <w:szCs w:val="22"/>
        </w:rPr>
        <w:t>. -</w:t>
      </w:r>
      <w:r w:rsidRPr="00B24A80">
        <w:rPr>
          <w:rFonts w:asciiTheme="majorHAnsi" w:hAnsiTheme="majorHAnsi" w:cstheme="majorHAnsi"/>
          <w:szCs w:val="22"/>
        </w:rPr>
        <w:t xml:space="preserve"> Será responsabilidad del solicitante presentar los siguientes documentos al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para iniciar el trámite: </w:t>
      </w:r>
    </w:p>
    <w:p w14:paraId="7700AF8C" w14:textId="5D329E17"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Solicitud suscrita por el propietario y, de acuerdo al formato establecido por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w:t>
      </w:r>
    </w:p>
    <w:p w14:paraId="705B8CDC" w14:textId="79E7C9A5"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En caso de que el trámite lo realice un tercero presentará la autorización del propietario y su cédula de identidad y certificado de votación; </w:t>
      </w:r>
    </w:p>
    <w:p w14:paraId="0337CFA2" w14:textId="01ACA5C4" w:rsidR="00DC27E8" w:rsidRPr="00B24A80" w:rsidRDefault="00AF1630"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Certificado de </w:t>
      </w:r>
      <w:r w:rsidR="007F5505" w:rsidRPr="00B24A80">
        <w:rPr>
          <w:rFonts w:asciiTheme="majorHAnsi" w:hAnsiTheme="majorHAnsi" w:cstheme="majorHAnsi"/>
          <w:szCs w:val="22"/>
        </w:rPr>
        <w:t>No adeudar</w:t>
      </w:r>
      <w:r w:rsidRPr="00B24A80">
        <w:rPr>
          <w:rFonts w:asciiTheme="majorHAnsi" w:hAnsiTheme="majorHAnsi" w:cstheme="majorHAnsi"/>
          <w:szCs w:val="22"/>
        </w:rPr>
        <w:t xml:space="preserve"> al</w:t>
      </w:r>
      <w:r w:rsidR="007F5505" w:rsidRPr="00B24A80">
        <w:rPr>
          <w:rFonts w:asciiTheme="majorHAnsi" w:hAnsiTheme="majorHAnsi" w:cstheme="majorHAnsi"/>
          <w:szCs w:val="22"/>
        </w:rPr>
        <w:t xml:space="preserve"> </w:t>
      </w:r>
      <w:r w:rsidR="006E0959" w:rsidRPr="00B24A80">
        <w:rPr>
          <w:rFonts w:asciiTheme="majorHAnsi" w:hAnsiTheme="majorHAnsi" w:cstheme="majorHAnsi"/>
          <w:szCs w:val="22"/>
        </w:rPr>
        <w:t>GADM del cantón La Joya de los Sachas</w:t>
      </w:r>
      <w:r w:rsidR="000367E3" w:rsidRPr="00B24A80">
        <w:rPr>
          <w:rFonts w:asciiTheme="majorHAnsi" w:hAnsiTheme="majorHAnsi" w:cstheme="majorHAnsi"/>
          <w:szCs w:val="22"/>
        </w:rPr>
        <w:t xml:space="preserve"> </w:t>
      </w:r>
      <w:r w:rsidR="007F5505" w:rsidRPr="00B24A80">
        <w:rPr>
          <w:rFonts w:asciiTheme="majorHAnsi" w:hAnsiTheme="majorHAnsi" w:cstheme="majorHAnsi"/>
          <w:szCs w:val="22"/>
        </w:rPr>
        <w:t>por p</w:t>
      </w:r>
      <w:r w:rsidR="00154F1B" w:rsidRPr="00B24A80">
        <w:rPr>
          <w:rFonts w:asciiTheme="majorHAnsi" w:hAnsiTheme="majorHAnsi" w:cstheme="majorHAnsi"/>
          <w:szCs w:val="22"/>
        </w:rPr>
        <w:t>arte del propietario del predio;</w:t>
      </w:r>
    </w:p>
    <w:p w14:paraId="0F252922" w14:textId="16FF9F99"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Informe Predial de Regulaciones de Uso del Suelo - IPRUS actualizado; </w:t>
      </w:r>
    </w:p>
    <w:p w14:paraId="1FA7C86F" w14:textId="4C2FB15B" w:rsidR="00DC27E8"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Copia de escritura del inmueble inscrita </w:t>
      </w:r>
      <w:r w:rsidR="006840B2" w:rsidRPr="00B24A80">
        <w:rPr>
          <w:rFonts w:asciiTheme="majorHAnsi" w:hAnsiTheme="majorHAnsi" w:cstheme="majorHAnsi"/>
          <w:szCs w:val="22"/>
        </w:rPr>
        <w:t>en el Registro de la Propiedad</w:t>
      </w:r>
      <w:r w:rsidRPr="00B24A80">
        <w:rPr>
          <w:rFonts w:asciiTheme="majorHAnsi" w:hAnsiTheme="majorHAnsi" w:cstheme="majorHAnsi"/>
          <w:szCs w:val="22"/>
        </w:rPr>
        <w:t xml:space="preserve">; </w:t>
      </w:r>
    </w:p>
    <w:p w14:paraId="3E76B90D" w14:textId="7CB814B0" w:rsidR="00BE5E5D" w:rsidRPr="00B24A80" w:rsidRDefault="00BE5E5D" w:rsidP="00CA24CF">
      <w:pPr>
        <w:pStyle w:val="Prrafodelista"/>
        <w:numPr>
          <w:ilvl w:val="0"/>
          <w:numId w:val="71"/>
        </w:numPr>
        <w:spacing w:line="276" w:lineRule="auto"/>
        <w:ind w:right="42"/>
        <w:rPr>
          <w:rFonts w:asciiTheme="majorHAnsi" w:hAnsiTheme="majorHAnsi" w:cstheme="majorHAnsi"/>
          <w:szCs w:val="22"/>
        </w:rPr>
      </w:pPr>
      <w:r>
        <w:rPr>
          <w:rFonts w:asciiTheme="majorHAnsi" w:hAnsiTheme="majorHAnsi" w:cstheme="majorHAnsi"/>
          <w:szCs w:val="22"/>
        </w:rPr>
        <w:t>Certificado del Registro de la Propiedad o certificado de gravámenes.</w:t>
      </w:r>
    </w:p>
    <w:p w14:paraId="02C114F5" w14:textId="4B0A3D33"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Certificado de aprobación del anteproyecto (de ser el caso); </w:t>
      </w:r>
    </w:p>
    <w:p w14:paraId="444DAB2F" w14:textId="0AB84C99"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Proyecto Técnico suscrito por el propietario del inmueble, el promotor en caso de que corresponda y los profesionales competentes; </w:t>
      </w:r>
    </w:p>
    <w:p w14:paraId="2BAF8A36" w14:textId="77777777" w:rsidR="00E81BF3" w:rsidRDefault="007F5505" w:rsidP="00E81BF3">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Planos</w:t>
      </w:r>
      <w:r w:rsidR="00B13113">
        <w:rPr>
          <w:rFonts w:asciiTheme="majorHAnsi" w:hAnsiTheme="majorHAnsi" w:cstheme="majorHAnsi"/>
          <w:szCs w:val="22"/>
        </w:rPr>
        <w:t xml:space="preserve"> arquitectónicos y estructurales</w:t>
      </w:r>
      <w:r w:rsidRPr="00B24A80">
        <w:rPr>
          <w:rFonts w:asciiTheme="majorHAnsi" w:hAnsiTheme="majorHAnsi" w:cstheme="majorHAnsi"/>
          <w:szCs w:val="22"/>
        </w:rPr>
        <w:t xml:space="preserve"> (</w:t>
      </w:r>
      <w:r w:rsidR="00981F7A">
        <w:rPr>
          <w:rFonts w:asciiTheme="majorHAnsi" w:hAnsiTheme="majorHAnsi" w:cstheme="majorHAnsi"/>
          <w:szCs w:val="22"/>
        </w:rPr>
        <w:t xml:space="preserve">3 </w:t>
      </w:r>
      <w:r w:rsidRPr="00B24A80">
        <w:rPr>
          <w:rFonts w:asciiTheme="majorHAnsi" w:hAnsiTheme="majorHAnsi" w:cstheme="majorHAnsi"/>
          <w:szCs w:val="22"/>
        </w:rPr>
        <w:t xml:space="preserve">en físico y en digital en formato </w:t>
      </w:r>
      <w:r w:rsidR="00083E97" w:rsidRPr="00B24A80">
        <w:rPr>
          <w:rFonts w:asciiTheme="majorHAnsi" w:hAnsiTheme="majorHAnsi" w:cstheme="majorHAnsi"/>
          <w:i/>
          <w:iCs/>
          <w:szCs w:val="22"/>
        </w:rPr>
        <w:t>DWG</w:t>
      </w:r>
      <w:r w:rsidRPr="00B24A80">
        <w:rPr>
          <w:rFonts w:asciiTheme="majorHAnsi" w:hAnsiTheme="majorHAnsi" w:cstheme="majorHAnsi"/>
          <w:szCs w:val="22"/>
        </w:rPr>
        <w:t xml:space="preserve"> georreferenciados) con la firma y datos del propietario (nombre y número de cédula), de los profesionales competentes en cada especialidad (nombre, profesión, número de cédula y registro Senescyt). Los planos deberán estar elaborados en conformidad con las normas nacionales de construcción, la normativa urbanística y demás normativa vigente para el efecto; </w:t>
      </w:r>
    </w:p>
    <w:p w14:paraId="714E3E42" w14:textId="164CDFDE" w:rsidR="00DC27E8" w:rsidRPr="00E81BF3" w:rsidRDefault="007F5505" w:rsidP="00E81BF3">
      <w:pPr>
        <w:pStyle w:val="Prrafodelista"/>
        <w:numPr>
          <w:ilvl w:val="0"/>
          <w:numId w:val="71"/>
        </w:numPr>
        <w:spacing w:line="276" w:lineRule="auto"/>
        <w:ind w:right="42"/>
        <w:rPr>
          <w:rFonts w:asciiTheme="majorHAnsi" w:hAnsiTheme="majorHAnsi" w:cstheme="majorHAnsi"/>
          <w:szCs w:val="22"/>
        </w:rPr>
      </w:pPr>
      <w:r w:rsidRPr="00E81BF3">
        <w:rPr>
          <w:rFonts w:asciiTheme="majorHAnsi" w:hAnsiTheme="majorHAnsi" w:cstheme="majorHAnsi"/>
          <w:szCs w:val="22"/>
        </w:rPr>
        <w:t>Estudio geotécnico y mecánica de suelos, de acuerdo con la norma ecuatoriana de la construcción</w:t>
      </w:r>
      <w:r w:rsidR="00AF1630" w:rsidRPr="00E81BF3">
        <w:rPr>
          <w:rFonts w:asciiTheme="majorHAnsi" w:hAnsiTheme="majorHAnsi" w:cstheme="majorHAnsi"/>
          <w:szCs w:val="22"/>
        </w:rPr>
        <w:t xml:space="preserve">, de aquellas construcciones que sobrepasen los dos pisos </w:t>
      </w:r>
      <w:r w:rsidR="00743D2A" w:rsidRPr="00E81BF3">
        <w:rPr>
          <w:rFonts w:asciiTheme="majorHAnsi" w:eastAsia="Calibri" w:hAnsiTheme="majorHAnsi" w:cstheme="majorHAnsi"/>
          <w:szCs w:val="22"/>
        </w:rPr>
        <w:t xml:space="preserve">considerando el </w:t>
      </w:r>
      <w:r w:rsidR="00743D2A" w:rsidRPr="00E81BF3">
        <w:rPr>
          <w:rFonts w:asciiTheme="majorHAnsi" w:eastAsia="Calibri" w:hAnsiTheme="majorHAnsi" w:cstheme="majorHAnsi"/>
          <w:szCs w:val="22"/>
        </w:rPr>
        <w:lastRenderedPageBreak/>
        <w:t>tipo y el uso de edificación,</w:t>
      </w:r>
    </w:p>
    <w:p w14:paraId="61B76B60" w14:textId="0709E1B2"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Certificado, registro o licencia ambiental emitido por el ente</w:t>
      </w:r>
      <w:r w:rsidR="006840B2" w:rsidRPr="00B24A80">
        <w:rPr>
          <w:rFonts w:asciiTheme="majorHAnsi" w:hAnsiTheme="majorHAnsi" w:cstheme="majorHAnsi"/>
          <w:szCs w:val="22"/>
        </w:rPr>
        <w:t xml:space="preserve"> municipal</w:t>
      </w:r>
      <w:r w:rsidRPr="00B24A80">
        <w:rPr>
          <w:rFonts w:asciiTheme="majorHAnsi" w:hAnsiTheme="majorHAnsi" w:cstheme="majorHAnsi"/>
          <w:szCs w:val="22"/>
        </w:rPr>
        <w:t xml:space="preserve"> competente (de ser el caso). </w:t>
      </w:r>
    </w:p>
    <w:p w14:paraId="549F3663" w14:textId="1F92705A"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Certificado de aprobación de planos y factibilidad de los sistemas públicos de soporte emitidos por las dependencias competentes; </w:t>
      </w:r>
    </w:p>
    <w:p w14:paraId="7AF65F1C" w14:textId="5236BA8C" w:rsidR="00DC27E8"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Planos contra incendios aprobados por el Cuerpo de Bomberos del </w:t>
      </w:r>
      <w:r w:rsidR="00CD4F27" w:rsidRPr="00B24A80">
        <w:rPr>
          <w:rFonts w:asciiTheme="majorHAnsi" w:hAnsiTheme="majorHAnsi" w:cstheme="majorHAnsi"/>
          <w:szCs w:val="22"/>
        </w:rPr>
        <w:t>cantón La Joya de los Sachas</w:t>
      </w:r>
      <w:r w:rsidR="000367E3" w:rsidRPr="00B24A80">
        <w:rPr>
          <w:rFonts w:asciiTheme="majorHAnsi" w:hAnsiTheme="majorHAnsi" w:cstheme="majorHAnsi"/>
          <w:szCs w:val="22"/>
        </w:rPr>
        <w:t xml:space="preserve"> </w:t>
      </w:r>
      <w:r w:rsidR="00AF1630" w:rsidRPr="00B24A80">
        <w:rPr>
          <w:rFonts w:asciiTheme="majorHAnsi" w:hAnsiTheme="majorHAnsi" w:cstheme="majorHAnsi"/>
          <w:szCs w:val="22"/>
        </w:rPr>
        <w:t>de aquellas construcciones que sobrepasen los dos pisos y edificaciones especiales</w:t>
      </w:r>
      <w:r w:rsidRPr="00B24A80">
        <w:rPr>
          <w:rFonts w:asciiTheme="majorHAnsi" w:hAnsiTheme="majorHAnsi" w:cstheme="majorHAnsi"/>
          <w:szCs w:val="22"/>
        </w:rPr>
        <w:t>;</w:t>
      </w:r>
    </w:p>
    <w:p w14:paraId="189F679A" w14:textId="5A7126BF" w:rsidR="00D87AD1" w:rsidRPr="00B24A80" w:rsidRDefault="00D87AD1" w:rsidP="00CA24CF">
      <w:pPr>
        <w:pStyle w:val="Prrafodelista"/>
        <w:numPr>
          <w:ilvl w:val="0"/>
          <w:numId w:val="71"/>
        </w:numPr>
        <w:spacing w:line="276" w:lineRule="auto"/>
        <w:ind w:right="42"/>
        <w:rPr>
          <w:rFonts w:asciiTheme="majorHAnsi" w:hAnsiTheme="majorHAnsi" w:cstheme="majorHAnsi"/>
          <w:szCs w:val="22"/>
        </w:rPr>
      </w:pPr>
      <w:r>
        <w:rPr>
          <w:rFonts w:asciiTheme="majorHAnsi" w:hAnsiTheme="majorHAnsi" w:cstheme="majorHAnsi"/>
          <w:szCs w:val="22"/>
        </w:rPr>
        <w:t xml:space="preserve">Informe </w:t>
      </w:r>
      <w:r w:rsidR="00B13113">
        <w:rPr>
          <w:rFonts w:asciiTheme="majorHAnsi" w:hAnsiTheme="majorHAnsi" w:cstheme="majorHAnsi"/>
          <w:szCs w:val="22"/>
        </w:rPr>
        <w:t>de riegos emitido por la unidad de gestión de riesgos del GADMCJS.</w:t>
      </w:r>
    </w:p>
    <w:p w14:paraId="58ABABA2" w14:textId="16779E8C"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Deberá presentar una garantía a favor del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por el valor que este determine en función del tipo y magnitud de las obras de infraestructura, lo que constatará en el cronograma valorado respectivo; y, </w:t>
      </w:r>
    </w:p>
    <w:p w14:paraId="4CE4466F" w14:textId="557C0D69" w:rsidR="00DC27E8" w:rsidRPr="00B24A80" w:rsidRDefault="007F5505" w:rsidP="00CA24CF">
      <w:pPr>
        <w:pStyle w:val="Prrafodelista"/>
        <w:numPr>
          <w:ilvl w:val="0"/>
          <w:numId w:val="71"/>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Cronograma de ejecución de obra, con base al cual se programarán las inspecciones de control de obra. </w:t>
      </w:r>
    </w:p>
    <w:p w14:paraId="215B0FC1" w14:textId="77777777" w:rsidR="008C6277" w:rsidRPr="00B24A80" w:rsidRDefault="008C6277" w:rsidP="008C6277">
      <w:pPr>
        <w:pStyle w:val="Prrafodelista"/>
        <w:widowControl/>
        <w:tabs>
          <w:tab w:val="left" w:pos="851"/>
        </w:tabs>
        <w:spacing w:after="240" w:line="276" w:lineRule="auto"/>
        <w:ind w:left="0" w:right="-100"/>
        <w:rPr>
          <w:rFonts w:asciiTheme="majorHAnsi" w:hAnsiTheme="majorHAnsi" w:cstheme="majorHAnsi"/>
          <w:szCs w:val="22"/>
        </w:rPr>
      </w:pPr>
    </w:p>
    <w:p w14:paraId="76E07601" w14:textId="4F0FC66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De la autorización de las intervenciones constructivas mayores del proyecto definitivo. - </w:t>
      </w:r>
      <w:r w:rsidRPr="00B24A80">
        <w:rPr>
          <w:rFonts w:asciiTheme="majorHAnsi" w:hAnsiTheme="majorHAnsi" w:cstheme="majorHAnsi"/>
          <w:szCs w:val="22"/>
        </w:rPr>
        <w:t xml:space="preserve">Previo a otorgar la autorización de intervenciones constructivas mayores,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deberá emitir un informe técnico favorable donde conste el cumplimiento de las normas nacionales de construcción, la normativa urbanística y demás normas vigentes. La autorización de las intervenciones constructivas mayores del proyecto definitivo habilita al promotor para iniciar los procesos de construcción de obra con el compromiso de cumplir con la presentación de informes y el proceso necesario para obtener el certificado de habitabilidad. </w:t>
      </w:r>
    </w:p>
    <w:p w14:paraId="4B43FA20" w14:textId="77777777" w:rsidR="008C6277" w:rsidRPr="00B24A80" w:rsidRDefault="008C6277" w:rsidP="008C6277">
      <w:pPr>
        <w:pStyle w:val="Prrafodelista"/>
        <w:rPr>
          <w:rFonts w:asciiTheme="majorHAnsi" w:hAnsiTheme="majorHAnsi" w:cstheme="majorHAnsi"/>
          <w:szCs w:val="22"/>
        </w:rPr>
      </w:pPr>
    </w:p>
    <w:p w14:paraId="2B3A5BF2" w14:textId="77777777" w:rsidR="008C6277" w:rsidRPr="00B24A80" w:rsidRDefault="008C6277" w:rsidP="008C6277">
      <w:pPr>
        <w:pStyle w:val="Prrafodelista"/>
        <w:widowControl/>
        <w:tabs>
          <w:tab w:val="left" w:pos="851"/>
        </w:tabs>
        <w:spacing w:after="240" w:line="276" w:lineRule="auto"/>
        <w:ind w:left="0" w:right="-100"/>
        <w:rPr>
          <w:rFonts w:asciiTheme="majorHAnsi" w:hAnsiTheme="majorHAnsi" w:cstheme="majorHAnsi"/>
          <w:szCs w:val="22"/>
        </w:rPr>
      </w:pPr>
    </w:p>
    <w:p w14:paraId="1C1BF462" w14:textId="5596F66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notificación del inicio de </w:t>
      </w:r>
      <w:r w:rsidR="006840B2" w:rsidRPr="00B24A80">
        <w:rPr>
          <w:rFonts w:asciiTheme="majorHAnsi" w:hAnsiTheme="majorHAnsi" w:cstheme="majorHAnsi"/>
          <w:b/>
          <w:szCs w:val="22"/>
        </w:rPr>
        <w:t>obra. -</w:t>
      </w:r>
      <w:r w:rsidRPr="00B24A80">
        <w:rPr>
          <w:rFonts w:asciiTheme="majorHAnsi" w:hAnsiTheme="majorHAnsi" w:cstheme="majorHAnsi"/>
          <w:szCs w:val="22"/>
        </w:rPr>
        <w:t xml:space="preserve"> El propietario y el responsable técnico de la ejecución de la obra deberán notificar al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la fecha de inicio de obra. El </w:t>
      </w:r>
      <w:r w:rsidR="008C6277" w:rsidRPr="00B24A80">
        <w:rPr>
          <w:rFonts w:asciiTheme="majorHAnsi" w:hAnsiTheme="majorHAnsi" w:cstheme="majorHAnsi"/>
          <w:szCs w:val="22"/>
        </w:rPr>
        <w:t xml:space="preserve">Director </w:t>
      </w:r>
      <w:r w:rsidR="006E0959" w:rsidRPr="00B24A80">
        <w:rPr>
          <w:rFonts w:asciiTheme="majorHAnsi" w:hAnsiTheme="majorHAnsi" w:cstheme="majorHAnsi"/>
          <w:szCs w:val="22"/>
        </w:rPr>
        <w:t xml:space="preserve">de Gestión Planificación y Ordenamiento Territorial </w:t>
      </w:r>
      <w:r w:rsidR="008C6277" w:rsidRPr="00B24A80">
        <w:rPr>
          <w:rFonts w:asciiTheme="majorHAnsi" w:hAnsiTheme="majorHAnsi" w:cstheme="majorHAnsi"/>
          <w:szCs w:val="22"/>
        </w:rPr>
        <w:t>u Obras P</w:t>
      </w:r>
      <w:r w:rsidRPr="00B24A80">
        <w:rPr>
          <w:rFonts w:asciiTheme="majorHAnsi" w:hAnsiTheme="majorHAnsi" w:cstheme="majorHAnsi"/>
          <w:szCs w:val="22"/>
        </w:rPr>
        <w:t xml:space="preserve">úblicas enviará al propietario una confirmación de las fechas de visita de obra, estas se realizarán de acuerdo al cronograma planteado y previa coordinación con el responsable del proyecto. </w:t>
      </w:r>
    </w:p>
    <w:p w14:paraId="1B77E214" w14:textId="77777777" w:rsidR="008C6277" w:rsidRPr="00B24A80" w:rsidRDefault="008C6277" w:rsidP="008C6277">
      <w:pPr>
        <w:pStyle w:val="Prrafodelista"/>
        <w:widowControl/>
        <w:tabs>
          <w:tab w:val="left" w:pos="851"/>
        </w:tabs>
        <w:spacing w:after="240" w:line="276" w:lineRule="auto"/>
        <w:ind w:left="0" w:right="-100"/>
        <w:rPr>
          <w:rFonts w:asciiTheme="majorHAnsi" w:hAnsiTheme="majorHAnsi" w:cstheme="majorHAnsi"/>
          <w:szCs w:val="22"/>
        </w:rPr>
      </w:pPr>
    </w:p>
    <w:p w14:paraId="4E76A31E" w14:textId="3A406C59" w:rsidR="006840B2"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 De los informes de cumplimiento de ejecución de obra y de las inspecciones de avances de obra</w:t>
      </w:r>
      <w:r w:rsidRPr="00B24A80">
        <w:rPr>
          <w:rFonts w:asciiTheme="majorHAnsi" w:hAnsiTheme="majorHAnsi" w:cstheme="majorHAnsi"/>
          <w:szCs w:val="22"/>
        </w:rPr>
        <w:t xml:space="preserve">.- Para garantizar el cumplimiento de la autorización otorgada, de los planos arquitectónicos y de ingenierías, de la norma ecuatoriana de la construcción y otras normas aplicables en materia de edificación, el responsable técnico de ejecución de obra remitirá los informes de avance del proyecto dirigidos al </w:t>
      </w:r>
      <w:r w:rsidR="006E0959" w:rsidRPr="00B24A80">
        <w:rPr>
          <w:rFonts w:asciiTheme="majorHAnsi" w:hAnsiTheme="majorHAnsi" w:cstheme="majorHAnsi"/>
          <w:szCs w:val="22"/>
        </w:rPr>
        <w:t>GADM del cantón La Joya de los Sachas</w:t>
      </w:r>
      <w:r w:rsidR="000367E3" w:rsidRPr="00B24A80">
        <w:rPr>
          <w:rFonts w:asciiTheme="majorHAnsi" w:hAnsiTheme="majorHAnsi" w:cstheme="majorHAnsi"/>
          <w:szCs w:val="22"/>
        </w:rPr>
        <w:t xml:space="preserve"> </w:t>
      </w:r>
      <w:r w:rsidRPr="00B24A80">
        <w:rPr>
          <w:rFonts w:asciiTheme="majorHAnsi" w:hAnsiTheme="majorHAnsi" w:cstheme="majorHAnsi"/>
          <w:szCs w:val="22"/>
        </w:rPr>
        <w:t xml:space="preserve">de acuerdo a los controles programados, con las siguientes etapas de avance de obra como mínimo: </w:t>
      </w:r>
    </w:p>
    <w:p w14:paraId="0D73E92B" w14:textId="77777777" w:rsidR="006840B2" w:rsidRPr="00B24A80" w:rsidRDefault="007F5505" w:rsidP="00CA24CF">
      <w:pPr>
        <w:pStyle w:val="Prrafodelista"/>
        <w:numPr>
          <w:ilvl w:val="0"/>
          <w:numId w:val="72"/>
        </w:numPr>
        <w:spacing w:after="240" w:line="276" w:lineRule="auto"/>
        <w:ind w:right="42"/>
        <w:rPr>
          <w:rFonts w:asciiTheme="majorHAnsi" w:hAnsiTheme="majorHAnsi" w:cstheme="majorHAnsi"/>
          <w:szCs w:val="22"/>
        </w:rPr>
      </w:pPr>
      <w:r w:rsidRPr="00B24A80">
        <w:rPr>
          <w:rFonts w:asciiTheme="majorHAnsi" w:hAnsiTheme="majorHAnsi" w:cstheme="majorHAnsi"/>
          <w:szCs w:val="22"/>
        </w:rPr>
        <w:t>El primer control: Cuando se hubieran realizado las excavaciones para la cimentación y colocado el armado de acero; esto es, antes de que se ejecute la fundición de cimientos y columnas;</w:t>
      </w:r>
    </w:p>
    <w:p w14:paraId="6FF63005" w14:textId="77777777" w:rsidR="006840B2" w:rsidRPr="00B24A80" w:rsidRDefault="007F5505" w:rsidP="00CA24CF">
      <w:pPr>
        <w:pStyle w:val="Prrafodelista"/>
        <w:numPr>
          <w:ilvl w:val="0"/>
          <w:numId w:val="72"/>
        </w:numPr>
        <w:spacing w:after="240" w:line="276" w:lineRule="auto"/>
        <w:ind w:right="42"/>
        <w:rPr>
          <w:rFonts w:asciiTheme="majorHAnsi" w:hAnsiTheme="majorHAnsi" w:cstheme="majorHAnsi"/>
          <w:szCs w:val="22"/>
        </w:rPr>
      </w:pPr>
      <w:r w:rsidRPr="00B24A80">
        <w:rPr>
          <w:rFonts w:asciiTheme="majorHAnsi" w:hAnsiTheme="majorHAnsi" w:cstheme="majorHAnsi"/>
          <w:szCs w:val="22"/>
        </w:rPr>
        <w:t xml:space="preserve">El segundo control: Durante el período de armado de vigas / muros y losas de entrepiso. El informe de conformidad se emitirá cuando se hubiere colocado la armadura de la última losa o losa de cubierta, previo su fundición; y, </w:t>
      </w:r>
    </w:p>
    <w:p w14:paraId="777B1C5B" w14:textId="44214B44" w:rsidR="00DC27E8" w:rsidRPr="00B24A80" w:rsidRDefault="007F5505" w:rsidP="00CA24CF">
      <w:pPr>
        <w:pStyle w:val="Prrafodelista"/>
        <w:numPr>
          <w:ilvl w:val="0"/>
          <w:numId w:val="72"/>
        </w:numPr>
        <w:spacing w:after="240" w:line="276" w:lineRule="auto"/>
        <w:ind w:right="42"/>
        <w:rPr>
          <w:rFonts w:asciiTheme="majorHAnsi" w:hAnsiTheme="majorHAnsi" w:cstheme="majorHAnsi"/>
          <w:szCs w:val="22"/>
        </w:rPr>
      </w:pPr>
      <w:r w:rsidRPr="00B24A80">
        <w:rPr>
          <w:rFonts w:asciiTheme="majorHAnsi" w:hAnsiTheme="majorHAnsi" w:cstheme="majorHAnsi"/>
          <w:szCs w:val="22"/>
        </w:rPr>
        <w:t xml:space="preserve">El tercer control: al término de la mampostería y albañilería. </w:t>
      </w:r>
    </w:p>
    <w:p w14:paraId="4C51462C" w14:textId="01E6F4A1" w:rsidR="006840B2" w:rsidRPr="00B24A80" w:rsidRDefault="006840B2" w:rsidP="006840B2">
      <w:pPr>
        <w:spacing w:after="240" w:line="276" w:lineRule="auto"/>
        <w:ind w:right="42"/>
        <w:rPr>
          <w:rFonts w:asciiTheme="majorHAnsi" w:hAnsiTheme="majorHAnsi" w:cstheme="majorHAnsi"/>
          <w:sz w:val="22"/>
          <w:szCs w:val="22"/>
        </w:rPr>
      </w:pPr>
      <w:r w:rsidRPr="00B24A80">
        <w:rPr>
          <w:rFonts w:asciiTheme="majorHAnsi" w:hAnsiTheme="majorHAnsi" w:cstheme="majorHAnsi"/>
          <w:sz w:val="22"/>
          <w:szCs w:val="22"/>
        </w:rPr>
        <w:lastRenderedPageBreak/>
        <w:t xml:space="preserve">Informes que será revisado </w:t>
      </w:r>
      <w:r w:rsidR="00694230">
        <w:rPr>
          <w:rFonts w:asciiTheme="majorHAnsi" w:hAnsiTheme="majorHAnsi" w:cstheme="majorHAnsi"/>
          <w:sz w:val="22"/>
          <w:szCs w:val="22"/>
        </w:rPr>
        <w:t xml:space="preserve">por </w:t>
      </w:r>
      <w:r w:rsidRPr="00694230">
        <w:rPr>
          <w:rFonts w:asciiTheme="majorHAnsi" w:hAnsiTheme="majorHAnsi" w:cstheme="majorHAnsi"/>
          <w:sz w:val="22"/>
          <w:szCs w:val="22"/>
        </w:rPr>
        <w:t xml:space="preserve">el </w:t>
      </w:r>
      <w:r w:rsidR="00776A43" w:rsidRPr="00694230">
        <w:rPr>
          <w:rFonts w:asciiTheme="majorHAnsi" w:hAnsiTheme="majorHAnsi" w:cstheme="majorHAnsi"/>
          <w:sz w:val="22"/>
          <w:szCs w:val="22"/>
        </w:rPr>
        <w:t>jefe de construcciones</w:t>
      </w:r>
      <w:r w:rsidRPr="00694230">
        <w:rPr>
          <w:rFonts w:asciiTheme="majorHAnsi" w:hAnsiTheme="majorHAnsi" w:cstheme="majorHAnsi"/>
          <w:sz w:val="22"/>
          <w:szCs w:val="22"/>
        </w:rPr>
        <w:t xml:space="preserve"> o quien haga de su vez</w:t>
      </w:r>
      <w:r w:rsidRPr="00B24A80">
        <w:rPr>
          <w:rFonts w:asciiTheme="majorHAnsi" w:hAnsiTheme="majorHAnsi" w:cstheme="majorHAnsi"/>
          <w:sz w:val="22"/>
          <w:szCs w:val="22"/>
        </w:rPr>
        <w:t xml:space="preserve">, en coordinación con técnico de fiscalización del </w:t>
      </w:r>
      <w:r w:rsidR="006D2464" w:rsidRPr="00B24A80">
        <w:rPr>
          <w:rFonts w:asciiTheme="majorHAnsi" w:hAnsiTheme="majorHAnsi" w:cstheme="majorHAnsi"/>
          <w:sz w:val="22"/>
          <w:szCs w:val="22"/>
        </w:rPr>
        <w:t xml:space="preserve">GADM del </w:t>
      </w:r>
      <w:r w:rsidR="008C6277" w:rsidRPr="00B24A80">
        <w:rPr>
          <w:rFonts w:asciiTheme="majorHAnsi" w:hAnsiTheme="majorHAnsi" w:cstheme="majorHAnsi"/>
          <w:sz w:val="22"/>
          <w:szCs w:val="22"/>
        </w:rPr>
        <w:t>cantón La</w:t>
      </w:r>
      <w:r w:rsidR="006D2464" w:rsidRPr="00B24A80">
        <w:rPr>
          <w:rFonts w:asciiTheme="majorHAnsi" w:hAnsiTheme="majorHAnsi" w:cstheme="majorHAnsi"/>
          <w:sz w:val="22"/>
          <w:szCs w:val="22"/>
        </w:rPr>
        <w:t xml:space="preserve"> Joya de los Sachas.</w:t>
      </w:r>
    </w:p>
    <w:p w14:paraId="48FBB735" w14:textId="2A57DAB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Del incumplimiento de la </w:t>
      </w:r>
      <w:r w:rsidR="00F55E90" w:rsidRPr="00B24A80">
        <w:rPr>
          <w:rFonts w:asciiTheme="majorHAnsi" w:hAnsiTheme="majorHAnsi" w:cstheme="majorHAnsi"/>
          <w:b/>
          <w:szCs w:val="22"/>
        </w:rPr>
        <w:t>normativa. -</w:t>
      </w:r>
      <w:r w:rsidRPr="00B24A80">
        <w:rPr>
          <w:rFonts w:asciiTheme="majorHAnsi" w:hAnsiTheme="majorHAnsi" w:cstheme="majorHAnsi"/>
          <w:szCs w:val="22"/>
        </w:rPr>
        <w:t xml:space="preserve"> En caso de que las visitas técnicas y los informes evidencien un incumplimiento de normas ecuatorianas de la construcción, y normativa local municipal </w:t>
      </w:r>
      <w:r w:rsidR="000367E3" w:rsidRPr="00B24A80">
        <w:rPr>
          <w:rFonts w:asciiTheme="majorHAnsi" w:hAnsiTheme="majorHAnsi" w:cstheme="majorHAnsi"/>
          <w:szCs w:val="22"/>
        </w:rPr>
        <w:t xml:space="preserve">de </w:t>
      </w:r>
      <w:r w:rsidR="00E30701" w:rsidRPr="00B24A80">
        <w:rPr>
          <w:rFonts w:asciiTheme="majorHAnsi" w:eastAsia="Arial" w:hAnsiTheme="majorHAnsi" w:cstheme="majorHAnsi"/>
          <w:color w:val="25282C"/>
          <w:szCs w:val="22"/>
        </w:rPr>
        <w:t>La Joya de los Sachas</w:t>
      </w:r>
      <w:r w:rsidRPr="00B24A80">
        <w:rPr>
          <w:rFonts w:asciiTheme="majorHAnsi" w:hAnsiTheme="majorHAnsi" w:cstheme="majorHAnsi"/>
          <w:szCs w:val="22"/>
        </w:rPr>
        <w:t xml:space="preserve">, o una ejecución diferente a lo planteado en los planos aprobados, el </w:t>
      </w:r>
      <w:r w:rsidR="008C6277" w:rsidRPr="00B24A80">
        <w:rPr>
          <w:rFonts w:asciiTheme="majorHAnsi" w:hAnsiTheme="majorHAnsi" w:cstheme="majorHAnsi"/>
          <w:szCs w:val="22"/>
        </w:rPr>
        <w:t>GADMCJS tomará</w:t>
      </w:r>
      <w:r w:rsidRPr="00B24A80">
        <w:rPr>
          <w:rFonts w:asciiTheme="majorHAnsi" w:hAnsiTheme="majorHAnsi" w:cstheme="majorHAnsi"/>
          <w:szCs w:val="22"/>
        </w:rPr>
        <w:t xml:space="preserve"> las siguientes acciones: </w:t>
      </w:r>
    </w:p>
    <w:p w14:paraId="7BB058AC" w14:textId="2F470D3C" w:rsidR="00DC27E8" w:rsidRPr="00B24A80" w:rsidRDefault="007F5505" w:rsidP="00CA24CF">
      <w:pPr>
        <w:pStyle w:val="Prrafodelista"/>
        <w:numPr>
          <w:ilvl w:val="0"/>
          <w:numId w:val="73"/>
        </w:numPr>
        <w:spacing w:after="240" w:line="276" w:lineRule="auto"/>
        <w:ind w:right="42"/>
        <w:rPr>
          <w:rFonts w:asciiTheme="majorHAnsi" w:hAnsiTheme="majorHAnsi" w:cstheme="majorHAnsi"/>
          <w:szCs w:val="22"/>
        </w:rPr>
      </w:pPr>
      <w:r w:rsidRPr="00B24A80">
        <w:rPr>
          <w:rFonts w:asciiTheme="majorHAnsi" w:hAnsiTheme="majorHAnsi" w:cstheme="majorHAnsi"/>
          <w:szCs w:val="22"/>
        </w:rPr>
        <w:t xml:space="preserve">Si el incumplimiento se evidencia en el informe del primer control de avance de obra, notificará al técnico responsable de ejecución de obra y al propietario las acciones correctivas que se deberán tomar; y, </w:t>
      </w:r>
    </w:p>
    <w:p w14:paraId="4035A164" w14:textId="7CA3E05C" w:rsidR="001609DF" w:rsidRPr="00B24A80" w:rsidRDefault="007F5505" w:rsidP="00CA24CF">
      <w:pPr>
        <w:pStyle w:val="Prrafodelista"/>
        <w:numPr>
          <w:ilvl w:val="0"/>
          <w:numId w:val="73"/>
        </w:numPr>
        <w:spacing w:after="240" w:line="276" w:lineRule="auto"/>
        <w:ind w:right="42"/>
        <w:rPr>
          <w:rFonts w:asciiTheme="majorHAnsi" w:hAnsiTheme="majorHAnsi" w:cstheme="majorHAnsi"/>
          <w:szCs w:val="22"/>
        </w:rPr>
      </w:pPr>
      <w:r w:rsidRPr="00B24A80">
        <w:rPr>
          <w:rFonts w:asciiTheme="majorHAnsi" w:hAnsiTheme="majorHAnsi" w:cstheme="majorHAnsi"/>
          <w:szCs w:val="22"/>
        </w:rPr>
        <w:t xml:space="preserve">Si el incumplimiento se evidencia en el informe del segundo de avance de obra, notificará al técnico responsable de ejecución de obra y al propietario las acciones correctivas que deberá tomar y se procederá con la clausura de la obra, sin perjuicio de las acciones que determine el procedimiento sancionatorio aprobado por el </w:t>
      </w:r>
      <w:r w:rsidR="006D2464" w:rsidRPr="00B24A80">
        <w:rPr>
          <w:rFonts w:asciiTheme="majorHAnsi" w:hAnsiTheme="majorHAnsi" w:cstheme="majorHAnsi"/>
          <w:szCs w:val="22"/>
        </w:rPr>
        <w:t xml:space="preserve">GADM del </w:t>
      </w:r>
      <w:r w:rsidR="008C6277" w:rsidRPr="00B24A80">
        <w:rPr>
          <w:rFonts w:asciiTheme="majorHAnsi" w:hAnsiTheme="majorHAnsi" w:cstheme="majorHAnsi"/>
          <w:szCs w:val="22"/>
        </w:rPr>
        <w:t>cantón La</w:t>
      </w:r>
      <w:r w:rsidR="006D2464" w:rsidRPr="00B24A80">
        <w:rPr>
          <w:rFonts w:asciiTheme="majorHAnsi" w:hAnsiTheme="majorHAnsi" w:cstheme="majorHAnsi"/>
          <w:szCs w:val="22"/>
        </w:rPr>
        <w:t xml:space="preserve"> Joya de los Sachas.</w:t>
      </w:r>
      <w:r w:rsidRPr="00B24A80">
        <w:rPr>
          <w:rFonts w:asciiTheme="majorHAnsi" w:hAnsiTheme="majorHAnsi" w:cstheme="majorHAnsi"/>
          <w:szCs w:val="22"/>
        </w:rPr>
        <w:t xml:space="preserve"> </w:t>
      </w:r>
    </w:p>
    <w:p w14:paraId="516E3393" w14:textId="73DAAADC" w:rsidR="001609DF" w:rsidRPr="00B24A80" w:rsidRDefault="001609DF" w:rsidP="001609DF">
      <w:pPr>
        <w:spacing w:after="240" w:line="276" w:lineRule="auto"/>
        <w:ind w:right="42"/>
        <w:rPr>
          <w:rFonts w:asciiTheme="majorHAnsi" w:hAnsiTheme="majorHAnsi" w:cstheme="majorHAnsi"/>
          <w:sz w:val="22"/>
          <w:szCs w:val="22"/>
        </w:rPr>
      </w:pPr>
      <w:r w:rsidRPr="00B24A80">
        <w:rPr>
          <w:rFonts w:asciiTheme="majorHAnsi" w:hAnsiTheme="majorHAnsi" w:cstheme="majorHAnsi"/>
          <w:sz w:val="22"/>
          <w:szCs w:val="22"/>
        </w:rPr>
        <w:t xml:space="preserve">Notificaciones que será realizados por el </w:t>
      </w:r>
      <w:r w:rsidR="00776A43">
        <w:rPr>
          <w:rFonts w:asciiTheme="majorHAnsi" w:hAnsiTheme="majorHAnsi" w:cstheme="majorHAnsi"/>
          <w:sz w:val="22"/>
          <w:szCs w:val="22"/>
        </w:rPr>
        <w:t>jefe de construcciones</w:t>
      </w:r>
      <w:r w:rsidRPr="00B24A80">
        <w:rPr>
          <w:rFonts w:asciiTheme="majorHAnsi" w:hAnsiTheme="majorHAnsi" w:cstheme="majorHAnsi"/>
          <w:sz w:val="22"/>
          <w:szCs w:val="22"/>
        </w:rPr>
        <w:t xml:space="preserve"> o quien haga de su vez</w:t>
      </w:r>
      <w:r w:rsidR="008E4994">
        <w:rPr>
          <w:rFonts w:asciiTheme="majorHAnsi" w:hAnsiTheme="majorHAnsi" w:cstheme="majorHAnsi"/>
          <w:sz w:val="22"/>
          <w:szCs w:val="22"/>
        </w:rPr>
        <w:t xml:space="preserve"> </w:t>
      </w:r>
      <w:r w:rsidRPr="00B24A80">
        <w:rPr>
          <w:rFonts w:asciiTheme="majorHAnsi" w:hAnsiTheme="majorHAnsi" w:cstheme="majorHAnsi"/>
          <w:sz w:val="22"/>
          <w:szCs w:val="22"/>
        </w:rPr>
        <w:t xml:space="preserve">del </w:t>
      </w:r>
      <w:r w:rsidR="006E0959" w:rsidRPr="00B24A80">
        <w:rPr>
          <w:rFonts w:asciiTheme="majorHAnsi" w:hAnsiTheme="majorHAnsi" w:cstheme="majorHAnsi"/>
          <w:sz w:val="22"/>
          <w:szCs w:val="22"/>
        </w:rPr>
        <w:t>GADM del cantón La Joya de los Sachas</w:t>
      </w:r>
    </w:p>
    <w:p w14:paraId="3746B852" w14:textId="4408E1C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Del informe de finalización de </w:t>
      </w:r>
      <w:r w:rsidR="00F55E90" w:rsidRPr="00B24A80">
        <w:rPr>
          <w:rFonts w:asciiTheme="majorHAnsi" w:hAnsiTheme="majorHAnsi" w:cstheme="majorHAnsi"/>
          <w:b/>
          <w:szCs w:val="22"/>
        </w:rPr>
        <w:t>obra. -</w:t>
      </w:r>
      <w:r w:rsidRPr="00B24A80">
        <w:rPr>
          <w:rFonts w:asciiTheme="majorHAnsi" w:hAnsiTheme="majorHAnsi" w:cstheme="majorHAnsi"/>
          <w:szCs w:val="22"/>
        </w:rPr>
        <w:t xml:space="preserve"> Al culminar la ejecución del proyecto, el responsable técnico de ejecución de obra remitirá un informe de finalización de obra dirigido al</w:t>
      </w:r>
      <w:r w:rsidR="001609DF" w:rsidRPr="00B24A80">
        <w:rPr>
          <w:rFonts w:asciiTheme="majorHAnsi" w:hAnsiTheme="majorHAnsi" w:cstheme="majorHAnsi"/>
          <w:szCs w:val="22"/>
        </w:rPr>
        <w:t xml:space="preserve"> </w:t>
      </w:r>
      <w:r w:rsidR="006E0959" w:rsidRPr="00B24A80">
        <w:rPr>
          <w:rFonts w:asciiTheme="majorHAnsi" w:hAnsiTheme="majorHAnsi" w:cstheme="majorHAnsi"/>
          <w:szCs w:val="22"/>
        </w:rPr>
        <w:t xml:space="preserve">Dirección de Gestión Planificación y Ordenamiento Territorial </w:t>
      </w:r>
      <w:r w:rsidR="001609DF" w:rsidRPr="00B24A80">
        <w:rPr>
          <w:rFonts w:asciiTheme="majorHAnsi" w:hAnsiTheme="majorHAnsi" w:cstheme="majorHAnsi"/>
          <w:szCs w:val="22"/>
        </w:rPr>
        <w:t>del</w:t>
      </w:r>
      <w:r w:rsidRPr="00B24A80">
        <w:rPr>
          <w:rFonts w:asciiTheme="majorHAnsi" w:hAnsiTheme="majorHAnsi" w:cstheme="majorHAnsi"/>
          <w:szCs w:val="22"/>
        </w:rPr>
        <w:t xml:space="preserve">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con base a este informe, el GADMC</w:t>
      </w:r>
      <w:r w:rsidR="00313D20" w:rsidRPr="00B24A80">
        <w:rPr>
          <w:rFonts w:asciiTheme="majorHAnsi" w:hAnsiTheme="majorHAnsi" w:cstheme="majorHAnsi"/>
          <w:szCs w:val="22"/>
        </w:rPr>
        <w:t>JS</w:t>
      </w:r>
      <w:r w:rsidRPr="00B24A80">
        <w:rPr>
          <w:rFonts w:asciiTheme="majorHAnsi" w:hAnsiTheme="majorHAnsi" w:cstheme="majorHAnsi"/>
          <w:szCs w:val="22"/>
        </w:rPr>
        <w:t xml:space="preserve"> notificará al propietario la fecha de inspección final de la obra. </w:t>
      </w:r>
    </w:p>
    <w:p w14:paraId="04436555" w14:textId="77777777" w:rsidR="008C6277" w:rsidRPr="00B24A80" w:rsidRDefault="008C6277" w:rsidP="008C6277">
      <w:pPr>
        <w:pStyle w:val="Prrafodelista"/>
        <w:widowControl/>
        <w:tabs>
          <w:tab w:val="left" w:pos="851"/>
        </w:tabs>
        <w:spacing w:after="240" w:line="276" w:lineRule="auto"/>
        <w:ind w:left="0" w:right="-100"/>
        <w:rPr>
          <w:rFonts w:asciiTheme="majorHAnsi" w:hAnsiTheme="majorHAnsi" w:cstheme="majorHAnsi"/>
          <w:szCs w:val="22"/>
        </w:rPr>
      </w:pPr>
    </w:p>
    <w:p w14:paraId="2F19E2C1" w14:textId="69C0900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inspección final de la </w:t>
      </w:r>
      <w:r w:rsidR="001609DF" w:rsidRPr="00B24A80">
        <w:rPr>
          <w:rFonts w:asciiTheme="majorHAnsi" w:hAnsiTheme="majorHAnsi" w:cstheme="majorHAnsi"/>
          <w:b/>
          <w:szCs w:val="22"/>
        </w:rPr>
        <w:t>obra</w:t>
      </w:r>
      <w:r w:rsidR="001609DF" w:rsidRPr="00B24A80">
        <w:rPr>
          <w:rFonts w:asciiTheme="majorHAnsi" w:hAnsiTheme="majorHAnsi" w:cstheme="majorHAnsi"/>
          <w:szCs w:val="22"/>
        </w:rPr>
        <w:t>. -</w:t>
      </w:r>
      <w:r w:rsidRPr="00B24A80">
        <w:rPr>
          <w:rFonts w:asciiTheme="majorHAnsi" w:hAnsiTheme="majorHAnsi" w:cstheme="majorHAnsi"/>
          <w:szCs w:val="22"/>
        </w:rPr>
        <w:t xml:space="preserve"> El técnico municipal, deberá realizar una inspección para verificar el cumplimento de la autorización otorgada, de los planos arquitectónicos y de ingenierías, de las normas ecuatorianas de la construcción y normativa demás normativa vigente, comparando con el informe entregado por el responsable técnico de ejecución y realizará el informe respectivo</w:t>
      </w:r>
      <w:r w:rsidR="009635FF">
        <w:rPr>
          <w:rFonts w:asciiTheme="majorHAnsi" w:hAnsiTheme="majorHAnsi" w:cstheme="majorHAnsi"/>
          <w:szCs w:val="22"/>
        </w:rPr>
        <w:t xml:space="preserve">, además </w:t>
      </w:r>
      <w:r w:rsidR="009635FF" w:rsidRPr="00B24A80">
        <w:rPr>
          <w:rFonts w:asciiTheme="majorHAnsi" w:eastAsia="Calibri" w:hAnsiTheme="majorHAnsi" w:cstheme="majorHAnsi"/>
          <w:color w:val="000000"/>
          <w:szCs w:val="22"/>
        </w:rPr>
        <w:t xml:space="preserve">si se </w:t>
      </w:r>
      <w:r w:rsidR="009635FF">
        <w:rPr>
          <w:rFonts w:asciiTheme="majorHAnsi" w:eastAsia="Calibri" w:hAnsiTheme="majorHAnsi" w:cstheme="majorHAnsi"/>
          <w:color w:val="000000"/>
          <w:szCs w:val="22"/>
        </w:rPr>
        <w:t xml:space="preserve">verifica el </w:t>
      </w:r>
      <w:r w:rsidR="009635FF" w:rsidRPr="00B24A80">
        <w:rPr>
          <w:rFonts w:asciiTheme="majorHAnsi" w:eastAsia="Calibri" w:hAnsiTheme="majorHAnsi" w:cstheme="majorHAnsi"/>
          <w:color w:val="000000"/>
          <w:szCs w:val="22"/>
        </w:rPr>
        <w:t>increment</w:t>
      </w:r>
      <w:r w:rsidR="009635FF">
        <w:rPr>
          <w:rFonts w:asciiTheme="majorHAnsi" w:eastAsia="Calibri" w:hAnsiTheme="majorHAnsi" w:cstheme="majorHAnsi"/>
          <w:color w:val="000000"/>
          <w:szCs w:val="22"/>
        </w:rPr>
        <w:t>o</w:t>
      </w:r>
      <w:r w:rsidR="009635FF" w:rsidRPr="00B24A80">
        <w:rPr>
          <w:rFonts w:asciiTheme="majorHAnsi" w:eastAsia="Calibri" w:hAnsiTheme="majorHAnsi" w:cstheme="majorHAnsi"/>
          <w:color w:val="000000"/>
          <w:szCs w:val="22"/>
        </w:rPr>
        <w:t xml:space="preserve"> </w:t>
      </w:r>
      <w:r w:rsidR="009635FF">
        <w:rPr>
          <w:rFonts w:asciiTheme="majorHAnsi" w:eastAsia="Calibri" w:hAnsiTheme="majorHAnsi" w:cstheme="majorHAnsi"/>
          <w:color w:val="000000"/>
          <w:szCs w:val="22"/>
        </w:rPr>
        <w:t xml:space="preserve">en </w:t>
      </w:r>
      <w:r w:rsidR="009635FF" w:rsidRPr="00B24A80">
        <w:rPr>
          <w:rFonts w:asciiTheme="majorHAnsi" w:eastAsia="Calibri" w:hAnsiTheme="majorHAnsi" w:cstheme="majorHAnsi"/>
          <w:color w:val="000000"/>
          <w:szCs w:val="22"/>
        </w:rPr>
        <w:t>su área de construcción, pagará la tasa correspondiente a dicho exceso.</w:t>
      </w:r>
    </w:p>
    <w:p w14:paraId="0EABD594" w14:textId="77777777" w:rsidR="008C6277" w:rsidRPr="00B24A80" w:rsidRDefault="008C6277" w:rsidP="008C6277">
      <w:pPr>
        <w:pStyle w:val="Prrafodelista"/>
        <w:rPr>
          <w:rFonts w:asciiTheme="majorHAnsi" w:hAnsiTheme="majorHAnsi" w:cstheme="majorHAnsi"/>
          <w:szCs w:val="22"/>
        </w:rPr>
      </w:pPr>
    </w:p>
    <w:p w14:paraId="2243D4C0" w14:textId="77777777" w:rsidR="008C6277" w:rsidRPr="00B24A80" w:rsidRDefault="008C6277" w:rsidP="008C6277">
      <w:pPr>
        <w:pStyle w:val="Prrafodelista"/>
        <w:widowControl/>
        <w:tabs>
          <w:tab w:val="left" w:pos="851"/>
        </w:tabs>
        <w:spacing w:after="240" w:line="276" w:lineRule="auto"/>
        <w:ind w:left="0" w:right="-100"/>
        <w:rPr>
          <w:rFonts w:asciiTheme="majorHAnsi" w:hAnsiTheme="majorHAnsi" w:cstheme="majorHAnsi"/>
          <w:szCs w:val="22"/>
        </w:rPr>
      </w:pPr>
    </w:p>
    <w:p w14:paraId="0F1CCC1A" w14:textId="1482A759" w:rsidR="00DC27E8" w:rsidRPr="00186DFF" w:rsidRDefault="007F5505" w:rsidP="00A33946">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186DFF">
        <w:rPr>
          <w:rFonts w:asciiTheme="majorHAnsi" w:hAnsiTheme="majorHAnsi" w:cstheme="majorHAnsi"/>
          <w:b/>
          <w:szCs w:val="22"/>
        </w:rPr>
        <w:t xml:space="preserve"> Del certificado de habitabilidad y devolución de garantías. -</w:t>
      </w:r>
      <w:r w:rsidRPr="00186DFF">
        <w:rPr>
          <w:rFonts w:asciiTheme="majorHAnsi" w:hAnsiTheme="majorHAnsi" w:cstheme="majorHAnsi"/>
          <w:szCs w:val="22"/>
        </w:rPr>
        <w:t xml:space="preserve"> En caso de que el informe de inspección final de obra indique el cumplimiento con la documentación presentada y </w:t>
      </w:r>
      <w:r w:rsidR="001609DF" w:rsidRPr="00186DFF">
        <w:rPr>
          <w:rFonts w:asciiTheme="majorHAnsi" w:hAnsiTheme="majorHAnsi" w:cstheme="majorHAnsi"/>
          <w:szCs w:val="22"/>
        </w:rPr>
        <w:t xml:space="preserve">la normativa vigente, el </w:t>
      </w:r>
      <w:r w:rsidR="006E0959" w:rsidRPr="00186DFF">
        <w:rPr>
          <w:rFonts w:asciiTheme="majorHAnsi" w:hAnsiTheme="majorHAnsi" w:cstheme="majorHAnsi"/>
          <w:szCs w:val="22"/>
        </w:rPr>
        <w:t>GADM del cantón La Joya de los Sachas</w:t>
      </w:r>
      <w:r w:rsidR="000367E3" w:rsidRPr="00186DFF">
        <w:rPr>
          <w:rFonts w:asciiTheme="majorHAnsi" w:hAnsiTheme="majorHAnsi" w:cstheme="majorHAnsi"/>
          <w:szCs w:val="22"/>
        </w:rPr>
        <w:t xml:space="preserve"> </w:t>
      </w:r>
      <w:r w:rsidRPr="00186DFF">
        <w:rPr>
          <w:rFonts w:asciiTheme="majorHAnsi" w:hAnsiTheme="majorHAnsi" w:cstheme="majorHAnsi"/>
          <w:szCs w:val="22"/>
        </w:rPr>
        <w:t xml:space="preserve">emitirá el certificado de habitabilidad </w:t>
      </w:r>
      <w:r w:rsidR="005C085F" w:rsidRPr="00186DFF">
        <w:rPr>
          <w:rFonts w:asciiTheme="majorHAnsi" w:hAnsiTheme="majorHAnsi" w:cstheme="majorHAnsi"/>
          <w:szCs w:val="22"/>
        </w:rPr>
        <w:t xml:space="preserve">previo a la presentación del informe favorable del cuerpo de bomberos </w:t>
      </w:r>
      <w:r w:rsidRPr="00186DFF">
        <w:rPr>
          <w:rFonts w:asciiTheme="majorHAnsi" w:hAnsiTheme="majorHAnsi" w:cstheme="majorHAnsi"/>
          <w:szCs w:val="22"/>
        </w:rPr>
        <w:t>e iniciará el pr</w:t>
      </w:r>
      <w:r w:rsidR="00A33946" w:rsidRPr="00186DFF">
        <w:rPr>
          <w:rFonts w:asciiTheme="majorHAnsi" w:hAnsiTheme="majorHAnsi" w:cstheme="majorHAnsi"/>
          <w:szCs w:val="22"/>
        </w:rPr>
        <w:t xml:space="preserve">oceso de devolución de garantía. </w:t>
      </w:r>
    </w:p>
    <w:p w14:paraId="72FB0D33" w14:textId="77777777" w:rsidR="008C6277" w:rsidRPr="00B24A80" w:rsidRDefault="008C6277" w:rsidP="008C6277">
      <w:pPr>
        <w:pStyle w:val="Prrafodelista"/>
        <w:widowControl/>
        <w:tabs>
          <w:tab w:val="left" w:pos="851"/>
        </w:tabs>
        <w:spacing w:after="240" w:line="276" w:lineRule="auto"/>
        <w:ind w:left="0" w:right="-100"/>
        <w:rPr>
          <w:rFonts w:asciiTheme="majorHAnsi" w:hAnsiTheme="majorHAnsi" w:cstheme="majorHAnsi"/>
          <w:szCs w:val="22"/>
        </w:rPr>
      </w:pPr>
    </w:p>
    <w:p w14:paraId="5ECEA795" w14:textId="0FB3E48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la ejecución de la garantía. -</w:t>
      </w:r>
      <w:r w:rsidRPr="00B24A80">
        <w:rPr>
          <w:rFonts w:asciiTheme="majorHAnsi" w:hAnsiTheme="majorHAnsi" w:cstheme="majorHAnsi"/>
          <w:szCs w:val="22"/>
        </w:rPr>
        <w:t xml:space="preserve"> Se dará en caso del incumplimiento de las normas establecidas por 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 xml:space="preserve">, reflejadas y plasmadas en un informe técnico una vez realizada la inspección final de la obra. </w:t>
      </w:r>
    </w:p>
    <w:p w14:paraId="7319B4D5" w14:textId="77777777" w:rsidR="00313D20" w:rsidRPr="00B24A80" w:rsidRDefault="00313D20" w:rsidP="00313D2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103601F" w14:textId="20E77E0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De todos los trámites seguidos para la aprobación de planos y permisos, se formará un expediente numerado, inventariado por año y apellidos, para futuras verificaciones.</w:t>
      </w:r>
    </w:p>
    <w:p w14:paraId="2D993BBA" w14:textId="2DC1848B" w:rsidR="00A3735B" w:rsidRPr="00B24A80" w:rsidRDefault="00EB5C24" w:rsidP="008A7C8C">
      <w:pPr>
        <w:pStyle w:val="Ttulo3"/>
        <w:rPr>
          <w:rFonts w:cstheme="majorHAnsi"/>
          <w:sz w:val="22"/>
          <w:szCs w:val="22"/>
        </w:rPr>
      </w:pPr>
      <w:bookmarkStart w:id="234" w:name="_Toc65711704"/>
      <w:bookmarkStart w:id="235" w:name="_Toc81085664"/>
      <w:bookmarkStart w:id="236" w:name="_Toc181374104"/>
      <w:r w:rsidRPr="00B24A80">
        <w:rPr>
          <w:rFonts w:cstheme="majorHAnsi"/>
          <w:sz w:val="22"/>
          <w:szCs w:val="22"/>
        </w:rPr>
        <w:lastRenderedPageBreak/>
        <w:t>CAPÍTULO</w:t>
      </w:r>
      <w:r w:rsidR="002A28BC" w:rsidRPr="00B24A80">
        <w:rPr>
          <w:rFonts w:cstheme="majorHAnsi"/>
          <w:sz w:val="22"/>
          <w:szCs w:val="22"/>
        </w:rPr>
        <w:t xml:space="preserve"> V</w:t>
      </w:r>
      <w:r w:rsidR="004732FF" w:rsidRPr="00B24A80">
        <w:rPr>
          <w:rFonts w:cstheme="majorHAnsi"/>
          <w:sz w:val="22"/>
          <w:szCs w:val="22"/>
        </w:rPr>
        <w:t>I</w:t>
      </w:r>
      <w:r w:rsidR="00767139">
        <w:rPr>
          <w:rFonts w:cstheme="majorHAnsi"/>
          <w:sz w:val="22"/>
          <w:szCs w:val="22"/>
        </w:rPr>
        <w:t>I</w:t>
      </w:r>
      <w:r w:rsidR="008A7C8C" w:rsidRPr="00B24A80">
        <w:rPr>
          <w:rFonts w:cstheme="majorHAnsi"/>
          <w:sz w:val="22"/>
          <w:szCs w:val="22"/>
        </w:rPr>
        <w:br/>
      </w:r>
      <w:r w:rsidR="00A3735B" w:rsidRPr="00B24A80">
        <w:rPr>
          <w:rFonts w:cstheme="majorHAnsi"/>
          <w:sz w:val="22"/>
          <w:szCs w:val="22"/>
        </w:rPr>
        <w:t>Régimen de Propiedad Horizontal.</w:t>
      </w:r>
      <w:bookmarkEnd w:id="234"/>
      <w:bookmarkEnd w:id="235"/>
      <w:bookmarkEnd w:id="236"/>
    </w:p>
    <w:p w14:paraId="6EF8FE18" w14:textId="1BBEC469" w:rsidR="00CF7A24" w:rsidRPr="00B24A80" w:rsidRDefault="00EB5C24" w:rsidP="008A7C8C">
      <w:pPr>
        <w:pStyle w:val="Ttulo4"/>
        <w:rPr>
          <w:rFonts w:cstheme="majorHAnsi"/>
          <w:sz w:val="22"/>
          <w:szCs w:val="22"/>
        </w:rPr>
      </w:pPr>
      <w:bookmarkStart w:id="237" w:name="_Toc81085665"/>
      <w:bookmarkStart w:id="238" w:name="_Toc181374105"/>
      <w:r w:rsidRPr="00B24A80">
        <w:rPr>
          <w:rFonts w:cstheme="majorHAnsi"/>
          <w:sz w:val="22"/>
          <w:szCs w:val="22"/>
        </w:rPr>
        <w:t>SECCIÓN</w:t>
      </w:r>
      <w:r w:rsidR="002A28BC" w:rsidRPr="00B24A80">
        <w:rPr>
          <w:rFonts w:cstheme="majorHAnsi"/>
          <w:sz w:val="22"/>
          <w:szCs w:val="22"/>
        </w:rPr>
        <w:t xml:space="preserve"> I</w:t>
      </w:r>
      <w:r w:rsidR="008A7C8C" w:rsidRPr="00B24A80">
        <w:rPr>
          <w:rFonts w:cstheme="majorHAnsi"/>
          <w:sz w:val="22"/>
          <w:szCs w:val="22"/>
        </w:rPr>
        <w:br/>
      </w:r>
      <w:r w:rsidR="00CF7A24" w:rsidRPr="00B24A80">
        <w:rPr>
          <w:rFonts w:cstheme="majorHAnsi"/>
          <w:sz w:val="22"/>
          <w:szCs w:val="22"/>
        </w:rPr>
        <w:t>Ámbito general</w:t>
      </w:r>
      <w:bookmarkEnd w:id="237"/>
      <w:bookmarkEnd w:id="238"/>
    </w:p>
    <w:p w14:paraId="50231F2C" w14:textId="2B64CAF3" w:rsidR="00886CC2" w:rsidRPr="00886CC2" w:rsidRDefault="00CF7A2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25282C"/>
          <w:szCs w:val="22"/>
        </w:rPr>
        <w:t xml:space="preserve"> </w:t>
      </w:r>
      <w:r w:rsidRPr="00B24A80">
        <w:rPr>
          <w:rFonts w:asciiTheme="majorHAnsi" w:eastAsia="Calibri" w:hAnsiTheme="majorHAnsi" w:cstheme="majorHAnsi"/>
          <w:b/>
          <w:color w:val="000000"/>
          <w:szCs w:val="22"/>
        </w:rPr>
        <w:t xml:space="preserve">Propiedad </w:t>
      </w:r>
      <w:r w:rsidRPr="00F41E49">
        <w:rPr>
          <w:rFonts w:asciiTheme="majorHAnsi" w:eastAsia="Calibri" w:hAnsiTheme="majorHAnsi" w:cstheme="majorHAnsi"/>
          <w:b/>
          <w:szCs w:val="22"/>
        </w:rPr>
        <w:t xml:space="preserve">horizontal: </w:t>
      </w:r>
      <w:r w:rsidR="00886CC2" w:rsidRPr="00F41E49">
        <w:rPr>
          <w:rFonts w:asciiTheme="majorHAnsi" w:eastAsia="Calibri" w:hAnsiTheme="majorHAnsi" w:cstheme="majorHAnsi"/>
          <w:bCs/>
          <w:szCs w:val="22"/>
        </w:rPr>
        <w:t>Los diferentes piso o locales de un edificio o las partes de ellos</w:t>
      </w:r>
      <w:r w:rsidR="00886CC2" w:rsidRPr="00F41E49">
        <w:rPr>
          <w:rFonts w:asciiTheme="majorHAnsi" w:eastAsia="Calibri" w:hAnsiTheme="majorHAnsi" w:cstheme="majorHAnsi"/>
          <w:b/>
          <w:szCs w:val="22"/>
        </w:rPr>
        <w:t xml:space="preserve"> </w:t>
      </w:r>
      <w:r w:rsidR="00886CC2" w:rsidRPr="00F41E49">
        <w:rPr>
          <w:rFonts w:asciiTheme="majorHAnsi" w:eastAsia="Calibri" w:hAnsiTheme="majorHAnsi" w:cstheme="majorHAnsi"/>
          <w:szCs w:val="22"/>
        </w:rPr>
        <w:t>susceptible de aprovechamiento independiente por tener salida propia a un elemento común de aquel o a la vía pública, podrán ser objeto de propiedad separada, que llevará inherente un derecho de copropiedad sobre los elementos comunes del edificio, que son todos los necesarios para su adecuado uso y disfrute.</w:t>
      </w:r>
    </w:p>
    <w:p w14:paraId="5D2EBC85" w14:textId="77777777" w:rsidR="00CF7A24" w:rsidRPr="00B24A80" w:rsidRDefault="00CF7A24" w:rsidP="00CF7A24">
      <w:pPr>
        <w:pBdr>
          <w:top w:val="nil"/>
          <w:left w:val="nil"/>
          <w:bottom w:val="nil"/>
          <w:right w:val="nil"/>
          <w:between w:val="nil"/>
        </w:pBdr>
        <w:spacing w:before="240" w:after="240" w:line="276" w:lineRule="auto"/>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t>La propiedad horizontal es aplicable:</w:t>
      </w:r>
    </w:p>
    <w:p w14:paraId="6503102F" w14:textId="77777777" w:rsidR="00CF7A24" w:rsidRPr="00B24A80" w:rsidRDefault="00CF7A24" w:rsidP="00C85FA9">
      <w:pPr>
        <w:numPr>
          <w:ilvl w:val="0"/>
          <w:numId w:val="5"/>
        </w:numPr>
        <w:pBdr>
          <w:top w:val="nil"/>
          <w:left w:val="nil"/>
          <w:bottom w:val="nil"/>
          <w:right w:val="nil"/>
          <w:between w:val="nil"/>
        </w:pBdr>
        <w:tabs>
          <w:tab w:val="left" w:pos="334"/>
        </w:tabs>
        <w:spacing w:line="276" w:lineRule="auto"/>
        <w:ind w:left="718" w:hanging="360"/>
        <w:rPr>
          <w:rFonts w:asciiTheme="majorHAnsi" w:eastAsia="Calibri" w:hAnsiTheme="majorHAnsi" w:cstheme="majorHAnsi"/>
          <w:color w:val="25282C"/>
          <w:sz w:val="22"/>
          <w:szCs w:val="22"/>
        </w:rPr>
      </w:pPr>
      <w:bookmarkStart w:id="239" w:name="bookmark=id.49gfa85" w:colFirst="0" w:colLast="0"/>
      <w:bookmarkEnd w:id="239"/>
      <w:r w:rsidRPr="00B24A80">
        <w:rPr>
          <w:rFonts w:asciiTheme="majorHAnsi" w:eastAsia="Calibri" w:hAnsiTheme="majorHAnsi" w:cstheme="majorHAnsi"/>
          <w:color w:val="000000"/>
          <w:sz w:val="22"/>
          <w:szCs w:val="22"/>
        </w:rPr>
        <w:t>Sobre varios pisos de un edificio.</w:t>
      </w:r>
    </w:p>
    <w:p w14:paraId="4190BB0F" w14:textId="77777777" w:rsidR="00CF7A24" w:rsidRPr="00B24A80" w:rsidRDefault="00CF7A24" w:rsidP="00C85FA9">
      <w:pPr>
        <w:numPr>
          <w:ilvl w:val="0"/>
          <w:numId w:val="5"/>
        </w:numPr>
        <w:pBdr>
          <w:top w:val="nil"/>
          <w:left w:val="nil"/>
          <w:bottom w:val="nil"/>
          <w:right w:val="nil"/>
          <w:between w:val="nil"/>
        </w:pBdr>
        <w:tabs>
          <w:tab w:val="left" w:pos="334"/>
        </w:tabs>
        <w:spacing w:line="276" w:lineRule="auto"/>
        <w:ind w:left="718" w:hanging="360"/>
        <w:rPr>
          <w:rFonts w:asciiTheme="majorHAnsi" w:eastAsia="Calibri" w:hAnsiTheme="majorHAnsi" w:cstheme="majorHAnsi"/>
          <w:color w:val="25282C"/>
          <w:sz w:val="22"/>
          <w:szCs w:val="22"/>
        </w:rPr>
      </w:pPr>
      <w:bookmarkStart w:id="240" w:name="bookmark=id.2olpkfy" w:colFirst="0" w:colLast="0"/>
      <w:bookmarkEnd w:id="240"/>
      <w:r w:rsidRPr="00B24A80">
        <w:rPr>
          <w:rFonts w:asciiTheme="majorHAnsi" w:eastAsia="Calibri" w:hAnsiTheme="majorHAnsi" w:cstheme="majorHAnsi"/>
          <w:color w:val="000000"/>
          <w:sz w:val="22"/>
          <w:szCs w:val="22"/>
        </w:rPr>
        <w:t>Departamentos.</w:t>
      </w:r>
    </w:p>
    <w:p w14:paraId="6864FC13" w14:textId="77777777" w:rsidR="00CF7A24" w:rsidRPr="00B24A80" w:rsidRDefault="00CF7A24" w:rsidP="00C85FA9">
      <w:pPr>
        <w:numPr>
          <w:ilvl w:val="0"/>
          <w:numId w:val="5"/>
        </w:numPr>
        <w:pBdr>
          <w:top w:val="nil"/>
          <w:left w:val="nil"/>
          <w:bottom w:val="nil"/>
          <w:right w:val="nil"/>
          <w:between w:val="nil"/>
        </w:pBdr>
        <w:tabs>
          <w:tab w:val="left" w:pos="334"/>
        </w:tabs>
        <w:spacing w:line="276" w:lineRule="auto"/>
        <w:ind w:left="718" w:hanging="360"/>
        <w:rPr>
          <w:rFonts w:asciiTheme="majorHAnsi" w:eastAsia="Calibri" w:hAnsiTheme="majorHAnsi" w:cstheme="majorHAnsi"/>
          <w:color w:val="25282C"/>
          <w:sz w:val="22"/>
          <w:szCs w:val="22"/>
        </w:rPr>
      </w:pPr>
      <w:bookmarkStart w:id="241" w:name="bookmark=id.13qzunr" w:colFirst="0" w:colLast="0"/>
      <w:bookmarkEnd w:id="241"/>
      <w:r w:rsidRPr="00B24A80">
        <w:rPr>
          <w:rFonts w:asciiTheme="majorHAnsi" w:eastAsia="Calibri" w:hAnsiTheme="majorHAnsi" w:cstheme="majorHAnsi"/>
          <w:color w:val="000000"/>
          <w:sz w:val="22"/>
          <w:szCs w:val="22"/>
        </w:rPr>
        <w:t>Departamentos o locales en casas de un solo piso.</w:t>
      </w:r>
    </w:p>
    <w:p w14:paraId="052745A4" w14:textId="77777777" w:rsidR="00CF7A24" w:rsidRPr="00B24A80" w:rsidRDefault="00CF7A24" w:rsidP="00C85FA9">
      <w:pPr>
        <w:numPr>
          <w:ilvl w:val="0"/>
          <w:numId w:val="5"/>
        </w:numPr>
        <w:pBdr>
          <w:top w:val="nil"/>
          <w:left w:val="nil"/>
          <w:bottom w:val="nil"/>
          <w:right w:val="nil"/>
          <w:between w:val="nil"/>
        </w:pBdr>
        <w:tabs>
          <w:tab w:val="left" w:pos="334"/>
        </w:tabs>
        <w:spacing w:line="276" w:lineRule="auto"/>
        <w:ind w:left="718" w:hanging="360"/>
        <w:rPr>
          <w:rFonts w:asciiTheme="majorHAnsi" w:eastAsia="Calibri" w:hAnsiTheme="majorHAnsi" w:cstheme="majorHAnsi"/>
          <w:color w:val="25282C"/>
          <w:sz w:val="22"/>
          <w:szCs w:val="22"/>
        </w:rPr>
      </w:pPr>
      <w:bookmarkStart w:id="242" w:name="bookmark=id.3nqndbk" w:colFirst="0" w:colLast="0"/>
      <w:bookmarkEnd w:id="242"/>
      <w:r w:rsidRPr="00B24A80">
        <w:rPr>
          <w:rFonts w:asciiTheme="majorHAnsi" w:eastAsia="Calibri" w:hAnsiTheme="majorHAnsi" w:cstheme="majorHAnsi"/>
          <w:color w:val="000000"/>
          <w:sz w:val="22"/>
          <w:szCs w:val="22"/>
        </w:rPr>
        <w:t>Locales.</w:t>
      </w:r>
      <w:bookmarkStart w:id="243" w:name="bookmark=id.22vxnjd" w:colFirst="0" w:colLast="0"/>
      <w:bookmarkEnd w:id="243"/>
    </w:p>
    <w:p w14:paraId="4EA744CC" w14:textId="75776779" w:rsidR="00CF7A24" w:rsidRPr="00B24A80" w:rsidRDefault="00CF7A24" w:rsidP="00C85FA9">
      <w:pPr>
        <w:numPr>
          <w:ilvl w:val="0"/>
          <w:numId w:val="5"/>
        </w:numPr>
        <w:pBdr>
          <w:top w:val="nil"/>
          <w:left w:val="nil"/>
          <w:bottom w:val="nil"/>
          <w:right w:val="nil"/>
          <w:between w:val="nil"/>
        </w:pBdr>
        <w:tabs>
          <w:tab w:val="left" w:pos="334"/>
        </w:tabs>
        <w:spacing w:line="276" w:lineRule="auto"/>
        <w:ind w:left="718" w:hanging="360"/>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t>Las casas o villas de los conjuntos residenciales cuando sean independientes y tengan salida a una vía u otro espacio público directamente o un espacio de copropiedad conectado y accesible desde un espacio público.</w:t>
      </w:r>
    </w:p>
    <w:p w14:paraId="02072400" w14:textId="3630999C" w:rsidR="00CF7A24" w:rsidRPr="00B24A80" w:rsidRDefault="00CF7A24" w:rsidP="00CF7A24">
      <w:p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bienes inmuebles declarados bajo el régimen de propiedad horizontal, deberán cumplir los requisitos contemplados en la Ley de Propiedad Horizontal vigente, reglamentos, normas especiales y la presente Ordenanza.</w:t>
      </w:r>
    </w:p>
    <w:p w14:paraId="6ACC343A" w14:textId="3040C83D" w:rsidR="00CF7A24" w:rsidRPr="00B24A80" w:rsidRDefault="00CF7A2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Aplicabilidad del régimen de propiedad horizontal: </w:t>
      </w:r>
      <w:r w:rsidRPr="00B24A80">
        <w:rPr>
          <w:rFonts w:asciiTheme="majorHAnsi" w:eastAsia="Calibri" w:hAnsiTheme="majorHAnsi" w:cstheme="majorHAnsi"/>
          <w:color w:val="000000"/>
          <w:szCs w:val="22"/>
        </w:rPr>
        <w:t>Las edificaciones ubicadas en áreas urbanas que alberguen dos o más unidades de vivienda, oficinas, comercios u otros bienes inmuebles que de acuerdo a lo Ley de Propiedad Horizontal y su reglamento sean independientes y que puedan ser enajenados individualmente podrán solicitar la declaratoria de propiedad horizontal</w:t>
      </w:r>
      <w:r w:rsidR="00A343BE" w:rsidRPr="00B24A80">
        <w:rPr>
          <w:rFonts w:asciiTheme="majorHAnsi" w:eastAsia="Calibri" w:hAnsiTheme="majorHAnsi" w:cstheme="majorHAnsi"/>
          <w:color w:val="000000"/>
          <w:szCs w:val="22"/>
        </w:rPr>
        <w:t>.</w:t>
      </w:r>
    </w:p>
    <w:p w14:paraId="36FC858A" w14:textId="77777777" w:rsidR="00CF7A24" w:rsidRPr="00B24A80" w:rsidRDefault="00CF7A24" w:rsidP="00CF7A24">
      <w:pPr>
        <w:pBdr>
          <w:top w:val="nil"/>
          <w:left w:val="nil"/>
          <w:bottom w:val="nil"/>
          <w:right w:val="nil"/>
          <w:between w:val="nil"/>
        </w:pBdr>
        <w:spacing w:before="240" w:after="240" w:line="276" w:lineRule="auto"/>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t>Los proyectos de propiedad horizontal en suelo urbano cumplirán con la trama vial existente o proyectada.</w:t>
      </w:r>
    </w:p>
    <w:p w14:paraId="458F1DC0" w14:textId="358F4FAA" w:rsidR="00CF7A24" w:rsidRPr="00B24A80" w:rsidRDefault="00CF7A24" w:rsidP="00CF7A24">
      <w:p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proyectos a ser declarados bajo el régimen de propiedad horizontal, deberán cumplir con los determinantes urbanísticos asignados a cada polígono de intervención territorial y contar previamente con la respectiva aprobación de planos arquitec</w:t>
      </w:r>
      <w:r w:rsidR="00A343BE" w:rsidRPr="00B24A80">
        <w:rPr>
          <w:rFonts w:asciiTheme="majorHAnsi" w:eastAsia="Calibri" w:hAnsiTheme="majorHAnsi" w:cstheme="majorHAnsi"/>
          <w:color w:val="000000"/>
          <w:sz w:val="22"/>
          <w:szCs w:val="22"/>
        </w:rPr>
        <w:t>tónicos y la respectiva licencia</w:t>
      </w:r>
      <w:r w:rsidRPr="00B24A80">
        <w:rPr>
          <w:rFonts w:asciiTheme="majorHAnsi" w:eastAsia="Calibri" w:hAnsiTheme="majorHAnsi" w:cstheme="majorHAnsi"/>
          <w:color w:val="000000"/>
          <w:sz w:val="22"/>
          <w:szCs w:val="22"/>
        </w:rPr>
        <w:t xml:space="preserve"> para l</w:t>
      </w:r>
      <w:r w:rsidR="00A343BE" w:rsidRPr="00B24A80">
        <w:rPr>
          <w:rFonts w:asciiTheme="majorHAnsi" w:eastAsia="Calibri" w:hAnsiTheme="majorHAnsi" w:cstheme="majorHAnsi"/>
          <w:color w:val="000000"/>
          <w:sz w:val="22"/>
          <w:szCs w:val="22"/>
        </w:rPr>
        <w:t>a</w:t>
      </w:r>
      <w:r w:rsidRPr="00B24A80">
        <w:rPr>
          <w:rFonts w:asciiTheme="majorHAnsi" w:eastAsia="Calibri" w:hAnsiTheme="majorHAnsi" w:cstheme="majorHAnsi"/>
          <w:color w:val="000000"/>
          <w:sz w:val="22"/>
          <w:szCs w:val="22"/>
        </w:rPr>
        <w:t xml:space="preserve"> edificación.</w:t>
      </w:r>
    </w:p>
    <w:p w14:paraId="244E718D" w14:textId="581C1CF2" w:rsidR="00304E40" w:rsidRPr="00B24A80" w:rsidRDefault="00304E40"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De la aprobación sobre propiedad horizontal: </w:t>
      </w:r>
      <w:r w:rsidRPr="00B24A80">
        <w:rPr>
          <w:rFonts w:asciiTheme="majorHAnsi" w:eastAsia="Calibri" w:hAnsiTheme="majorHAnsi" w:cstheme="majorHAnsi"/>
          <w:color w:val="000000"/>
          <w:szCs w:val="22"/>
        </w:rPr>
        <w:t>El órgano competente de la administración municipal, conocerá y de ser el caso, resolverá las solicitudes presentadas por las personas interesadas sobre la aprobación de propiedad horizontal.</w:t>
      </w:r>
    </w:p>
    <w:p w14:paraId="7066F9D3" w14:textId="77777777" w:rsidR="00304E40" w:rsidRPr="00B24A80" w:rsidRDefault="00304E40" w:rsidP="00304E40">
      <w:pPr>
        <w:pBdr>
          <w:top w:val="nil"/>
          <w:left w:val="nil"/>
          <w:bottom w:val="nil"/>
          <w:right w:val="nil"/>
          <w:between w:val="nil"/>
        </w:pBdr>
        <w:spacing w:before="240" w:after="140" w:line="276" w:lineRule="auto"/>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lastRenderedPageBreak/>
        <w:t>No se podrá celebrar transferencia de dominio sobre bienes inmuebles que hayan sido aprobados bajo el régimen de propiedad horizontal, mientras:</w:t>
      </w:r>
    </w:p>
    <w:p w14:paraId="398AF80F" w14:textId="77777777" w:rsidR="00304E40" w:rsidRPr="00B24A80" w:rsidRDefault="00304E40" w:rsidP="00C85FA9">
      <w:pPr>
        <w:numPr>
          <w:ilvl w:val="0"/>
          <w:numId w:val="7"/>
        </w:numPr>
        <w:pBdr>
          <w:top w:val="nil"/>
          <w:left w:val="nil"/>
          <w:bottom w:val="nil"/>
          <w:right w:val="nil"/>
          <w:between w:val="nil"/>
        </w:pBdr>
        <w:tabs>
          <w:tab w:val="left" w:pos="310"/>
        </w:tabs>
        <w:spacing w:before="240" w:line="276" w:lineRule="auto"/>
        <w:rPr>
          <w:rFonts w:asciiTheme="majorHAnsi" w:eastAsia="Calibri" w:hAnsiTheme="majorHAnsi" w:cstheme="majorHAnsi"/>
          <w:color w:val="25282C"/>
          <w:sz w:val="22"/>
          <w:szCs w:val="22"/>
        </w:rPr>
      </w:pPr>
      <w:bookmarkStart w:id="244" w:name="bookmark=id.i17xr6" w:colFirst="0" w:colLast="0"/>
      <w:bookmarkEnd w:id="244"/>
      <w:r w:rsidRPr="00B24A80">
        <w:rPr>
          <w:rFonts w:asciiTheme="majorHAnsi" w:eastAsia="Calibri" w:hAnsiTheme="majorHAnsi" w:cstheme="majorHAnsi"/>
          <w:color w:val="000000"/>
          <w:sz w:val="22"/>
          <w:szCs w:val="22"/>
        </w:rPr>
        <w:t>No se encuentren concluidas las obras de edificación sobre áreas comunes,</w:t>
      </w:r>
    </w:p>
    <w:p w14:paraId="235B1A36" w14:textId="77777777" w:rsidR="00304E40" w:rsidRPr="00B24A80" w:rsidRDefault="00304E40" w:rsidP="00C85FA9">
      <w:pPr>
        <w:numPr>
          <w:ilvl w:val="0"/>
          <w:numId w:val="7"/>
        </w:numPr>
        <w:pBdr>
          <w:top w:val="nil"/>
          <w:left w:val="nil"/>
          <w:bottom w:val="nil"/>
          <w:right w:val="nil"/>
          <w:between w:val="nil"/>
        </w:pBdr>
        <w:tabs>
          <w:tab w:val="left" w:pos="315"/>
        </w:tabs>
        <w:spacing w:before="240" w:after="140" w:line="276" w:lineRule="auto"/>
        <w:ind w:left="280" w:hanging="280"/>
        <w:rPr>
          <w:rFonts w:asciiTheme="majorHAnsi" w:eastAsia="Calibri" w:hAnsiTheme="majorHAnsi" w:cstheme="majorHAnsi"/>
          <w:color w:val="25282C"/>
          <w:sz w:val="22"/>
          <w:szCs w:val="22"/>
        </w:rPr>
      </w:pPr>
      <w:bookmarkStart w:id="245" w:name="bookmark=id.320vgez" w:colFirst="0" w:colLast="0"/>
      <w:bookmarkEnd w:id="245"/>
      <w:r w:rsidRPr="00B24A80">
        <w:rPr>
          <w:rFonts w:asciiTheme="majorHAnsi" w:eastAsia="Calibri" w:hAnsiTheme="majorHAnsi" w:cstheme="majorHAnsi"/>
          <w:color w:val="000000"/>
          <w:sz w:val="22"/>
          <w:szCs w:val="22"/>
        </w:rPr>
        <w:t>Los bienes con propiedad exclusiva no hayan obtenido los permisos o autorizaciones correspondientes y demás requisitos establecidos en el ordenamiento jurídico vigente.</w:t>
      </w:r>
    </w:p>
    <w:p w14:paraId="79095D62" w14:textId="2A06DB18" w:rsidR="00304E40" w:rsidRPr="00B24A80" w:rsidRDefault="00304E40" w:rsidP="00304E40">
      <w:pPr>
        <w:pBdr>
          <w:top w:val="nil"/>
          <w:left w:val="nil"/>
          <w:bottom w:val="nil"/>
          <w:right w:val="nil"/>
          <w:between w:val="nil"/>
        </w:pBdr>
        <w:spacing w:before="240" w:after="28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ningún caso el tamaño del proyecto a ser declarado bajo el régimen de propiedad horizontal podrá ser mayor a 10.000 m</w:t>
      </w:r>
      <w:r w:rsidRPr="00B24A80">
        <w:rPr>
          <w:rFonts w:asciiTheme="majorHAnsi" w:eastAsia="Calibri" w:hAnsiTheme="majorHAnsi" w:cstheme="majorHAnsi"/>
          <w:color w:val="000000"/>
          <w:sz w:val="22"/>
          <w:szCs w:val="22"/>
          <w:vertAlign w:val="superscript"/>
        </w:rPr>
        <w:t>2</w:t>
      </w:r>
      <w:r w:rsidRPr="00B24A80">
        <w:rPr>
          <w:rFonts w:asciiTheme="majorHAnsi" w:eastAsia="Calibri" w:hAnsiTheme="majorHAnsi" w:cstheme="majorHAnsi"/>
          <w:color w:val="000000"/>
          <w:sz w:val="22"/>
          <w:szCs w:val="22"/>
        </w:rPr>
        <w:t xml:space="preserve"> de extensión. </w:t>
      </w:r>
    </w:p>
    <w:p w14:paraId="514D60A4" w14:textId="7A3A4243" w:rsidR="00A343BE" w:rsidRPr="00B24A80" w:rsidRDefault="00A343BE" w:rsidP="00A343BE">
      <w:pPr>
        <w:widowControl/>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Se establece conforme al Art 424 </w:t>
      </w:r>
      <w:r w:rsidR="00F34A50">
        <w:rPr>
          <w:rFonts w:asciiTheme="majorHAnsi" w:eastAsia="Calibri" w:hAnsiTheme="majorHAnsi" w:cstheme="majorHAnsi"/>
          <w:color w:val="000000"/>
          <w:sz w:val="22"/>
          <w:szCs w:val="22"/>
        </w:rPr>
        <w:t xml:space="preserve">del </w:t>
      </w:r>
      <w:r w:rsidR="00F34A50" w:rsidRPr="00AE2745">
        <w:rPr>
          <w:rFonts w:asciiTheme="majorHAnsi" w:eastAsia="Calibri" w:hAnsiTheme="majorHAnsi" w:cstheme="majorHAnsi"/>
          <w:sz w:val="22"/>
          <w:szCs w:val="22"/>
        </w:rPr>
        <w:t>COOTAD</w:t>
      </w:r>
      <w:r w:rsidRPr="00B24A80">
        <w:rPr>
          <w:rFonts w:asciiTheme="majorHAnsi" w:eastAsia="Calibri" w:hAnsiTheme="majorHAnsi" w:cstheme="majorHAnsi"/>
          <w:color w:val="000000"/>
          <w:sz w:val="22"/>
          <w:szCs w:val="22"/>
        </w:rPr>
        <w:t xml:space="preserve">, que, </w:t>
      </w:r>
      <w:r w:rsidR="000F4EC0" w:rsidRPr="00B24A80">
        <w:rPr>
          <w:rFonts w:asciiTheme="majorHAnsi" w:eastAsia="Calibri" w:hAnsiTheme="majorHAnsi" w:cstheme="majorHAnsi"/>
          <w:color w:val="000000"/>
          <w:sz w:val="22"/>
          <w:szCs w:val="22"/>
        </w:rPr>
        <w:t>los predios</w:t>
      </w:r>
      <w:r w:rsidRPr="00B24A80">
        <w:rPr>
          <w:rFonts w:asciiTheme="majorHAnsi" w:eastAsia="Calibri" w:hAnsiTheme="majorHAnsi" w:cstheme="majorHAnsi"/>
          <w:color w:val="000000"/>
          <w:sz w:val="22"/>
          <w:szCs w:val="22"/>
        </w:rPr>
        <w:t xml:space="preserve"> que no puedan designar el 15% de áreas verdes</w:t>
      </w:r>
      <w:r w:rsidR="000F4EC0" w:rsidRPr="00B24A80">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el</w:t>
      </w:r>
      <w:r w:rsidR="000F4EC0" w:rsidRPr="00B24A80">
        <w:rPr>
          <w:rFonts w:asciiTheme="majorHAnsi" w:eastAsia="Calibri" w:hAnsiTheme="majorHAnsi" w:cstheme="majorHAnsi"/>
          <w:color w:val="000000"/>
          <w:sz w:val="22"/>
          <w:szCs w:val="22"/>
        </w:rPr>
        <w:t xml:space="preserve"> GADMC </w:t>
      </w:r>
      <w:r w:rsidRPr="00B24A80">
        <w:rPr>
          <w:rFonts w:asciiTheme="majorHAnsi" w:eastAsia="Calibri" w:hAnsiTheme="majorHAnsi" w:cstheme="majorHAnsi"/>
          <w:color w:val="000000"/>
          <w:sz w:val="22"/>
          <w:szCs w:val="22"/>
        </w:rPr>
        <w:t>exigirá una compensación en dinero según el avalúo catastral del porcentaje antes indicado. Con estos recursos la municipalidad deberá crear un fondo</w:t>
      </w:r>
      <w:r w:rsidR="000F4EC0" w:rsidRPr="00B24A80">
        <w:rPr>
          <w:rFonts w:asciiTheme="majorHAnsi" w:eastAsia="Calibri" w:hAnsiTheme="majorHAnsi" w:cstheme="majorHAnsi"/>
          <w:color w:val="000000"/>
          <w:sz w:val="22"/>
          <w:szCs w:val="22"/>
        </w:rPr>
        <w:t>, su finalidad será</w:t>
      </w:r>
      <w:r w:rsidRPr="00B24A80">
        <w:rPr>
          <w:rFonts w:asciiTheme="majorHAnsi" w:eastAsia="Calibri" w:hAnsiTheme="majorHAnsi" w:cstheme="majorHAnsi"/>
          <w:color w:val="000000"/>
          <w:sz w:val="22"/>
          <w:szCs w:val="22"/>
        </w:rPr>
        <w:t xml:space="preserve"> única y exclusivamente para la adquisición de áreas verdes, equipamiento comunitario y obras para su mejoramiento.</w:t>
      </w:r>
    </w:p>
    <w:p w14:paraId="56E5B07C" w14:textId="2E1E109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De los requisitos para obtener la declaratoria de propiedad horizontal</w:t>
      </w:r>
      <w:r w:rsidRPr="00B24A80">
        <w:rPr>
          <w:rFonts w:asciiTheme="majorHAnsi" w:hAnsiTheme="majorHAnsi" w:cstheme="majorHAnsi"/>
          <w:szCs w:val="22"/>
        </w:rPr>
        <w:t xml:space="preserve">. - Para obtener la declaratoria bajo el régimen de propiedad horizontal, el solicitante deberá presentar los siguientes documentos a la </w:t>
      </w:r>
      <w:r w:rsidR="006E0959" w:rsidRPr="00B24A80">
        <w:rPr>
          <w:rFonts w:asciiTheme="majorHAnsi" w:hAnsiTheme="majorHAnsi" w:cstheme="majorHAnsi"/>
          <w:szCs w:val="22"/>
        </w:rPr>
        <w:t xml:space="preserve">Dirección de Gestión Planificación y Ordenamiento Territorial </w:t>
      </w:r>
      <w:r w:rsidRPr="00B24A80">
        <w:rPr>
          <w:rFonts w:asciiTheme="majorHAnsi" w:hAnsiTheme="majorHAnsi" w:cstheme="majorHAnsi"/>
          <w:szCs w:val="22"/>
        </w:rPr>
        <w:t xml:space="preserve">del </w:t>
      </w:r>
      <w:r w:rsidR="006E0959" w:rsidRPr="00B24A80">
        <w:rPr>
          <w:rFonts w:asciiTheme="majorHAnsi" w:hAnsiTheme="majorHAnsi" w:cstheme="majorHAnsi"/>
          <w:szCs w:val="22"/>
        </w:rPr>
        <w:t>GADM del cantón La Joya de los Sachas</w:t>
      </w:r>
      <w:r w:rsidRPr="00B24A80">
        <w:rPr>
          <w:rFonts w:asciiTheme="majorHAnsi" w:hAnsiTheme="majorHAnsi" w:cstheme="majorHAnsi"/>
          <w:szCs w:val="22"/>
        </w:rPr>
        <w:t>:</w:t>
      </w:r>
    </w:p>
    <w:p w14:paraId="44B06C86" w14:textId="51CE04CE"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Solicitud suscrita por el propietario al Director de Planificación, de acuerdo al formato establecido por el </w:t>
      </w:r>
      <w:r w:rsidR="006E0959" w:rsidRPr="00B24A80">
        <w:rPr>
          <w:rFonts w:asciiTheme="majorHAnsi" w:hAnsiTheme="majorHAnsi" w:cstheme="majorHAnsi"/>
          <w:szCs w:val="22"/>
        </w:rPr>
        <w:t>GADM</w:t>
      </w:r>
      <w:r w:rsidR="00D659D5" w:rsidRPr="00B24A80">
        <w:rPr>
          <w:rFonts w:asciiTheme="majorHAnsi" w:hAnsiTheme="majorHAnsi" w:cstheme="majorHAnsi"/>
          <w:szCs w:val="22"/>
        </w:rPr>
        <w:t>CJS</w:t>
      </w:r>
      <w:r w:rsidRPr="00B24A80">
        <w:rPr>
          <w:rFonts w:asciiTheme="majorHAnsi" w:hAnsiTheme="majorHAnsi" w:cstheme="majorHAnsi"/>
          <w:szCs w:val="22"/>
        </w:rPr>
        <w:t xml:space="preserve">; </w:t>
      </w:r>
      <w:r w:rsidR="0024633D">
        <w:rPr>
          <w:rFonts w:asciiTheme="majorHAnsi" w:hAnsiTheme="majorHAnsi" w:cstheme="majorHAnsi"/>
          <w:szCs w:val="22"/>
        </w:rPr>
        <w:t>además debe indicarse el número de cédula, correo electrónico, número</w:t>
      </w:r>
      <w:r w:rsidR="000F057A">
        <w:rPr>
          <w:rFonts w:asciiTheme="majorHAnsi" w:hAnsiTheme="majorHAnsi" w:cstheme="majorHAnsi"/>
          <w:szCs w:val="22"/>
        </w:rPr>
        <w:t xml:space="preserve"> de</w:t>
      </w:r>
      <w:r w:rsidR="0024633D">
        <w:rPr>
          <w:rFonts w:asciiTheme="majorHAnsi" w:hAnsiTheme="majorHAnsi" w:cstheme="majorHAnsi"/>
          <w:szCs w:val="22"/>
        </w:rPr>
        <w:t xml:space="preserve"> </w:t>
      </w:r>
      <w:r w:rsidR="000F057A">
        <w:rPr>
          <w:rFonts w:asciiTheme="majorHAnsi" w:hAnsiTheme="majorHAnsi" w:cstheme="majorHAnsi"/>
          <w:szCs w:val="22"/>
        </w:rPr>
        <w:t>teléfono</w:t>
      </w:r>
      <w:r w:rsidR="00284AE8">
        <w:rPr>
          <w:rFonts w:asciiTheme="majorHAnsi" w:hAnsiTheme="majorHAnsi" w:cstheme="majorHAnsi"/>
          <w:szCs w:val="22"/>
        </w:rPr>
        <w:t xml:space="preserve"> convencional y celular.</w:t>
      </w:r>
    </w:p>
    <w:p w14:paraId="3F40249A" w14:textId="679B2EC5"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En caso de que el trámite lo realice un tercero, presentará la autorización del propietario y su cédula de ciudadanía y certificado de votación; </w:t>
      </w:r>
    </w:p>
    <w:p w14:paraId="1AC8EC35" w14:textId="5DC60BF5"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Informe de aprobación de planos; </w:t>
      </w:r>
    </w:p>
    <w:p w14:paraId="291A72F0" w14:textId="12500AAB" w:rsidR="00DC27E8" w:rsidRDefault="00D20DF3" w:rsidP="00CA24CF">
      <w:pPr>
        <w:pStyle w:val="Prrafodelista"/>
        <w:numPr>
          <w:ilvl w:val="0"/>
          <w:numId w:val="74"/>
        </w:numPr>
        <w:spacing w:line="276" w:lineRule="auto"/>
        <w:ind w:right="42"/>
        <w:rPr>
          <w:rFonts w:asciiTheme="majorHAnsi" w:hAnsiTheme="majorHAnsi" w:cstheme="majorHAnsi"/>
          <w:szCs w:val="22"/>
        </w:rPr>
      </w:pPr>
      <w:r>
        <w:rPr>
          <w:rFonts w:asciiTheme="majorHAnsi" w:hAnsiTheme="majorHAnsi" w:cstheme="majorHAnsi"/>
          <w:szCs w:val="22"/>
        </w:rPr>
        <w:t>Permiso</w:t>
      </w:r>
      <w:r w:rsidR="007F5505" w:rsidRPr="00B24A80">
        <w:rPr>
          <w:rFonts w:asciiTheme="majorHAnsi" w:hAnsiTheme="majorHAnsi" w:cstheme="majorHAnsi"/>
          <w:szCs w:val="22"/>
        </w:rPr>
        <w:t xml:space="preserve"> de construcción; </w:t>
      </w:r>
    </w:p>
    <w:p w14:paraId="0B133152" w14:textId="7F326667" w:rsidR="00903F82" w:rsidRPr="00CE527D" w:rsidRDefault="00903F82" w:rsidP="00CA24CF">
      <w:pPr>
        <w:pStyle w:val="Prrafodelista"/>
        <w:numPr>
          <w:ilvl w:val="0"/>
          <w:numId w:val="74"/>
        </w:numPr>
        <w:spacing w:line="276" w:lineRule="auto"/>
        <w:ind w:right="42"/>
        <w:rPr>
          <w:rFonts w:asciiTheme="majorHAnsi" w:hAnsiTheme="majorHAnsi" w:cstheme="majorHAnsi"/>
          <w:szCs w:val="22"/>
        </w:rPr>
      </w:pPr>
      <w:r w:rsidRPr="00CE527D">
        <w:rPr>
          <w:rFonts w:asciiTheme="majorHAnsi" w:hAnsiTheme="majorHAnsi" w:cstheme="majorHAnsi"/>
          <w:szCs w:val="22"/>
        </w:rPr>
        <w:t xml:space="preserve">Planos Arquitectónicos de la edificación </w:t>
      </w:r>
      <w:r w:rsidR="001D3DAA" w:rsidRPr="00CE527D">
        <w:rPr>
          <w:rFonts w:asciiTheme="majorHAnsi" w:hAnsiTheme="majorHAnsi" w:cstheme="majorHAnsi"/>
          <w:szCs w:val="22"/>
        </w:rPr>
        <w:t xml:space="preserve">conforme </w:t>
      </w:r>
      <w:r w:rsidR="00255072" w:rsidRPr="00CE527D">
        <w:rPr>
          <w:rFonts w:asciiTheme="majorHAnsi" w:hAnsiTheme="majorHAnsi" w:cstheme="majorHAnsi"/>
          <w:szCs w:val="22"/>
        </w:rPr>
        <w:t xml:space="preserve">a lo establecido en </w:t>
      </w:r>
      <w:r w:rsidR="001D3DAA" w:rsidRPr="00CE527D">
        <w:rPr>
          <w:rFonts w:asciiTheme="majorHAnsi" w:hAnsiTheme="majorHAnsi" w:cstheme="majorHAnsi"/>
          <w:szCs w:val="22"/>
        </w:rPr>
        <w:t xml:space="preserve">el artículo 188 </w:t>
      </w:r>
      <w:r w:rsidR="00255072" w:rsidRPr="00CE527D">
        <w:rPr>
          <w:rFonts w:asciiTheme="majorHAnsi" w:hAnsiTheme="majorHAnsi" w:cstheme="majorHAnsi"/>
          <w:szCs w:val="22"/>
        </w:rPr>
        <w:t xml:space="preserve">inciso </w:t>
      </w:r>
      <w:r w:rsidR="001D3DAA" w:rsidRPr="00CE527D">
        <w:rPr>
          <w:rFonts w:asciiTheme="majorHAnsi" w:hAnsiTheme="majorHAnsi" w:cstheme="majorHAnsi"/>
          <w:szCs w:val="22"/>
        </w:rPr>
        <w:t>e.</w:t>
      </w:r>
    </w:p>
    <w:p w14:paraId="76B8382D" w14:textId="3857195C"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Permiso de trabajos varios (en caso de haber realizado modificaciones al proyecto original); </w:t>
      </w:r>
    </w:p>
    <w:p w14:paraId="14501222" w14:textId="506C2A16"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Cuadro de alícuotas, linderos y áreas comunales, el cual contendrá única y específicamente las fracciones correspondientes del total de las áreas y/o bienes exclusivos susceptibles de individualizarse o enajenarse. Este deberá contener firma y número de cédula de identidad del profesional competente y de los propietarios;</w:t>
      </w:r>
    </w:p>
    <w:p w14:paraId="5ED45886" w14:textId="5B9B039D"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Los cuadros de alícuotas deberán estar con cuatro decimales (13,1234) y cerrados al 100% en la suma total de las áreas susceptibles de individualizarse o enajenarse; </w:t>
      </w:r>
    </w:p>
    <w:p w14:paraId="1354F309" w14:textId="1EFD0455" w:rsidR="00DC27E8" w:rsidRPr="00B24A80" w:rsidRDefault="00B92E22" w:rsidP="00CA24CF">
      <w:pPr>
        <w:pStyle w:val="Prrafodelista"/>
        <w:numPr>
          <w:ilvl w:val="0"/>
          <w:numId w:val="74"/>
        </w:numPr>
        <w:spacing w:line="276" w:lineRule="auto"/>
        <w:ind w:right="42"/>
        <w:rPr>
          <w:rFonts w:asciiTheme="majorHAnsi" w:hAnsiTheme="majorHAnsi" w:cstheme="majorHAnsi"/>
          <w:szCs w:val="22"/>
        </w:rPr>
      </w:pPr>
      <w:r>
        <w:rPr>
          <w:rFonts w:asciiTheme="majorHAnsi" w:hAnsiTheme="majorHAnsi" w:cstheme="majorHAnsi"/>
          <w:szCs w:val="22"/>
        </w:rPr>
        <w:t>Certificado d</w:t>
      </w:r>
      <w:r w:rsidR="007F5505" w:rsidRPr="00B24A80">
        <w:rPr>
          <w:rFonts w:asciiTheme="majorHAnsi" w:hAnsiTheme="majorHAnsi" w:cstheme="majorHAnsi"/>
          <w:szCs w:val="22"/>
        </w:rPr>
        <w:t xml:space="preserve">el Registro de la Propiedad; </w:t>
      </w:r>
    </w:p>
    <w:p w14:paraId="3CFC5864" w14:textId="207BA971" w:rsidR="00DC27E8" w:rsidRPr="00B24A80" w:rsidRDefault="007F5505" w:rsidP="00CA24CF">
      <w:pPr>
        <w:pStyle w:val="Prrafodelista"/>
        <w:numPr>
          <w:ilvl w:val="0"/>
          <w:numId w:val="74"/>
        </w:numPr>
        <w:spacing w:line="276" w:lineRule="auto"/>
        <w:ind w:right="42"/>
        <w:rPr>
          <w:rFonts w:asciiTheme="majorHAnsi" w:hAnsiTheme="majorHAnsi" w:cstheme="majorHAnsi"/>
          <w:szCs w:val="22"/>
        </w:rPr>
      </w:pPr>
      <w:r w:rsidRPr="00B24A80">
        <w:rPr>
          <w:rFonts w:asciiTheme="majorHAnsi" w:hAnsiTheme="majorHAnsi" w:cstheme="majorHAnsi"/>
          <w:szCs w:val="22"/>
        </w:rPr>
        <w:t xml:space="preserve">Certificado de gravámenes actualizado en el Registro de la Propiedad; y, </w:t>
      </w:r>
    </w:p>
    <w:p w14:paraId="37D7D00B" w14:textId="6B9C003A" w:rsidR="00DC27E8" w:rsidRPr="00CE527D" w:rsidRDefault="00E371D3" w:rsidP="00CA24CF">
      <w:pPr>
        <w:pStyle w:val="Prrafodelista"/>
        <w:numPr>
          <w:ilvl w:val="0"/>
          <w:numId w:val="74"/>
        </w:numPr>
        <w:spacing w:line="276" w:lineRule="auto"/>
        <w:ind w:right="42"/>
        <w:rPr>
          <w:rFonts w:asciiTheme="majorHAnsi" w:hAnsiTheme="majorHAnsi" w:cstheme="majorHAnsi"/>
          <w:szCs w:val="22"/>
        </w:rPr>
      </w:pPr>
      <w:r w:rsidRPr="00CE527D">
        <w:rPr>
          <w:rFonts w:asciiTheme="majorHAnsi" w:hAnsiTheme="majorHAnsi" w:cstheme="majorHAnsi"/>
          <w:szCs w:val="22"/>
        </w:rPr>
        <w:t xml:space="preserve">Reglamento de </w:t>
      </w:r>
      <w:r w:rsidR="00DC3650" w:rsidRPr="00CE527D">
        <w:rPr>
          <w:rFonts w:asciiTheme="majorHAnsi" w:hAnsiTheme="majorHAnsi" w:cstheme="majorHAnsi"/>
          <w:szCs w:val="22"/>
        </w:rPr>
        <w:t>propiedad</w:t>
      </w:r>
      <w:r w:rsidRPr="00CE527D">
        <w:rPr>
          <w:rFonts w:asciiTheme="majorHAnsi" w:hAnsiTheme="majorHAnsi" w:cstheme="majorHAnsi"/>
          <w:szCs w:val="22"/>
        </w:rPr>
        <w:t xml:space="preserve"> horizontal firmado por el profesional en el área de derecho y el propietario.</w:t>
      </w:r>
    </w:p>
    <w:p w14:paraId="53B264EB" w14:textId="77777777" w:rsidR="00F55E90" w:rsidRPr="00B24A80" w:rsidRDefault="00F55E90">
      <w:pPr>
        <w:spacing w:line="276" w:lineRule="auto"/>
        <w:ind w:right="42"/>
        <w:rPr>
          <w:rFonts w:asciiTheme="majorHAnsi" w:hAnsiTheme="majorHAnsi" w:cstheme="majorHAnsi"/>
          <w:sz w:val="22"/>
          <w:szCs w:val="22"/>
        </w:rPr>
      </w:pPr>
    </w:p>
    <w:p w14:paraId="6D54F60F" w14:textId="593FF16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 xml:space="preserve">De la obtención del permiso de declaratoria de propiedad </w:t>
      </w:r>
      <w:r w:rsidR="003D4CF8" w:rsidRPr="00B24A80">
        <w:rPr>
          <w:rFonts w:asciiTheme="majorHAnsi" w:hAnsiTheme="majorHAnsi" w:cstheme="majorHAnsi"/>
          <w:b/>
          <w:szCs w:val="22"/>
        </w:rPr>
        <w:t>horizontal. -</w:t>
      </w:r>
      <w:r w:rsidRPr="00B24A80">
        <w:rPr>
          <w:rFonts w:asciiTheme="majorHAnsi" w:hAnsiTheme="majorHAnsi" w:cstheme="majorHAnsi"/>
          <w:b/>
          <w:szCs w:val="22"/>
        </w:rPr>
        <w:t xml:space="preserve"> </w:t>
      </w:r>
      <w:r w:rsidRPr="00B24A80">
        <w:rPr>
          <w:rFonts w:asciiTheme="majorHAnsi" w:hAnsiTheme="majorHAnsi" w:cstheme="majorHAnsi"/>
          <w:szCs w:val="22"/>
        </w:rPr>
        <w:t xml:space="preserve">El </w:t>
      </w:r>
      <w:r w:rsidR="005949C0">
        <w:rPr>
          <w:rFonts w:asciiTheme="majorHAnsi" w:hAnsiTheme="majorHAnsi" w:cstheme="majorHAnsi"/>
          <w:szCs w:val="22"/>
        </w:rPr>
        <w:t>d</w:t>
      </w:r>
      <w:r w:rsidR="006E0959" w:rsidRPr="00B24A80">
        <w:rPr>
          <w:rFonts w:asciiTheme="majorHAnsi" w:hAnsiTheme="majorHAnsi" w:cstheme="majorHAnsi"/>
          <w:szCs w:val="22"/>
        </w:rPr>
        <w:t>irec</w:t>
      </w:r>
      <w:r w:rsidR="005949C0">
        <w:rPr>
          <w:rFonts w:asciiTheme="majorHAnsi" w:hAnsiTheme="majorHAnsi" w:cstheme="majorHAnsi"/>
          <w:szCs w:val="22"/>
        </w:rPr>
        <w:t>tor</w:t>
      </w:r>
      <w:r w:rsidR="006E0959" w:rsidRPr="00B24A80">
        <w:rPr>
          <w:rFonts w:asciiTheme="majorHAnsi" w:hAnsiTheme="majorHAnsi" w:cstheme="majorHAnsi"/>
          <w:szCs w:val="22"/>
        </w:rPr>
        <w:t xml:space="preserve"> de Gestión Planificación y Ordenamiento Territorial </w:t>
      </w:r>
      <w:r w:rsidRPr="00B24A80">
        <w:rPr>
          <w:rFonts w:asciiTheme="majorHAnsi" w:hAnsiTheme="majorHAnsi" w:cstheme="majorHAnsi"/>
          <w:szCs w:val="22"/>
        </w:rPr>
        <w:t xml:space="preserve">o su delegado para la declaratoria de propiedad </w:t>
      </w:r>
      <w:r w:rsidRPr="00B24A80">
        <w:rPr>
          <w:rFonts w:asciiTheme="majorHAnsi" w:hAnsiTheme="majorHAnsi" w:cstheme="majorHAnsi"/>
          <w:szCs w:val="22"/>
        </w:rPr>
        <w:lastRenderedPageBreak/>
        <w:t>horizontal, deberá revisar que la documentación cumpla con lo establecido en la Ley de Propiedad Horizontal</w:t>
      </w:r>
      <w:r w:rsidR="000F4EC0" w:rsidRPr="00B24A80">
        <w:rPr>
          <w:rFonts w:asciiTheme="majorHAnsi" w:hAnsiTheme="majorHAnsi" w:cstheme="majorHAnsi"/>
          <w:szCs w:val="22"/>
        </w:rPr>
        <w:t>.</w:t>
      </w:r>
    </w:p>
    <w:p w14:paraId="1FB55E47" w14:textId="79158D7A" w:rsidR="00CF7A24" w:rsidRPr="00B24A80" w:rsidRDefault="00EB5C24" w:rsidP="008A7C8C">
      <w:pPr>
        <w:pStyle w:val="Ttulo4"/>
        <w:rPr>
          <w:rFonts w:cstheme="majorHAnsi"/>
          <w:sz w:val="22"/>
          <w:szCs w:val="22"/>
        </w:rPr>
      </w:pPr>
      <w:bookmarkStart w:id="246" w:name="_heading=h.1pgrrkc" w:colFirst="0" w:colLast="0"/>
      <w:bookmarkStart w:id="247" w:name="_heading=h.1h65qms" w:colFirst="0" w:colLast="0"/>
      <w:bookmarkStart w:id="248" w:name="_Toc81085666"/>
      <w:bookmarkStart w:id="249" w:name="_Toc181374106"/>
      <w:bookmarkEnd w:id="246"/>
      <w:bookmarkEnd w:id="247"/>
      <w:r w:rsidRPr="00B24A80">
        <w:rPr>
          <w:rFonts w:cstheme="majorHAnsi"/>
          <w:sz w:val="22"/>
          <w:szCs w:val="22"/>
        </w:rPr>
        <w:t>SECCIÓN</w:t>
      </w:r>
      <w:r w:rsidR="002A28BC" w:rsidRPr="00B24A80">
        <w:rPr>
          <w:rFonts w:cstheme="majorHAnsi"/>
          <w:sz w:val="22"/>
          <w:szCs w:val="22"/>
        </w:rPr>
        <w:t xml:space="preserve"> II</w:t>
      </w:r>
      <w:bookmarkStart w:id="250" w:name="_heading=h.415t9al" w:colFirst="0" w:colLast="0"/>
      <w:bookmarkEnd w:id="250"/>
      <w:r w:rsidR="008A7C8C" w:rsidRPr="00B24A80">
        <w:rPr>
          <w:rFonts w:cstheme="majorHAnsi"/>
          <w:sz w:val="22"/>
          <w:szCs w:val="22"/>
        </w:rPr>
        <w:br/>
      </w:r>
      <w:r w:rsidR="00CF7A24" w:rsidRPr="00B24A80">
        <w:rPr>
          <w:rFonts w:cstheme="majorHAnsi"/>
          <w:sz w:val="22"/>
          <w:szCs w:val="22"/>
        </w:rPr>
        <w:t>Implantación de proyectos sujetos al régimen de propiedad horizontal</w:t>
      </w:r>
      <w:bookmarkEnd w:id="248"/>
      <w:bookmarkEnd w:id="249"/>
    </w:p>
    <w:p w14:paraId="0BEE7A46" w14:textId="394DE9C1" w:rsidR="00CF7A24" w:rsidRPr="00B24A80" w:rsidRDefault="00CF7A2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Bienes comunes: </w:t>
      </w:r>
      <w:r w:rsidRPr="00B24A80">
        <w:rPr>
          <w:rFonts w:asciiTheme="majorHAnsi" w:eastAsia="Calibri" w:hAnsiTheme="majorHAnsi" w:cstheme="majorHAnsi"/>
          <w:color w:val="000000"/>
          <w:szCs w:val="22"/>
        </w:rPr>
        <w:t>Los proyectos aprobados bajo el régimen de propiedad horizontal obligatoriamente deberán aportar con el porcentaje que establece el polígono de intervención territorial respectivo, para ser destinados a áreas verdes, estas áreas constituyen copropiedad y manejo común.</w:t>
      </w:r>
    </w:p>
    <w:p w14:paraId="56D596E9" w14:textId="33D73B89" w:rsidR="00CF7A24" w:rsidRPr="00B24A80" w:rsidRDefault="00CF7A24" w:rsidP="00CF7A24">
      <w:pPr>
        <w:pBdr>
          <w:top w:val="nil"/>
          <w:left w:val="nil"/>
          <w:bottom w:val="nil"/>
          <w:right w:val="nil"/>
          <w:between w:val="nil"/>
        </w:pBdr>
        <w:spacing w:before="240" w:after="140" w:line="276" w:lineRule="auto"/>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t xml:space="preserve">Los proyectos sometidos al régimen de propiedad horizontal en </w:t>
      </w:r>
      <w:r w:rsidR="0032059C" w:rsidRPr="00B24A80">
        <w:rPr>
          <w:rFonts w:asciiTheme="majorHAnsi" w:eastAsia="Calibri" w:hAnsiTheme="majorHAnsi" w:cstheme="majorHAnsi"/>
          <w:color w:val="000000"/>
          <w:sz w:val="22"/>
          <w:szCs w:val="22"/>
        </w:rPr>
        <w:t>altura</w:t>
      </w:r>
      <w:r w:rsidRPr="00B24A80">
        <w:rPr>
          <w:rFonts w:asciiTheme="majorHAnsi" w:eastAsia="Calibri" w:hAnsiTheme="majorHAnsi" w:cstheme="majorHAnsi"/>
          <w:color w:val="000000"/>
          <w:sz w:val="22"/>
          <w:szCs w:val="22"/>
        </w:rPr>
        <w:t xml:space="preserve"> deberán dejar por lo menos el 15 % de área construida para ser destinadas a áreas comunes y en copropiedad, que podrán ser ubicados en planta baja o en altura, en estas áreas se podrán construir equipamientos, salas comunes y cualquier tipo de equipamiento de uso y acceso comunal.</w:t>
      </w:r>
    </w:p>
    <w:p w14:paraId="5B0B4D6C" w14:textId="7E0B3E58" w:rsidR="00CF7A24" w:rsidRPr="00B24A80" w:rsidRDefault="00CF7A2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Condiciones mínimas sobre el régimen de propiedad horizontal: </w:t>
      </w:r>
      <w:r w:rsidRPr="00B24A80">
        <w:rPr>
          <w:rFonts w:asciiTheme="majorHAnsi" w:eastAsia="Calibri" w:hAnsiTheme="majorHAnsi" w:cstheme="majorHAnsi"/>
          <w:color w:val="000000"/>
          <w:szCs w:val="22"/>
        </w:rPr>
        <w:t>Se deberán observar las siguientes condiciones sobre los proyectos sometidos el régimen de propiedad horizontal.</w:t>
      </w:r>
    </w:p>
    <w:p w14:paraId="5BA60DD6" w14:textId="77777777" w:rsidR="00CF7A24" w:rsidRPr="00B24A80" w:rsidRDefault="00CF7A24" w:rsidP="00CA24CF">
      <w:pPr>
        <w:numPr>
          <w:ilvl w:val="0"/>
          <w:numId w:val="75"/>
        </w:numPr>
        <w:pBdr>
          <w:top w:val="nil"/>
          <w:left w:val="nil"/>
          <w:bottom w:val="nil"/>
          <w:right w:val="nil"/>
          <w:between w:val="nil"/>
        </w:pBdr>
        <w:tabs>
          <w:tab w:val="left" w:pos="306"/>
        </w:tabs>
        <w:spacing w:before="240" w:line="276" w:lineRule="auto"/>
        <w:rPr>
          <w:rFonts w:asciiTheme="majorHAnsi" w:eastAsia="Calibri" w:hAnsiTheme="majorHAnsi" w:cstheme="majorHAnsi"/>
          <w:color w:val="000000"/>
          <w:sz w:val="22"/>
          <w:szCs w:val="22"/>
        </w:rPr>
      </w:pPr>
      <w:bookmarkStart w:id="251" w:name="bookmark=id.2gb3jie" w:colFirst="0" w:colLast="0"/>
      <w:bookmarkEnd w:id="251"/>
      <w:r w:rsidRPr="00B24A80">
        <w:rPr>
          <w:rFonts w:asciiTheme="majorHAnsi" w:eastAsia="Calibri" w:hAnsiTheme="majorHAnsi" w:cstheme="majorHAnsi"/>
          <w:b/>
          <w:color w:val="000000"/>
          <w:sz w:val="22"/>
          <w:szCs w:val="22"/>
        </w:rPr>
        <w:t>Secciones viales:</w:t>
      </w:r>
      <w:r w:rsidRPr="00B24A80">
        <w:rPr>
          <w:rFonts w:asciiTheme="majorHAnsi" w:eastAsia="Calibri" w:hAnsiTheme="majorHAnsi" w:cstheme="majorHAnsi"/>
          <w:color w:val="000000"/>
          <w:sz w:val="22"/>
          <w:szCs w:val="22"/>
        </w:rPr>
        <w:t xml:space="preserve"> Se prohíbe la implantación, desarrollo, aprobación, construcción de condominios en predios frente a caminos vecinales.</w:t>
      </w:r>
    </w:p>
    <w:p w14:paraId="0C6DB046" w14:textId="77777777" w:rsidR="00CF7A24" w:rsidRPr="00B24A80" w:rsidRDefault="00CF7A24" w:rsidP="00CA24CF">
      <w:pPr>
        <w:pStyle w:val="Prrafodelista"/>
        <w:numPr>
          <w:ilvl w:val="1"/>
          <w:numId w:val="76"/>
        </w:numPr>
        <w:pBdr>
          <w:top w:val="nil"/>
          <w:left w:val="nil"/>
          <w:bottom w:val="nil"/>
          <w:right w:val="nil"/>
          <w:between w:val="nil"/>
        </w:pBdr>
        <w:spacing w:before="240" w:after="280" w:line="276" w:lineRule="auto"/>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Únicamente se podrán localizar proyectos de propiedad horizontal en predios frente a vías planificadas y aperturadas.</w:t>
      </w:r>
    </w:p>
    <w:p w14:paraId="671025A0" w14:textId="77777777" w:rsidR="00CF7A24" w:rsidRPr="00B24A80" w:rsidRDefault="00CF7A24" w:rsidP="00CA24CF">
      <w:pPr>
        <w:pStyle w:val="Prrafodelista"/>
        <w:numPr>
          <w:ilvl w:val="1"/>
          <w:numId w:val="76"/>
        </w:numPr>
        <w:pBdr>
          <w:top w:val="nil"/>
          <w:left w:val="nil"/>
          <w:bottom w:val="nil"/>
          <w:right w:val="nil"/>
          <w:between w:val="nil"/>
        </w:pBdr>
        <w:spacing w:before="240" w:line="276" w:lineRule="auto"/>
        <w:rPr>
          <w:rFonts w:asciiTheme="majorHAnsi" w:eastAsia="Calibri" w:hAnsiTheme="majorHAnsi" w:cstheme="majorHAnsi"/>
          <w:color w:val="25282C"/>
          <w:szCs w:val="22"/>
        </w:rPr>
      </w:pPr>
      <w:r w:rsidRPr="00B24A80">
        <w:rPr>
          <w:rFonts w:asciiTheme="majorHAnsi" w:eastAsia="Calibri" w:hAnsiTheme="majorHAnsi" w:cstheme="majorHAnsi"/>
          <w:color w:val="000000"/>
          <w:szCs w:val="22"/>
        </w:rPr>
        <w:t>Características de las secciones viales:</w:t>
      </w:r>
    </w:p>
    <w:p w14:paraId="71804DCE" w14:textId="549ABA8D" w:rsidR="00CF7A24" w:rsidRPr="00B24A80" w:rsidRDefault="00CF7A24" w:rsidP="00CA24CF">
      <w:pPr>
        <w:pStyle w:val="Prrafodelista"/>
        <w:numPr>
          <w:ilvl w:val="1"/>
          <w:numId w:val="76"/>
        </w:numPr>
        <w:pBdr>
          <w:top w:val="nil"/>
          <w:left w:val="nil"/>
          <w:bottom w:val="nil"/>
          <w:right w:val="nil"/>
          <w:between w:val="nil"/>
        </w:pBdr>
        <w:spacing w:before="240" w:line="276" w:lineRule="auto"/>
        <w:rPr>
          <w:rFonts w:asciiTheme="majorHAnsi" w:eastAsia="Calibri" w:hAnsiTheme="majorHAnsi" w:cstheme="majorHAnsi"/>
          <w:color w:val="25282C"/>
          <w:szCs w:val="22"/>
        </w:rPr>
      </w:pPr>
      <w:r w:rsidRPr="00B24A80">
        <w:rPr>
          <w:rFonts w:asciiTheme="majorHAnsi" w:eastAsia="Calibri" w:hAnsiTheme="majorHAnsi" w:cstheme="majorHAnsi"/>
          <w:color w:val="000000"/>
          <w:szCs w:val="22"/>
        </w:rPr>
        <w:t>Los accesos comunales peatonales, deberán tener una sección mínima de 3.00 m.</w:t>
      </w:r>
    </w:p>
    <w:p w14:paraId="6235BA24" w14:textId="44AE154E" w:rsidR="00CF7A24" w:rsidRPr="00B24A80" w:rsidRDefault="00CF7A24" w:rsidP="00CA24CF">
      <w:pPr>
        <w:pStyle w:val="Prrafodelista"/>
        <w:numPr>
          <w:ilvl w:val="1"/>
          <w:numId w:val="76"/>
        </w:numPr>
        <w:pBdr>
          <w:top w:val="nil"/>
          <w:left w:val="nil"/>
          <w:bottom w:val="nil"/>
          <w:right w:val="nil"/>
          <w:between w:val="nil"/>
        </w:pBdr>
        <w:spacing w:before="240" w:after="240" w:line="276" w:lineRule="auto"/>
        <w:rPr>
          <w:rFonts w:asciiTheme="majorHAnsi" w:eastAsia="Calibri" w:hAnsiTheme="majorHAnsi" w:cstheme="majorHAnsi"/>
          <w:color w:val="25282C"/>
          <w:szCs w:val="22"/>
        </w:rPr>
      </w:pPr>
      <w:r w:rsidRPr="00B24A80">
        <w:rPr>
          <w:rFonts w:asciiTheme="majorHAnsi" w:eastAsia="Calibri" w:hAnsiTheme="majorHAnsi" w:cstheme="majorHAnsi"/>
          <w:color w:val="000000"/>
          <w:szCs w:val="22"/>
        </w:rPr>
        <w:t>Los accesos comunales carrózales, deberán tener una sección mínima de 12.00 m.</w:t>
      </w:r>
    </w:p>
    <w:p w14:paraId="4232DCE8" w14:textId="77777777" w:rsidR="00CF7A24" w:rsidRPr="00B24A80" w:rsidRDefault="00CF7A24" w:rsidP="00CA24CF">
      <w:pPr>
        <w:keepNext/>
        <w:keepLines/>
        <w:numPr>
          <w:ilvl w:val="0"/>
          <w:numId w:val="75"/>
        </w:numPr>
        <w:pBdr>
          <w:top w:val="nil"/>
          <w:left w:val="nil"/>
          <w:bottom w:val="nil"/>
          <w:right w:val="nil"/>
          <w:between w:val="nil"/>
        </w:pBdr>
        <w:tabs>
          <w:tab w:val="left" w:pos="306"/>
        </w:tabs>
        <w:spacing w:before="240" w:after="260" w:line="276" w:lineRule="auto"/>
        <w:rPr>
          <w:rFonts w:asciiTheme="majorHAnsi" w:eastAsia="Calibri" w:hAnsiTheme="majorHAnsi" w:cstheme="majorHAnsi"/>
          <w:color w:val="000000"/>
          <w:sz w:val="22"/>
          <w:szCs w:val="22"/>
        </w:rPr>
      </w:pPr>
      <w:bookmarkStart w:id="252" w:name="bookmark=id.1ulbmlt" w:colFirst="0" w:colLast="0"/>
      <w:bookmarkStart w:id="253" w:name="bookmark=id.vgdtq7" w:colFirst="0" w:colLast="0"/>
      <w:bookmarkStart w:id="254" w:name="bookmark=id.4ekz59m" w:colFirst="0" w:colLast="0"/>
      <w:bookmarkStart w:id="255" w:name="bookmark=id.3fg1ce0" w:colFirst="0" w:colLast="0"/>
      <w:bookmarkEnd w:id="252"/>
      <w:bookmarkEnd w:id="253"/>
      <w:bookmarkEnd w:id="254"/>
      <w:bookmarkEnd w:id="255"/>
      <w:r w:rsidRPr="00B24A80">
        <w:rPr>
          <w:rFonts w:asciiTheme="majorHAnsi" w:eastAsia="Calibri" w:hAnsiTheme="majorHAnsi" w:cstheme="majorHAnsi"/>
          <w:b/>
          <w:color w:val="000000"/>
          <w:sz w:val="22"/>
          <w:szCs w:val="22"/>
        </w:rPr>
        <w:t>Tamaño mínimo de la unidad de edificación:</w:t>
      </w:r>
      <w:r w:rsidRPr="00B24A80">
        <w:rPr>
          <w:rFonts w:asciiTheme="majorHAnsi" w:eastAsia="Calibri" w:hAnsiTheme="majorHAnsi" w:cstheme="majorHAnsi"/>
          <w:color w:val="000000"/>
          <w:sz w:val="22"/>
          <w:szCs w:val="22"/>
        </w:rPr>
        <w:t xml:space="preserve"> No podrá ser inferior a:</w:t>
      </w:r>
    </w:p>
    <w:p w14:paraId="3451845A" w14:textId="3C830E9E" w:rsidR="00CF7A24" w:rsidRPr="00B24A80" w:rsidRDefault="00AD58BA" w:rsidP="00CA24CF">
      <w:pPr>
        <w:pStyle w:val="Prrafodelista"/>
        <w:numPr>
          <w:ilvl w:val="1"/>
          <w:numId w:val="77"/>
        </w:numPr>
        <w:pBdr>
          <w:top w:val="nil"/>
          <w:left w:val="nil"/>
          <w:bottom w:val="nil"/>
          <w:right w:val="nil"/>
          <w:between w:val="nil"/>
        </w:pBdr>
        <w:tabs>
          <w:tab w:val="left" w:pos="334"/>
        </w:tabs>
        <w:spacing w:before="240" w:line="276" w:lineRule="auto"/>
        <w:rPr>
          <w:rFonts w:asciiTheme="majorHAnsi" w:eastAsia="Calibri" w:hAnsiTheme="majorHAnsi" w:cstheme="majorHAnsi"/>
          <w:color w:val="25282C"/>
          <w:szCs w:val="22"/>
        </w:rPr>
      </w:pPr>
      <w:bookmarkStart w:id="256" w:name="bookmark=id.2tq9fhf" w:colFirst="0" w:colLast="0"/>
      <w:bookmarkEnd w:id="256"/>
      <w:r>
        <w:rPr>
          <w:rFonts w:asciiTheme="majorHAnsi" w:eastAsia="Calibri" w:hAnsiTheme="majorHAnsi" w:cstheme="majorHAnsi"/>
          <w:color w:val="000000"/>
          <w:szCs w:val="22"/>
        </w:rPr>
        <w:t>60</w:t>
      </w:r>
      <w:r w:rsidR="00CF7A24" w:rsidRPr="00B24A80">
        <w:rPr>
          <w:rFonts w:asciiTheme="majorHAnsi" w:eastAsia="Calibri" w:hAnsiTheme="majorHAnsi" w:cstheme="majorHAnsi"/>
          <w:color w:val="000000"/>
          <w:szCs w:val="22"/>
        </w:rPr>
        <w:t xml:space="preserve"> m</w:t>
      </w:r>
      <w:r w:rsidR="00CF7A24" w:rsidRPr="00B24A80">
        <w:rPr>
          <w:rFonts w:asciiTheme="majorHAnsi" w:eastAsia="Calibri" w:hAnsiTheme="majorHAnsi" w:cstheme="majorHAnsi"/>
          <w:color w:val="000000"/>
          <w:szCs w:val="22"/>
          <w:vertAlign w:val="superscript"/>
        </w:rPr>
        <w:t>2</w:t>
      </w:r>
      <w:r w:rsidR="00CF7A24" w:rsidRPr="00B24A80">
        <w:rPr>
          <w:rFonts w:asciiTheme="majorHAnsi" w:eastAsia="Calibri" w:hAnsiTheme="majorHAnsi" w:cstheme="majorHAnsi"/>
          <w:color w:val="000000"/>
          <w:szCs w:val="22"/>
        </w:rPr>
        <w:t xml:space="preserve"> de construcción total por unidad de vivienda en conjuntos residenciales.</w:t>
      </w:r>
    </w:p>
    <w:p w14:paraId="364F42E4" w14:textId="11BED4B9" w:rsidR="00CF7A24" w:rsidRPr="00B24A80" w:rsidRDefault="00CF7A24" w:rsidP="00CA24CF">
      <w:pPr>
        <w:pStyle w:val="Prrafodelista"/>
        <w:numPr>
          <w:ilvl w:val="1"/>
          <w:numId w:val="77"/>
        </w:numPr>
        <w:pBdr>
          <w:top w:val="nil"/>
          <w:left w:val="nil"/>
          <w:bottom w:val="nil"/>
          <w:right w:val="nil"/>
          <w:between w:val="nil"/>
        </w:pBdr>
        <w:tabs>
          <w:tab w:val="left" w:pos="334"/>
        </w:tabs>
        <w:spacing w:before="240" w:line="276" w:lineRule="auto"/>
        <w:rPr>
          <w:rFonts w:asciiTheme="majorHAnsi" w:eastAsia="Calibri" w:hAnsiTheme="majorHAnsi" w:cstheme="majorHAnsi"/>
          <w:color w:val="25282C"/>
          <w:szCs w:val="22"/>
        </w:rPr>
      </w:pPr>
      <w:bookmarkStart w:id="257" w:name="bookmark=id.18vjpp8" w:colFirst="0" w:colLast="0"/>
      <w:bookmarkEnd w:id="257"/>
      <w:r w:rsidRPr="00B24A80">
        <w:rPr>
          <w:rFonts w:asciiTheme="majorHAnsi" w:eastAsia="Calibri" w:hAnsiTheme="majorHAnsi" w:cstheme="majorHAnsi"/>
          <w:color w:val="000000"/>
          <w:szCs w:val="22"/>
        </w:rPr>
        <w:t>60 m</w:t>
      </w:r>
      <w:r w:rsidRPr="00B24A80">
        <w:rPr>
          <w:rFonts w:asciiTheme="majorHAnsi" w:eastAsia="Calibri" w:hAnsiTheme="majorHAnsi" w:cstheme="majorHAnsi"/>
          <w:color w:val="000000"/>
          <w:szCs w:val="22"/>
          <w:vertAlign w:val="superscript"/>
        </w:rPr>
        <w:t>2</w:t>
      </w:r>
      <w:r w:rsidRPr="00B24A80">
        <w:rPr>
          <w:rFonts w:asciiTheme="majorHAnsi" w:eastAsia="Calibri" w:hAnsiTheme="majorHAnsi" w:cstheme="majorHAnsi"/>
          <w:color w:val="000000"/>
          <w:szCs w:val="22"/>
        </w:rPr>
        <w:t xml:space="preserve"> de construcción total por unidad en un edificio.</w:t>
      </w:r>
    </w:p>
    <w:p w14:paraId="19C608A3" w14:textId="57CD1F3E" w:rsidR="00CF7A24" w:rsidRPr="00B24A80" w:rsidRDefault="00CF7A24" w:rsidP="00CA24CF">
      <w:pPr>
        <w:pStyle w:val="Prrafodelista"/>
        <w:numPr>
          <w:ilvl w:val="1"/>
          <w:numId w:val="77"/>
        </w:numPr>
        <w:pBdr>
          <w:top w:val="nil"/>
          <w:left w:val="nil"/>
          <w:bottom w:val="nil"/>
          <w:right w:val="nil"/>
          <w:between w:val="nil"/>
        </w:pBdr>
        <w:tabs>
          <w:tab w:val="left" w:pos="334"/>
        </w:tabs>
        <w:spacing w:before="240" w:line="276" w:lineRule="auto"/>
        <w:rPr>
          <w:rFonts w:asciiTheme="majorHAnsi" w:eastAsia="Calibri" w:hAnsiTheme="majorHAnsi" w:cstheme="majorHAnsi"/>
          <w:color w:val="25282C"/>
          <w:szCs w:val="22"/>
        </w:rPr>
      </w:pPr>
      <w:bookmarkStart w:id="258" w:name="bookmark=id.3sv78d1" w:colFirst="0" w:colLast="0"/>
      <w:bookmarkEnd w:id="258"/>
      <w:r w:rsidRPr="00B24A80">
        <w:rPr>
          <w:rFonts w:asciiTheme="majorHAnsi" w:eastAsia="Calibri" w:hAnsiTheme="majorHAnsi" w:cstheme="majorHAnsi"/>
          <w:color w:val="000000"/>
          <w:szCs w:val="22"/>
        </w:rPr>
        <w:t>Se podrá declarar bajo el régimen de propiedad horizontal en edificios unidades habitacionales de menor área a las descritas anteriormente, cuando sean diseñadas para suites, es decir que contengan una sola habitación, con su respectiva área social y de servicio.</w:t>
      </w:r>
    </w:p>
    <w:p w14:paraId="5D460697" w14:textId="77777777" w:rsidR="00CF7A24" w:rsidRPr="00B24A80" w:rsidRDefault="00CF7A24" w:rsidP="00CA24CF">
      <w:pPr>
        <w:numPr>
          <w:ilvl w:val="0"/>
          <w:numId w:val="75"/>
        </w:numPr>
        <w:pBdr>
          <w:top w:val="nil"/>
          <w:left w:val="nil"/>
          <w:bottom w:val="nil"/>
          <w:right w:val="nil"/>
          <w:between w:val="nil"/>
        </w:pBdr>
        <w:tabs>
          <w:tab w:val="left" w:pos="315"/>
        </w:tabs>
        <w:spacing w:before="240" w:after="260" w:line="276" w:lineRule="auto"/>
        <w:rPr>
          <w:rFonts w:asciiTheme="majorHAnsi" w:eastAsia="Calibri" w:hAnsiTheme="majorHAnsi" w:cstheme="majorHAnsi"/>
          <w:color w:val="25282C"/>
          <w:sz w:val="22"/>
          <w:szCs w:val="22"/>
        </w:rPr>
      </w:pPr>
      <w:bookmarkStart w:id="259" w:name="bookmark=id.280hiku" w:colFirst="0" w:colLast="0"/>
      <w:bookmarkEnd w:id="259"/>
      <w:r w:rsidRPr="00B24A80">
        <w:rPr>
          <w:rFonts w:asciiTheme="majorHAnsi" w:eastAsia="Calibri" w:hAnsiTheme="majorHAnsi" w:cstheme="majorHAnsi"/>
          <w:b/>
          <w:color w:val="000000"/>
          <w:sz w:val="22"/>
          <w:szCs w:val="22"/>
        </w:rPr>
        <w:t xml:space="preserve">Retiros: </w:t>
      </w:r>
      <w:r w:rsidRPr="00B24A80">
        <w:rPr>
          <w:rFonts w:asciiTheme="majorHAnsi" w:eastAsia="Calibri" w:hAnsiTheme="majorHAnsi" w:cstheme="majorHAnsi"/>
          <w:color w:val="000000"/>
          <w:sz w:val="22"/>
          <w:szCs w:val="22"/>
        </w:rPr>
        <w:t>Deberán aplicarse los estipulados por el polígono de intervención territorial de acuerdo con el tipo de implantación que se defina para el proyecto.</w:t>
      </w:r>
    </w:p>
    <w:p w14:paraId="6277C398" w14:textId="56FB3AEC" w:rsidR="00CF7A24" w:rsidRPr="00B24A80" w:rsidRDefault="00CF7A24" w:rsidP="00CA24CF">
      <w:pPr>
        <w:numPr>
          <w:ilvl w:val="0"/>
          <w:numId w:val="75"/>
        </w:numPr>
        <w:pBdr>
          <w:top w:val="nil"/>
          <w:left w:val="nil"/>
          <w:bottom w:val="nil"/>
          <w:right w:val="nil"/>
          <w:between w:val="nil"/>
        </w:pBdr>
        <w:tabs>
          <w:tab w:val="left" w:pos="315"/>
        </w:tabs>
        <w:spacing w:before="240" w:after="260" w:line="276" w:lineRule="auto"/>
        <w:rPr>
          <w:rFonts w:asciiTheme="majorHAnsi" w:eastAsia="Calibri" w:hAnsiTheme="majorHAnsi" w:cstheme="majorHAnsi"/>
          <w:color w:val="25282C"/>
          <w:sz w:val="22"/>
          <w:szCs w:val="22"/>
        </w:rPr>
      </w:pPr>
      <w:bookmarkStart w:id="260" w:name="bookmark=id.n5rssn" w:colFirst="0" w:colLast="0"/>
      <w:bookmarkEnd w:id="260"/>
      <w:r w:rsidRPr="00B24A80">
        <w:rPr>
          <w:rFonts w:asciiTheme="majorHAnsi" w:eastAsia="Calibri" w:hAnsiTheme="majorHAnsi" w:cstheme="majorHAnsi"/>
          <w:b/>
          <w:color w:val="000000"/>
          <w:sz w:val="22"/>
          <w:szCs w:val="22"/>
        </w:rPr>
        <w:t xml:space="preserve">Coeficiente de ocupación del suelo: </w:t>
      </w:r>
      <w:r w:rsidRPr="00B24A80">
        <w:rPr>
          <w:rFonts w:asciiTheme="majorHAnsi" w:eastAsia="Calibri" w:hAnsiTheme="majorHAnsi" w:cstheme="majorHAnsi"/>
          <w:color w:val="000000"/>
          <w:sz w:val="22"/>
          <w:szCs w:val="22"/>
        </w:rPr>
        <w:t>En n</w:t>
      </w:r>
      <w:r w:rsidR="004732FF" w:rsidRPr="00B24A80">
        <w:rPr>
          <w:rFonts w:asciiTheme="majorHAnsi" w:eastAsia="Calibri" w:hAnsiTheme="majorHAnsi" w:cstheme="majorHAnsi"/>
          <w:color w:val="000000"/>
          <w:sz w:val="22"/>
          <w:szCs w:val="22"/>
        </w:rPr>
        <w:t>ingún caso podrá ser superior</w:t>
      </w:r>
      <w:r w:rsidR="007175BD">
        <w:rPr>
          <w:rFonts w:asciiTheme="majorHAnsi" w:eastAsia="Calibri" w:hAnsiTheme="majorHAnsi" w:cstheme="majorHAnsi"/>
          <w:color w:val="000000"/>
          <w:sz w:val="22"/>
          <w:szCs w:val="22"/>
        </w:rPr>
        <w:t xml:space="preserve"> a lo establecido en esta Ordenanza para cada sector del Cantón.</w:t>
      </w:r>
    </w:p>
    <w:p w14:paraId="3020FE99" w14:textId="07624DDB" w:rsidR="00632545" w:rsidRPr="00B24A80" w:rsidRDefault="000A7BFD" w:rsidP="00CA24CF">
      <w:pPr>
        <w:numPr>
          <w:ilvl w:val="0"/>
          <w:numId w:val="75"/>
        </w:numPr>
        <w:pBdr>
          <w:top w:val="nil"/>
          <w:left w:val="nil"/>
          <w:bottom w:val="nil"/>
          <w:right w:val="nil"/>
          <w:between w:val="nil"/>
        </w:pBdr>
        <w:tabs>
          <w:tab w:val="left" w:pos="315"/>
        </w:tabs>
        <w:spacing w:before="240" w:after="240" w:line="276" w:lineRule="auto"/>
        <w:rPr>
          <w:rFonts w:asciiTheme="majorHAnsi" w:eastAsia="Calibri" w:hAnsiTheme="majorHAnsi" w:cstheme="majorHAnsi"/>
          <w:color w:val="25282C"/>
          <w:sz w:val="22"/>
          <w:szCs w:val="22"/>
        </w:rPr>
      </w:pPr>
      <w:bookmarkStart w:id="261" w:name="bookmark=id.375fbgg" w:colFirst="0" w:colLast="0"/>
      <w:bookmarkStart w:id="262" w:name="_heading=h.1maplo9" w:colFirst="0" w:colLast="0"/>
      <w:bookmarkEnd w:id="261"/>
      <w:bookmarkEnd w:id="262"/>
      <w:r>
        <w:rPr>
          <w:rFonts w:asciiTheme="majorHAnsi" w:eastAsia="Calibri" w:hAnsiTheme="majorHAnsi" w:cstheme="majorHAnsi"/>
          <w:b/>
          <w:color w:val="000000"/>
          <w:sz w:val="22"/>
          <w:szCs w:val="22"/>
        </w:rPr>
        <w:t>Forma de ocupación</w:t>
      </w:r>
      <w:r w:rsidR="00CF7A24" w:rsidRPr="00B24A80">
        <w:rPr>
          <w:rFonts w:asciiTheme="majorHAnsi" w:eastAsia="Calibri" w:hAnsiTheme="majorHAnsi" w:cstheme="majorHAnsi"/>
          <w:b/>
          <w:color w:val="000000"/>
          <w:sz w:val="22"/>
          <w:szCs w:val="22"/>
        </w:rPr>
        <w:t>:</w:t>
      </w:r>
      <w:r w:rsidR="00CF7A24" w:rsidRPr="00B24A80">
        <w:rPr>
          <w:rFonts w:asciiTheme="majorHAnsi" w:eastAsia="Calibri" w:hAnsiTheme="majorHAnsi" w:cstheme="majorHAnsi"/>
          <w:color w:val="000000"/>
          <w:sz w:val="22"/>
          <w:szCs w:val="22"/>
        </w:rPr>
        <w:t xml:space="preserve"> Las definidas por el PIT de acuerdo con el tipo de implantación </w:t>
      </w:r>
      <w:r w:rsidR="00CF7A24" w:rsidRPr="00B24A80">
        <w:rPr>
          <w:rFonts w:asciiTheme="majorHAnsi" w:eastAsia="Calibri" w:hAnsiTheme="majorHAnsi" w:cstheme="majorHAnsi"/>
          <w:color w:val="000000"/>
          <w:sz w:val="22"/>
          <w:szCs w:val="22"/>
        </w:rPr>
        <w:lastRenderedPageBreak/>
        <w:t>que se defina para el proyecto.</w:t>
      </w:r>
    </w:p>
    <w:p w14:paraId="4A5AAFA9" w14:textId="6F3A319A" w:rsidR="00DC27E8" w:rsidRPr="00B24A80" w:rsidRDefault="00EB5C24" w:rsidP="008A7C8C">
      <w:pPr>
        <w:pStyle w:val="Ttulo3"/>
        <w:rPr>
          <w:rFonts w:cstheme="majorHAnsi"/>
          <w:sz w:val="22"/>
          <w:szCs w:val="22"/>
        </w:rPr>
      </w:pPr>
      <w:bookmarkStart w:id="263" w:name="_heading=h.40ew0vw" w:colFirst="0" w:colLast="0"/>
      <w:bookmarkStart w:id="264" w:name="_heading=h.3ep43zb" w:colFirst="0" w:colLast="0"/>
      <w:bookmarkStart w:id="265" w:name="_Toc65711705"/>
      <w:bookmarkStart w:id="266" w:name="_Toc81085667"/>
      <w:bookmarkStart w:id="267" w:name="_Toc181374107"/>
      <w:bookmarkEnd w:id="263"/>
      <w:bookmarkEnd w:id="264"/>
      <w:r w:rsidRPr="00B24A80">
        <w:rPr>
          <w:rFonts w:cstheme="majorHAnsi"/>
          <w:sz w:val="22"/>
          <w:szCs w:val="22"/>
        </w:rPr>
        <w:t>CAPÍTULO</w:t>
      </w:r>
      <w:r w:rsidR="002A28BC" w:rsidRPr="00B24A80">
        <w:rPr>
          <w:rFonts w:cstheme="majorHAnsi"/>
          <w:sz w:val="22"/>
          <w:szCs w:val="22"/>
        </w:rPr>
        <w:t xml:space="preserve"> </w:t>
      </w:r>
      <w:bookmarkEnd w:id="265"/>
      <w:bookmarkEnd w:id="266"/>
      <w:r w:rsidR="00F373E4">
        <w:rPr>
          <w:rFonts w:cstheme="majorHAnsi"/>
          <w:sz w:val="22"/>
          <w:szCs w:val="22"/>
        </w:rPr>
        <w:t>VII</w:t>
      </w:r>
      <w:r w:rsidR="00F87698">
        <w:rPr>
          <w:rFonts w:cstheme="majorHAnsi"/>
          <w:sz w:val="22"/>
          <w:szCs w:val="22"/>
        </w:rPr>
        <w:t>I</w:t>
      </w:r>
      <w:bookmarkEnd w:id="267"/>
    </w:p>
    <w:p w14:paraId="35FA5CC2" w14:textId="77777777" w:rsidR="009B09E9" w:rsidRDefault="00EB5C24" w:rsidP="008A7C8C">
      <w:pPr>
        <w:pStyle w:val="Ttulo4"/>
        <w:rPr>
          <w:rFonts w:cstheme="majorHAnsi"/>
          <w:sz w:val="22"/>
          <w:szCs w:val="22"/>
        </w:rPr>
      </w:pPr>
      <w:bookmarkStart w:id="268" w:name="_Toc81085668"/>
      <w:bookmarkStart w:id="269" w:name="_Toc181374108"/>
      <w:r w:rsidRPr="00B24A80">
        <w:rPr>
          <w:rFonts w:cstheme="majorHAnsi"/>
          <w:sz w:val="22"/>
          <w:szCs w:val="22"/>
        </w:rPr>
        <w:t>SECCIÓN</w:t>
      </w:r>
      <w:r w:rsidR="002A28BC" w:rsidRPr="00B24A80">
        <w:rPr>
          <w:rFonts w:cstheme="majorHAnsi"/>
          <w:sz w:val="22"/>
          <w:szCs w:val="22"/>
        </w:rPr>
        <w:t xml:space="preserve"> I</w:t>
      </w:r>
      <w:bookmarkStart w:id="270" w:name="_heading=h.1tuee74" w:colFirst="0" w:colLast="0"/>
      <w:bookmarkEnd w:id="270"/>
      <w:r w:rsidR="008A7C8C" w:rsidRPr="00B24A80">
        <w:rPr>
          <w:rFonts w:cstheme="majorHAnsi"/>
          <w:sz w:val="22"/>
          <w:szCs w:val="22"/>
        </w:rPr>
        <w:br/>
      </w:r>
      <w:r w:rsidR="007F5505" w:rsidRPr="00B24A80">
        <w:rPr>
          <w:rFonts w:cstheme="majorHAnsi"/>
          <w:sz w:val="22"/>
          <w:szCs w:val="22"/>
        </w:rPr>
        <w:t>De la cabida mínima</w:t>
      </w:r>
      <w:r w:rsidR="002A28BC" w:rsidRPr="00B24A80">
        <w:rPr>
          <w:rFonts w:cstheme="majorHAnsi"/>
          <w:sz w:val="22"/>
          <w:szCs w:val="22"/>
        </w:rPr>
        <w:t xml:space="preserve"> de lotes</w:t>
      </w:r>
      <w:r w:rsidR="007F5505" w:rsidRPr="00B24A80">
        <w:rPr>
          <w:rFonts w:cstheme="majorHAnsi"/>
          <w:sz w:val="22"/>
          <w:szCs w:val="22"/>
        </w:rPr>
        <w:t xml:space="preserve"> y fajas de terreno</w:t>
      </w:r>
      <w:bookmarkEnd w:id="268"/>
      <w:bookmarkEnd w:id="269"/>
    </w:p>
    <w:p w14:paraId="5C2261A6" w14:textId="385949BA" w:rsidR="004A75A7"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Para efectos de enajenación, los terrenos sujetos a la jurisdicción del GAD Municipal de </w:t>
      </w:r>
      <w:r w:rsidR="00E30701" w:rsidRPr="00B24A80">
        <w:rPr>
          <w:rFonts w:asciiTheme="majorHAnsi" w:eastAsia="Arial" w:hAnsiTheme="majorHAnsi" w:cstheme="majorHAnsi"/>
          <w:color w:val="25282C"/>
          <w:szCs w:val="22"/>
        </w:rPr>
        <w:t>La Joya de los Sachas</w:t>
      </w:r>
      <w:r w:rsidR="000367E3"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considérense como lotes y como fajas particulares o municipales. </w:t>
      </w:r>
    </w:p>
    <w:p w14:paraId="3A0B8471" w14:textId="77777777" w:rsidR="004A75A7" w:rsidRPr="00B24A80" w:rsidRDefault="007F5505" w:rsidP="00CA24CF">
      <w:pPr>
        <w:pStyle w:val="Prrafodelista"/>
        <w:numPr>
          <w:ilvl w:val="0"/>
          <w:numId w:val="80"/>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Se entiende por lotes de terreno, aquellos cuya cabida permite levantar una construcción independientemente de las ya existentes, o de las construcciones que pueden levantarse en los terrenos vecinos.</w:t>
      </w:r>
    </w:p>
    <w:p w14:paraId="147E73A7" w14:textId="77777777" w:rsidR="00F6636F" w:rsidRPr="00B24A80" w:rsidRDefault="007F5505" w:rsidP="004A75A7">
      <w:pPr>
        <w:pStyle w:val="Prrafodelista"/>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El frente, en ningún caso será menor de seis metros, y el espacio libre para ser ocupado por la edificación, sin contar jardines y retiros obligatorios, será por lo menos de cincuenta metros cuadrados, aun cuando estos no se ocupen íntegramente.</w:t>
      </w:r>
    </w:p>
    <w:p w14:paraId="673D55AD" w14:textId="1DA12710" w:rsidR="004A75A7" w:rsidRPr="00B24A80" w:rsidRDefault="007F5505" w:rsidP="009B09E9">
      <w:p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 w:val="22"/>
          <w:szCs w:val="22"/>
        </w:rPr>
        <w:t xml:space="preserve">En ningún caso se permitirá la </w:t>
      </w:r>
      <w:r w:rsidR="002421CF">
        <w:rPr>
          <w:rFonts w:asciiTheme="majorHAnsi" w:eastAsia="Calibri" w:hAnsiTheme="majorHAnsi" w:cstheme="majorHAnsi"/>
          <w:color w:val="000000"/>
          <w:sz w:val="22"/>
          <w:szCs w:val="22"/>
        </w:rPr>
        <w:t>subdivisión</w:t>
      </w:r>
      <w:r w:rsidRPr="00B24A80">
        <w:rPr>
          <w:rFonts w:asciiTheme="majorHAnsi" w:eastAsia="Calibri" w:hAnsiTheme="majorHAnsi" w:cstheme="majorHAnsi"/>
          <w:color w:val="000000"/>
          <w:sz w:val="22"/>
          <w:szCs w:val="22"/>
        </w:rPr>
        <w:t xml:space="preserve"> de predios en lotes </w:t>
      </w:r>
      <w:r w:rsidR="00940ED4">
        <w:rPr>
          <w:rFonts w:asciiTheme="majorHAnsi" w:eastAsia="Calibri" w:hAnsiTheme="majorHAnsi" w:cstheme="majorHAnsi"/>
          <w:color w:val="000000"/>
          <w:sz w:val="22"/>
          <w:szCs w:val="22"/>
        </w:rPr>
        <w:t>cuyo</w:t>
      </w:r>
      <w:r w:rsidRPr="00B24A80">
        <w:rPr>
          <w:rFonts w:asciiTheme="majorHAnsi" w:eastAsia="Calibri" w:hAnsiTheme="majorHAnsi" w:cstheme="majorHAnsi"/>
          <w:color w:val="000000"/>
          <w:sz w:val="22"/>
          <w:szCs w:val="22"/>
        </w:rPr>
        <w:t xml:space="preserve"> frente</w:t>
      </w:r>
      <w:r w:rsidR="009B09E9">
        <w:rPr>
          <w:rFonts w:asciiTheme="majorHAnsi" w:eastAsia="Calibri" w:hAnsiTheme="majorHAnsi" w:cstheme="majorHAnsi"/>
          <w:color w:val="000000"/>
          <w:sz w:val="22"/>
          <w:szCs w:val="22"/>
        </w:rPr>
        <w:t xml:space="preserve"> y superficie sea menor </w:t>
      </w:r>
      <w:r w:rsidR="00940ED4">
        <w:rPr>
          <w:rFonts w:asciiTheme="majorHAnsi" w:eastAsia="Calibri" w:hAnsiTheme="majorHAnsi" w:cstheme="majorHAnsi"/>
          <w:color w:val="000000"/>
          <w:sz w:val="22"/>
          <w:szCs w:val="22"/>
        </w:rPr>
        <w:t xml:space="preserve">a lo establecido en esta Ordenanza </w:t>
      </w:r>
      <w:r w:rsidR="009B09E9">
        <w:rPr>
          <w:rFonts w:asciiTheme="majorHAnsi" w:eastAsia="Calibri" w:hAnsiTheme="majorHAnsi" w:cstheme="majorHAnsi"/>
          <w:color w:val="000000"/>
          <w:sz w:val="22"/>
          <w:szCs w:val="22"/>
        </w:rPr>
        <w:t>con las</w:t>
      </w:r>
      <w:r w:rsidR="00940ED4">
        <w:rPr>
          <w:rFonts w:asciiTheme="majorHAnsi" w:eastAsia="Calibri" w:hAnsiTheme="majorHAnsi" w:cstheme="majorHAnsi"/>
          <w:color w:val="000000"/>
          <w:sz w:val="22"/>
          <w:szCs w:val="22"/>
        </w:rPr>
        <w:t xml:space="preserve"> respectivas excepciones.</w:t>
      </w:r>
      <w:r w:rsidR="009B09E9">
        <w:rPr>
          <w:rFonts w:asciiTheme="majorHAnsi" w:eastAsia="Calibri" w:hAnsiTheme="majorHAnsi" w:cstheme="majorHAnsi"/>
          <w:color w:val="000000"/>
          <w:sz w:val="22"/>
          <w:szCs w:val="22"/>
        </w:rPr>
        <w:t xml:space="preserve"> </w:t>
      </w:r>
    </w:p>
    <w:p w14:paraId="517B27BE" w14:textId="750347F7" w:rsidR="004A75A7" w:rsidRPr="00B24A80" w:rsidRDefault="007F5505" w:rsidP="00CA24CF">
      <w:pPr>
        <w:pStyle w:val="Prrafodelista"/>
        <w:numPr>
          <w:ilvl w:val="0"/>
          <w:numId w:val="80"/>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Por fajas se entenderá</w:t>
      </w:r>
      <w:r w:rsidR="004A75A7"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las superficies de terreno que por sus reducidas dimensiones o por ser provenientes de rellenos, </w:t>
      </w:r>
      <w:r w:rsidR="00A2100E">
        <w:rPr>
          <w:rFonts w:asciiTheme="majorHAnsi" w:eastAsia="Calibri" w:hAnsiTheme="majorHAnsi" w:cstheme="majorHAnsi"/>
          <w:color w:val="000000"/>
          <w:szCs w:val="22"/>
        </w:rPr>
        <w:t>n</w:t>
      </w:r>
      <w:r w:rsidRPr="00B24A80">
        <w:rPr>
          <w:rFonts w:asciiTheme="majorHAnsi" w:eastAsia="Calibri" w:hAnsiTheme="majorHAnsi" w:cstheme="majorHAnsi"/>
          <w:color w:val="000000"/>
          <w:szCs w:val="22"/>
        </w:rPr>
        <w:t>o pueden soportar una construcción independiente.</w:t>
      </w:r>
    </w:p>
    <w:p w14:paraId="289976C7" w14:textId="55454B2D" w:rsidR="00DC27E8" w:rsidRDefault="007F5505" w:rsidP="00707315">
      <w:pPr>
        <w:pStyle w:val="Prrafodelista"/>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Las fajas de terreno, de propiedad municipal o de propiedad particular, solo podrán ser adquiridas por los propietarios de predios colindantes</w:t>
      </w:r>
      <w:r w:rsidR="00707315">
        <w:rPr>
          <w:rFonts w:asciiTheme="majorHAnsi" w:eastAsia="Calibri" w:hAnsiTheme="majorHAnsi" w:cstheme="majorHAnsi"/>
          <w:color w:val="000000"/>
          <w:szCs w:val="22"/>
        </w:rPr>
        <w:t>; s</w:t>
      </w:r>
      <w:r w:rsidRPr="00B24A80">
        <w:rPr>
          <w:rFonts w:asciiTheme="majorHAnsi" w:eastAsia="Calibri" w:hAnsiTheme="majorHAnsi" w:cstheme="majorHAnsi"/>
          <w:color w:val="000000"/>
          <w:szCs w:val="22"/>
        </w:rPr>
        <w:t>i por cualquier procedimiento, llegaren a ser adquiridas por otras personas, la adjudicación y la consiguiente inscripción en el Registro de la Propiedad, serán nulas</w:t>
      </w:r>
      <w:r w:rsidR="00AF543F">
        <w:rPr>
          <w:rFonts w:asciiTheme="majorHAnsi" w:eastAsia="Calibri" w:hAnsiTheme="majorHAnsi" w:cstheme="majorHAnsi"/>
          <w:color w:val="000000"/>
          <w:szCs w:val="22"/>
        </w:rPr>
        <w:t xml:space="preserve"> y el Registrador de la Propiedad responsable será sancionado.</w:t>
      </w:r>
    </w:p>
    <w:p w14:paraId="2AD46605" w14:textId="77777777" w:rsidR="00707315" w:rsidRPr="00B24A80" w:rsidRDefault="00707315" w:rsidP="00707315">
      <w:pPr>
        <w:pStyle w:val="Prrafodelista"/>
        <w:spacing w:after="240" w:line="276" w:lineRule="auto"/>
        <w:ind w:right="42"/>
        <w:rPr>
          <w:rFonts w:asciiTheme="majorHAnsi" w:eastAsia="Calibri" w:hAnsiTheme="majorHAnsi" w:cstheme="majorHAnsi"/>
          <w:color w:val="000000"/>
          <w:szCs w:val="22"/>
        </w:rPr>
      </w:pPr>
    </w:p>
    <w:p w14:paraId="226E89C2" w14:textId="0138430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Cuando una faja de terreno de propiedad municipal, sale a la venta, mediante el procedimiento de subasta pública, sin que se hayan presentado como oferentes ninguno de los propietarios colindantes,</w:t>
      </w:r>
      <w:r w:rsidR="007D312C">
        <w:rPr>
          <w:rFonts w:asciiTheme="majorHAnsi" w:eastAsia="Calibri" w:hAnsiTheme="majorHAnsi" w:cstheme="majorHAnsi"/>
          <w:color w:val="000000"/>
          <w:szCs w:val="22"/>
        </w:rPr>
        <w:t xml:space="preserve"> o por la ubicación de la faja solo es posible la adjudicación a un colindante,</w:t>
      </w:r>
      <w:r w:rsidRPr="00B24A80">
        <w:rPr>
          <w:rFonts w:asciiTheme="majorHAnsi" w:eastAsia="Calibri" w:hAnsiTheme="majorHAnsi" w:cstheme="majorHAnsi"/>
          <w:color w:val="000000"/>
          <w:szCs w:val="22"/>
        </w:rPr>
        <w:t xml:space="preserve"> el GAD Municipal de </w:t>
      </w:r>
      <w:r w:rsidR="00E30701" w:rsidRPr="00B24A80">
        <w:rPr>
          <w:rFonts w:asciiTheme="majorHAnsi" w:eastAsia="Arial" w:hAnsiTheme="majorHAnsi" w:cstheme="majorHAnsi"/>
          <w:color w:val="25282C"/>
          <w:szCs w:val="22"/>
        </w:rPr>
        <w:t>La Joya de los Sachas</w:t>
      </w:r>
      <w:r w:rsidR="000367E3"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p</w:t>
      </w:r>
      <w:r w:rsidR="00B537C2" w:rsidRPr="00B24A80">
        <w:rPr>
          <w:rFonts w:asciiTheme="majorHAnsi" w:eastAsia="Calibri" w:hAnsiTheme="majorHAnsi" w:cstheme="majorHAnsi"/>
          <w:color w:val="000000"/>
          <w:szCs w:val="22"/>
        </w:rPr>
        <w:t xml:space="preserve">rocederá a expedir </w:t>
      </w:r>
      <w:r w:rsidRPr="00B24A80">
        <w:rPr>
          <w:rFonts w:asciiTheme="majorHAnsi" w:eastAsia="Calibri" w:hAnsiTheme="majorHAnsi" w:cstheme="majorHAnsi"/>
          <w:color w:val="000000"/>
          <w:szCs w:val="22"/>
        </w:rPr>
        <w:t>l</w:t>
      </w:r>
      <w:r w:rsidR="00B537C2" w:rsidRPr="00B24A80">
        <w:rPr>
          <w:rFonts w:asciiTheme="majorHAnsi" w:eastAsia="Calibri" w:hAnsiTheme="majorHAnsi" w:cstheme="majorHAnsi"/>
          <w:color w:val="000000"/>
          <w:szCs w:val="22"/>
        </w:rPr>
        <w:t>a</w:t>
      </w:r>
      <w:r w:rsidRPr="00B24A80">
        <w:rPr>
          <w:rFonts w:asciiTheme="majorHAnsi" w:eastAsia="Calibri" w:hAnsiTheme="majorHAnsi" w:cstheme="majorHAnsi"/>
          <w:color w:val="000000"/>
          <w:szCs w:val="22"/>
        </w:rPr>
        <w:t xml:space="preserve"> respectivo </w:t>
      </w:r>
      <w:r w:rsidR="007D312C">
        <w:rPr>
          <w:rFonts w:asciiTheme="majorHAnsi" w:eastAsia="Calibri" w:hAnsiTheme="majorHAnsi" w:cstheme="majorHAnsi"/>
          <w:color w:val="000000"/>
          <w:szCs w:val="22"/>
        </w:rPr>
        <w:t>Título</w:t>
      </w:r>
      <w:r w:rsidRPr="00B24A80">
        <w:rPr>
          <w:rFonts w:asciiTheme="majorHAnsi" w:eastAsia="Calibri" w:hAnsiTheme="majorHAnsi" w:cstheme="majorHAnsi"/>
          <w:color w:val="000000"/>
          <w:szCs w:val="22"/>
        </w:rPr>
        <w:t xml:space="preserve"> de crédito por un valor igual al de la base de la subasta, a cargo del propietario colindante que, a juicio del Director de Planificación, sea el más </w:t>
      </w:r>
      <w:r w:rsidR="00C35AE3">
        <w:rPr>
          <w:rFonts w:asciiTheme="majorHAnsi" w:eastAsia="Calibri" w:hAnsiTheme="majorHAnsi" w:cstheme="majorHAnsi"/>
          <w:color w:val="000000"/>
          <w:szCs w:val="22"/>
        </w:rPr>
        <w:t xml:space="preserve">o único </w:t>
      </w:r>
      <w:r w:rsidRPr="00B24A80">
        <w:rPr>
          <w:rFonts w:asciiTheme="majorHAnsi" w:eastAsia="Calibri" w:hAnsiTheme="majorHAnsi" w:cstheme="majorHAnsi"/>
          <w:color w:val="000000"/>
          <w:szCs w:val="22"/>
        </w:rPr>
        <w:t>llamado para adquirirla</w:t>
      </w:r>
      <w:r w:rsidR="00B537C2" w:rsidRPr="00B24A80">
        <w:rPr>
          <w:rFonts w:asciiTheme="majorHAnsi" w:eastAsia="Calibri" w:hAnsiTheme="majorHAnsi" w:cstheme="majorHAnsi"/>
          <w:color w:val="000000"/>
          <w:szCs w:val="22"/>
        </w:rPr>
        <w:t xml:space="preserve"> conforme a las condiciones óptimas de la configuración del predio</w:t>
      </w:r>
      <w:r w:rsidRPr="00B24A80">
        <w:rPr>
          <w:rFonts w:asciiTheme="majorHAnsi" w:eastAsia="Calibri" w:hAnsiTheme="majorHAnsi" w:cstheme="majorHAnsi"/>
          <w:color w:val="000000"/>
          <w:szCs w:val="22"/>
        </w:rPr>
        <w:t>.</w:t>
      </w:r>
      <w:r w:rsidR="00C35AE3">
        <w:rPr>
          <w:rFonts w:asciiTheme="majorHAnsi" w:eastAsia="Calibri" w:hAnsiTheme="majorHAnsi" w:cstheme="majorHAnsi"/>
          <w:color w:val="000000"/>
          <w:szCs w:val="22"/>
        </w:rPr>
        <w:t xml:space="preserve"> </w:t>
      </w:r>
    </w:p>
    <w:p w14:paraId="05A7ACAD" w14:textId="3ECFF274"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El valor se cubrirá por vía coactiva si se estimare necesaria y no podrá dicho propietario rehusar el pago. Para su c</w:t>
      </w:r>
      <w:r w:rsidR="000367E3" w:rsidRPr="00B24A80">
        <w:rPr>
          <w:rFonts w:asciiTheme="majorHAnsi" w:eastAsia="Calibri" w:hAnsiTheme="majorHAnsi" w:cstheme="majorHAnsi"/>
          <w:color w:val="000000"/>
          <w:sz w:val="22"/>
          <w:szCs w:val="22"/>
        </w:rPr>
        <w:t xml:space="preserve">ancelación el GAD Municipal </w:t>
      </w:r>
      <w:r w:rsidR="00BB2014" w:rsidRPr="00B24A80">
        <w:rPr>
          <w:rFonts w:asciiTheme="majorHAnsi" w:eastAsia="Calibri" w:hAnsiTheme="majorHAnsi" w:cstheme="majorHAnsi"/>
          <w:color w:val="000000"/>
          <w:sz w:val="22"/>
          <w:szCs w:val="22"/>
        </w:rPr>
        <w:t xml:space="preserve">de </w:t>
      </w:r>
      <w:r w:rsidR="00E30701" w:rsidRPr="00B24A80">
        <w:rPr>
          <w:rFonts w:asciiTheme="majorHAnsi" w:eastAsia="Arial" w:hAnsiTheme="majorHAnsi" w:cstheme="majorHAnsi"/>
          <w:color w:val="25282C"/>
          <w:sz w:val="22"/>
          <w:szCs w:val="22"/>
        </w:rPr>
        <w:t>La Joya de los Sachas</w:t>
      </w:r>
      <w:r w:rsidR="000367E3"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podrá otorgar plazo de hasta cinco años.</w:t>
      </w:r>
    </w:p>
    <w:p w14:paraId="0C980A1F" w14:textId="76E0368F"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El pronunciamiento de la </w:t>
      </w:r>
      <w:r w:rsidR="006E0959" w:rsidRPr="00B24A80">
        <w:rPr>
          <w:rFonts w:asciiTheme="majorHAnsi" w:eastAsia="Calibri" w:hAnsiTheme="majorHAnsi" w:cstheme="majorHAnsi"/>
          <w:color w:val="000000"/>
          <w:sz w:val="22"/>
          <w:szCs w:val="22"/>
        </w:rPr>
        <w:t xml:space="preserve">Dirección de Gestión Planificación y Ordenamiento Territorial </w:t>
      </w:r>
      <w:r w:rsidRPr="00B24A80">
        <w:rPr>
          <w:rFonts w:asciiTheme="majorHAnsi" w:eastAsia="Calibri" w:hAnsiTheme="majorHAnsi" w:cstheme="majorHAnsi"/>
          <w:color w:val="000000"/>
          <w:sz w:val="22"/>
          <w:szCs w:val="22"/>
        </w:rPr>
        <w:t>servirá de informe para la resolución de adjudicación que expida el Concejo, l</w:t>
      </w:r>
      <w:r w:rsidR="000041B4">
        <w:rPr>
          <w:rFonts w:asciiTheme="majorHAnsi" w:eastAsia="Calibri" w:hAnsiTheme="majorHAnsi" w:cstheme="majorHAnsi"/>
          <w:color w:val="000000"/>
          <w:sz w:val="22"/>
          <w:szCs w:val="22"/>
        </w:rPr>
        <w:t>o</w:t>
      </w:r>
      <w:r w:rsidRPr="00B24A80">
        <w:rPr>
          <w:rFonts w:asciiTheme="majorHAnsi" w:eastAsia="Calibri" w:hAnsiTheme="majorHAnsi" w:cstheme="majorHAnsi"/>
          <w:color w:val="000000"/>
          <w:sz w:val="22"/>
          <w:szCs w:val="22"/>
        </w:rPr>
        <w:t xml:space="preserve"> cual </w:t>
      </w:r>
      <w:r w:rsidR="000041B4">
        <w:rPr>
          <w:rFonts w:asciiTheme="majorHAnsi" w:eastAsia="Calibri" w:hAnsiTheme="majorHAnsi" w:cstheme="majorHAnsi"/>
          <w:color w:val="000000"/>
          <w:sz w:val="22"/>
          <w:szCs w:val="22"/>
        </w:rPr>
        <w:t>produce de forma automática la unificación al área del lote colindante,</w:t>
      </w:r>
      <w:r w:rsidR="00891122">
        <w:rPr>
          <w:rFonts w:asciiTheme="majorHAnsi" w:eastAsia="Calibri" w:hAnsiTheme="majorHAnsi" w:cstheme="majorHAnsi"/>
          <w:color w:val="000000"/>
          <w:sz w:val="22"/>
          <w:szCs w:val="22"/>
        </w:rPr>
        <w:t xml:space="preserve"> esta resolución </w:t>
      </w:r>
      <w:r w:rsidRPr="00B24A80">
        <w:rPr>
          <w:rFonts w:asciiTheme="majorHAnsi" w:eastAsia="Calibri" w:hAnsiTheme="majorHAnsi" w:cstheme="majorHAnsi"/>
          <w:color w:val="000000"/>
          <w:sz w:val="22"/>
          <w:szCs w:val="22"/>
        </w:rPr>
        <w:t>se protocolizará en una notaría y se inscribirá en e</w:t>
      </w:r>
      <w:r w:rsidR="00F6636F" w:rsidRPr="00B24A80">
        <w:rPr>
          <w:rFonts w:asciiTheme="majorHAnsi" w:eastAsia="Calibri" w:hAnsiTheme="majorHAnsi" w:cstheme="majorHAnsi"/>
          <w:color w:val="000000"/>
          <w:sz w:val="22"/>
          <w:szCs w:val="22"/>
        </w:rPr>
        <w:t>l Registro de la Propiedad</w:t>
      </w:r>
      <w:r w:rsidR="005128D4">
        <w:rPr>
          <w:rFonts w:asciiTheme="majorHAnsi" w:eastAsia="Calibri" w:hAnsiTheme="majorHAnsi" w:cstheme="majorHAnsi"/>
          <w:color w:val="000000"/>
          <w:sz w:val="22"/>
          <w:szCs w:val="22"/>
        </w:rPr>
        <w:t>, debiéndose a este efecto actualizar la ficha Catastral del predio colindante.</w:t>
      </w:r>
      <w:r w:rsidR="00F6636F" w:rsidRPr="00B24A80">
        <w:rPr>
          <w:rFonts w:asciiTheme="majorHAnsi" w:eastAsia="Calibri" w:hAnsiTheme="majorHAnsi" w:cstheme="majorHAnsi"/>
          <w:color w:val="000000"/>
          <w:sz w:val="22"/>
          <w:szCs w:val="22"/>
        </w:rPr>
        <w:t xml:space="preserve"> </w:t>
      </w:r>
    </w:p>
    <w:p w14:paraId="3FC8ED40" w14:textId="3324113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 xml:space="preserve">Los propietarios de fajas sin edificios, o edificaciones viejas que no admitieran reconstrucción, </w:t>
      </w:r>
      <w:r w:rsidR="002E66E5">
        <w:rPr>
          <w:rFonts w:asciiTheme="majorHAnsi" w:eastAsia="Calibri" w:hAnsiTheme="majorHAnsi" w:cstheme="majorHAnsi"/>
          <w:color w:val="000000"/>
          <w:szCs w:val="22"/>
        </w:rPr>
        <w:t>estarán obligados al traspaso de dominio de esta faja al propietario del terreno colindante</w:t>
      </w:r>
      <w:r w:rsidR="00C96999">
        <w:rPr>
          <w:rFonts w:asciiTheme="majorHAnsi" w:eastAsia="Calibri" w:hAnsiTheme="majorHAnsi" w:cstheme="majorHAnsi"/>
          <w:color w:val="000000"/>
          <w:szCs w:val="22"/>
        </w:rPr>
        <w:t xml:space="preserve">, para lo cual </w:t>
      </w:r>
      <w:r w:rsidRPr="00B24A80">
        <w:rPr>
          <w:rFonts w:asciiTheme="majorHAnsi" w:eastAsia="Calibri" w:hAnsiTheme="majorHAnsi" w:cstheme="majorHAnsi"/>
          <w:color w:val="000000"/>
          <w:szCs w:val="22"/>
        </w:rPr>
        <w:t xml:space="preserve">el GAD Municipal de </w:t>
      </w:r>
      <w:r w:rsidR="00E30701" w:rsidRPr="00B24A80">
        <w:rPr>
          <w:rFonts w:asciiTheme="majorHAnsi" w:eastAsia="Arial" w:hAnsiTheme="majorHAnsi" w:cstheme="majorHAnsi"/>
          <w:color w:val="25282C"/>
          <w:szCs w:val="22"/>
        </w:rPr>
        <w:t>La Joya de los Sachas</w:t>
      </w:r>
      <w:r w:rsidR="00C96999">
        <w:rPr>
          <w:rFonts w:asciiTheme="majorHAnsi" w:eastAsia="Calibri" w:hAnsiTheme="majorHAnsi" w:cstheme="majorHAnsi"/>
          <w:color w:val="000000"/>
          <w:szCs w:val="22"/>
        </w:rPr>
        <w:t xml:space="preserve"> emitirá la correspondiente normativa.</w:t>
      </w:r>
    </w:p>
    <w:p w14:paraId="4D1C64CB" w14:textId="0D21D11F" w:rsidR="00DC27E8" w:rsidRPr="00B24A80" w:rsidRDefault="00EB5C24" w:rsidP="008A7C8C">
      <w:pPr>
        <w:pStyle w:val="Ttulo4"/>
        <w:rPr>
          <w:rFonts w:cstheme="majorHAnsi"/>
          <w:sz w:val="22"/>
          <w:szCs w:val="22"/>
        </w:rPr>
      </w:pPr>
      <w:bookmarkStart w:id="271" w:name="_heading=h.4du1wux" w:colFirst="0" w:colLast="0"/>
      <w:bookmarkStart w:id="272" w:name="_Toc81085669"/>
      <w:bookmarkStart w:id="273" w:name="_Toc181374109"/>
      <w:bookmarkEnd w:id="271"/>
      <w:r w:rsidRPr="00B24A80">
        <w:rPr>
          <w:rFonts w:cstheme="majorHAnsi"/>
          <w:sz w:val="22"/>
          <w:szCs w:val="22"/>
        </w:rPr>
        <w:t>SECCIÓN</w:t>
      </w:r>
      <w:r w:rsidR="007F5505" w:rsidRPr="00B24A80">
        <w:rPr>
          <w:rFonts w:cstheme="majorHAnsi"/>
          <w:sz w:val="22"/>
          <w:szCs w:val="22"/>
        </w:rPr>
        <w:t xml:space="preserve"> </w:t>
      </w:r>
      <w:r w:rsidR="00F6636F" w:rsidRPr="00B24A80">
        <w:rPr>
          <w:rFonts w:cstheme="majorHAnsi"/>
          <w:sz w:val="22"/>
          <w:szCs w:val="22"/>
        </w:rPr>
        <w:t>II</w:t>
      </w:r>
      <w:bookmarkStart w:id="274" w:name="_heading=h.2szc72q" w:colFirst="0" w:colLast="0"/>
      <w:bookmarkEnd w:id="274"/>
      <w:r w:rsidR="008A7C8C" w:rsidRPr="00B24A80">
        <w:rPr>
          <w:rFonts w:cstheme="majorHAnsi"/>
          <w:sz w:val="22"/>
          <w:szCs w:val="22"/>
        </w:rPr>
        <w:br/>
      </w:r>
      <w:bookmarkEnd w:id="272"/>
      <w:r w:rsidR="00770E1A">
        <w:rPr>
          <w:rFonts w:cstheme="majorHAnsi"/>
          <w:sz w:val="22"/>
          <w:szCs w:val="22"/>
        </w:rPr>
        <w:t>Expropiación de áreas de terreno</w:t>
      </w:r>
      <w:bookmarkEnd w:id="273"/>
      <w:r w:rsidR="00770E1A">
        <w:rPr>
          <w:rFonts w:cstheme="majorHAnsi"/>
          <w:sz w:val="22"/>
          <w:szCs w:val="22"/>
        </w:rPr>
        <w:t xml:space="preserve"> </w:t>
      </w:r>
    </w:p>
    <w:p w14:paraId="07C6F8E7" w14:textId="3E4561D2" w:rsidR="00DC27E8"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w:t>
      </w:r>
      <w:r w:rsidR="006E0959" w:rsidRPr="00B24A80">
        <w:rPr>
          <w:rFonts w:asciiTheme="majorHAnsi" w:eastAsia="Calibri" w:hAnsiTheme="majorHAnsi" w:cstheme="majorHAnsi"/>
          <w:color w:val="000000"/>
          <w:szCs w:val="22"/>
        </w:rPr>
        <w:t>Dirección de Gestión Planificación y Ordenamiento Territorial</w:t>
      </w:r>
      <w:r w:rsidR="00656705">
        <w:rPr>
          <w:rFonts w:asciiTheme="majorHAnsi" w:eastAsia="Calibri" w:hAnsiTheme="majorHAnsi" w:cstheme="majorHAnsi"/>
          <w:color w:val="000000"/>
          <w:szCs w:val="22"/>
        </w:rPr>
        <w:t>,</w:t>
      </w:r>
      <w:r w:rsidR="006E0959" w:rsidRPr="00B24A80">
        <w:rPr>
          <w:rFonts w:asciiTheme="majorHAnsi" w:eastAsia="Calibri" w:hAnsiTheme="majorHAnsi" w:cstheme="majorHAnsi"/>
          <w:color w:val="000000"/>
          <w:szCs w:val="22"/>
        </w:rPr>
        <w:t xml:space="preserve"> </w:t>
      </w:r>
      <w:r w:rsidR="00656705">
        <w:rPr>
          <w:rFonts w:asciiTheme="majorHAnsi" w:eastAsia="Calibri" w:hAnsiTheme="majorHAnsi" w:cstheme="majorHAnsi"/>
          <w:color w:val="000000"/>
          <w:szCs w:val="22"/>
        </w:rPr>
        <w:t>p</w:t>
      </w:r>
      <w:r w:rsidRPr="00B24A80">
        <w:rPr>
          <w:rFonts w:asciiTheme="majorHAnsi" w:eastAsia="Calibri" w:hAnsiTheme="majorHAnsi" w:cstheme="majorHAnsi"/>
          <w:color w:val="000000"/>
          <w:szCs w:val="22"/>
        </w:rPr>
        <w:t xml:space="preserve">revia </w:t>
      </w:r>
      <w:r w:rsidR="00656705">
        <w:rPr>
          <w:rFonts w:asciiTheme="majorHAnsi" w:eastAsia="Calibri" w:hAnsiTheme="majorHAnsi" w:cstheme="majorHAnsi"/>
          <w:color w:val="000000"/>
          <w:szCs w:val="22"/>
        </w:rPr>
        <w:t xml:space="preserve">a </w:t>
      </w:r>
      <w:r w:rsidRPr="00B24A80">
        <w:rPr>
          <w:rFonts w:asciiTheme="majorHAnsi" w:eastAsia="Calibri" w:hAnsiTheme="majorHAnsi" w:cstheme="majorHAnsi"/>
          <w:color w:val="000000"/>
          <w:szCs w:val="22"/>
        </w:rPr>
        <w:t>la elaboración de proyectos y diseños respectivos,</w:t>
      </w:r>
      <w:r w:rsidR="00F30519">
        <w:rPr>
          <w:rFonts w:asciiTheme="majorHAnsi" w:eastAsia="Calibri" w:hAnsiTheme="majorHAnsi" w:cstheme="majorHAnsi"/>
          <w:color w:val="000000"/>
          <w:szCs w:val="22"/>
        </w:rPr>
        <w:t xml:space="preserve"> solicitará</w:t>
      </w:r>
      <w:r w:rsidRPr="00B24A80">
        <w:rPr>
          <w:rFonts w:asciiTheme="majorHAnsi" w:eastAsia="Calibri" w:hAnsiTheme="majorHAnsi" w:cstheme="majorHAnsi"/>
          <w:color w:val="000000"/>
          <w:szCs w:val="22"/>
        </w:rPr>
        <w:t xml:space="preserve"> la expropiación de los terrenos necesarios para la implementación de obras de equipamiento</w:t>
      </w:r>
      <w:r w:rsidR="00A52A8E" w:rsidRPr="00B24A80">
        <w:rPr>
          <w:rFonts w:asciiTheme="majorHAnsi" w:eastAsia="Calibri" w:hAnsiTheme="majorHAnsi" w:cstheme="majorHAnsi"/>
          <w:color w:val="000000"/>
          <w:szCs w:val="22"/>
        </w:rPr>
        <w:t xml:space="preserve"> de soporte público</w:t>
      </w:r>
      <w:r w:rsidR="00F30519">
        <w:rPr>
          <w:rFonts w:asciiTheme="majorHAnsi" w:eastAsia="Calibri" w:hAnsiTheme="majorHAnsi" w:cstheme="majorHAnsi"/>
          <w:color w:val="000000"/>
          <w:szCs w:val="22"/>
        </w:rPr>
        <w:t xml:space="preserve"> necesarios para la ejecución de los proyectos</w:t>
      </w:r>
      <w:r w:rsidRPr="00B24A80">
        <w:rPr>
          <w:rFonts w:asciiTheme="majorHAnsi" w:eastAsia="Calibri" w:hAnsiTheme="majorHAnsi" w:cstheme="majorHAnsi"/>
          <w:color w:val="000000"/>
          <w:szCs w:val="22"/>
        </w:rPr>
        <w:t xml:space="preserve">. En el presupuesto del GAD Municipal de </w:t>
      </w:r>
      <w:r w:rsidR="00E30701" w:rsidRPr="00B24A80">
        <w:rPr>
          <w:rFonts w:asciiTheme="majorHAnsi" w:eastAsia="Arial" w:hAnsiTheme="majorHAnsi" w:cstheme="majorHAnsi"/>
          <w:color w:val="25282C"/>
          <w:szCs w:val="22"/>
        </w:rPr>
        <w:t>La Joya de los Sachas</w:t>
      </w:r>
      <w:r w:rsidR="000367E3"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se hará constar una partida adecuada para la adquisición de los terrenos requeridos.</w:t>
      </w:r>
    </w:p>
    <w:p w14:paraId="127733FE" w14:textId="5EDB37E2" w:rsidR="00BE6252" w:rsidRPr="00BE6252" w:rsidRDefault="00955D1F" w:rsidP="00BE6252">
      <w:pPr>
        <w:widowControl/>
        <w:tabs>
          <w:tab w:val="left" w:pos="851"/>
        </w:tabs>
        <w:spacing w:after="240" w:line="276" w:lineRule="auto"/>
        <w:ind w:right="-100"/>
        <w:rPr>
          <w:rFonts w:asciiTheme="majorHAnsi" w:eastAsia="Calibri" w:hAnsiTheme="majorHAnsi" w:cstheme="majorHAnsi"/>
          <w:color w:val="000000"/>
          <w:szCs w:val="22"/>
        </w:rPr>
      </w:pPr>
      <w:r>
        <w:rPr>
          <w:rFonts w:asciiTheme="majorHAnsi" w:eastAsia="Calibri" w:hAnsiTheme="majorHAnsi" w:cstheme="majorHAnsi"/>
          <w:color w:val="000000"/>
          <w:szCs w:val="22"/>
        </w:rPr>
        <w:t>Los proceso de expropiación de harán sujetándose a los requisitos y procedimiento establecidos tanto en el COOTAD como en la Ley Orgánica del Sistema Nacional de Contratación Pública</w:t>
      </w:r>
      <w:r w:rsidR="00DE6A9A">
        <w:rPr>
          <w:rFonts w:asciiTheme="majorHAnsi" w:eastAsia="Calibri" w:hAnsiTheme="majorHAnsi" w:cstheme="majorHAnsi"/>
          <w:color w:val="000000"/>
          <w:szCs w:val="22"/>
        </w:rPr>
        <w:t xml:space="preserve"> y Ley Orgánica de Ordenamiento Territorial, Uso y Gestión de Suelo (LOOTUGS)</w:t>
      </w:r>
      <w:r w:rsidR="00387B20">
        <w:rPr>
          <w:rFonts w:asciiTheme="majorHAnsi" w:eastAsia="Calibri" w:hAnsiTheme="majorHAnsi" w:cstheme="majorHAnsi"/>
          <w:color w:val="000000"/>
          <w:szCs w:val="22"/>
        </w:rPr>
        <w:t>.</w:t>
      </w:r>
    </w:p>
    <w:p w14:paraId="0C6359AF" w14:textId="7C91928F" w:rsidR="00DC27E8" w:rsidRPr="00B24A80" w:rsidRDefault="00EB5C24" w:rsidP="00EB5C24">
      <w:pPr>
        <w:pStyle w:val="Ttulo4"/>
        <w:rPr>
          <w:rFonts w:cstheme="majorHAnsi"/>
          <w:sz w:val="22"/>
          <w:szCs w:val="22"/>
        </w:rPr>
      </w:pPr>
      <w:bookmarkStart w:id="275" w:name="_heading=h.184mhaj" w:colFirst="0" w:colLast="0"/>
      <w:bookmarkStart w:id="276" w:name="_Toc81085670"/>
      <w:bookmarkStart w:id="277" w:name="_Toc181374110"/>
      <w:bookmarkEnd w:id="275"/>
      <w:r w:rsidRPr="00B24A80">
        <w:rPr>
          <w:rFonts w:cstheme="majorHAnsi"/>
          <w:sz w:val="22"/>
          <w:szCs w:val="22"/>
        </w:rPr>
        <w:t>SECCIÓN</w:t>
      </w:r>
      <w:r w:rsidR="007F5505" w:rsidRPr="00B24A80">
        <w:rPr>
          <w:rFonts w:cstheme="majorHAnsi"/>
          <w:sz w:val="22"/>
          <w:szCs w:val="22"/>
        </w:rPr>
        <w:t xml:space="preserve"> </w:t>
      </w:r>
      <w:r w:rsidR="00F6636F" w:rsidRPr="00B24A80">
        <w:rPr>
          <w:rFonts w:cstheme="majorHAnsi"/>
          <w:sz w:val="22"/>
          <w:szCs w:val="22"/>
        </w:rPr>
        <w:t>III</w:t>
      </w:r>
      <w:bookmarkStart w:id="278" w:name="_heading=h.3s49zyc" w:colFirst="0" w:colLast="0"/>
      <w:bookmarkEnd w:id="278"/>
      <w:r w:rsidRPr="00B24A80">
        <w:rPr>
          <w:rFonts w:cstheme="majorHAnsi"/>
          <w:sz w:val="22"/>
          <w:szCs w:val="22"/>
        </w:rPr>
        <w:br/>
      </w:r>
      <w:r w:rsidR="007F5505" w:rsidRPr="00B24A80">
        <w:rPr>
          <w:rFonts w:cstheme="majorHAnsi"/>
          <w:sz w:val="22"/>
          <w:szCs w:val="22"/>
        </w:rPr>
        <w:t>Zonas de protección asociados a los recursos hídricos.</w:t>
      </w:r>
      <w:bookmarkEnd w:id="276"/>
      <w:bookmarkEnd w:id="277"/>
    </w:p>
    <w:p w14:paraId="5A743576" w14:textId="3D97D7D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Los terrenos colindantes con fuentes de agua superficial como son los ríos, quebradas y sistemas lacustres,</w:t>
      </w:r>
      <w:r w:rsidR="00967206">
        <w:rPr>
          <w:rFonts w:asciiTheme="majorHAnsi" w:eastAsia="Calibri" w:hAnsiTheme="majorHAnsi" w:cstheme="majorHAnsi"/>
          <w:color w:val="000000"/>
          <w:szCs w:val="22"/>
        </w:rPr>
        <w:t xml:space="preserve"> se someterán a las regulaciones respecto a las f</w:t>
      </w:r>
      <w:r w:rsidR="00261143">
        <w:rPr>
          <w:rFonts w:asciiTheme="majorHAnsi" w:eastAsia="Calibri" w:hAnsiTheme="majorHAnsi" w:cstheme="majorHAnsi"/>
          <w:color w:val="000000"/>
          <w:szCs w:val="22"/>
        </w:rPr>
        <w:t>r</w:t>
      </w:r>
      <w:r w:rsidR="00967206">
        <w:rPr>
          <w:rFonts w:asciiTheme="majorHAnsi" w:eastAsia="Calibri" w:hAnsiTheme="majorHAnsi" w:cstheme="majorHAnsi"/>
          <w:color w:val="000000"/>
          <w:szCs w:val="22"/>
        </w:rPr>
        <w:t>a</w:t>
      </w:r>
      <w:r w:rsidR="00261143">
        <w:rPr>
          <w:rFonts w:asciiTheme="majorHAnsi" w:eastAsia="Calibri" w:hAnsiTheme="majorHAnsi" w:cstheme="majorHAnsi"/>
          <w:color w:val="000000"/>
          <w:szCs w:val="22"/>
        </w:rPr>
        <w:t>n</w:t>
      </w:r>
      <w:r w:rsidR="00967206">
        <w:rPr>
          <w:rFonts w:asciiTheme="majorHAnsi" w:eastAsia="Calibri" w:hAnsiTheme="majorHAnsi" w:cstheme="majorHAnsi"/>
          <w:color w:val="000000"/>
          <w:szCs w:val="22"/>
        </w:rPr>
        <w:t>jas de protección</w:t>
      </w:r>
      <w:r w:rsidR="00486916">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El GAD Municipal de </w:t>
      </w:r>
      <w:r w:rsidR="00E30701" w:rsidRPr="00B24A80">
        <w:rPr>
          <w:rFonts w:asciiTheme="majorHAnsi" w:eastAsia="Arial" w:hAnsiTheme="majorHAnsi" w:cstheme="majorHAnsi"/>
          <w:color w:val="25282C"/>
          <w:szCs w:val="22"/>
        </w:rPr>
        <w:t>La Joya de los Sachas</w:t>
      </w:r>
      <w:r w:rsidR="000367E3"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suscribirá acuerdos de conservación y uso sostenible con los propietarios de estos predios para establecer un plan de manejo.</w:t>
      </w:r>
    </w:p>
    <w:p w14:paraId="3733D41F" w14:textId="5B6224C1" w:rsidR="00DC27E8" w:rsidRPr="00486EFF" w:rsidRDefault="008B7F35">
      <w:pPr>
        <w:spacing w:after="240" w:line="276" w:lineRule="auto"/>
        <w:ind w:right="42"/>
        <w:rPr>
          <w:rFonts w:asciiTheme="majorHAnsi" w:eastAsia="Calibri" w:hAnsiTheme="majorHAnsi" w:cstheme="majorHAnsi"/>
          <w:color w:val="000000"/>
          <w:sz w:val="22"/>
          <w:szCs w:val="22"/>
        </w:rPr>
      </w:pPr>
      <w:r w:rsidRPr="00486EFF">
        <w:rPr>
          <w:rFonts w:asciiTheme="majorHAnsi" w:eastAsia="Calibri" w:hAnsiTheme="majorHAnsi" w:cstheme="majorHAnsi"/>
          <w:color w:val="000000"/>
          <w:sz w:val="22"/>
          <w:szCs w:val="22"/>
        </w:rPr>
        <w:t xml:space="preserve">En forma paralela a las </w:t>
      </w:r>
      <w:r w:rsidR="00C25D75" w:rsidRPr="00486EFF">
        <w:rPr>
          <w:rFonts w:asciiTheme="majorHAnsi" w:eastAsia="Calibri" w:hAnsiTheme="majorHAnsi" w:cstheme="majorHAnsi"/>
          <w:color w:val="000000"/>
          <w:sz w:val="22"/>
          <w:szCs w:val="22"/>
        </w:rPr>
        <w:t>riberas</w:t>
      </w:r>
      <w:r w:rsidRPr="00486EFF">
        <w:rPr>
          <w:rFonts w:asciiTheme="majorHAnsi" w:eastAsia="Calibri" w:hAnsiTheme="majorHAnsi" w:cstheme="majorHAnsi"/>
          <w:color w:val="000000"/>
          <w:sz w:val="22"/>
          <w:szCs w:val="22"/>
        </w:rPr>
        <w:t xml:space="preserve"> de los </w:t>
      </w:r>
      <w:r w:rsidR="00C25D75" w:rsidRPr="00486EFF">
        <w:rPr>
          <w:rFonts w:asciiTheme="majorHAnsi" w:eastAsia="Calibri" w:hAnsiTheme="majorHAnsi" w:cstheme="majorHAnsi"/>
          <w:color w:val="000000"/>
          <w:sz w:val="22"/>
          <w:szCs w:val="22"/>
        </w:rPr>
        <w:t>ríos, quebradas y sistemas lacustres</w:t>
      </w:r>
      <w:r w:rsidR="007F5505" w:rsidRPr="00486EFF">
        <w:rPr>
          <w:rFonts w:asciiTheme="majorHAnsi" w:eastAsia="Calibri" w:hAnsiTheme="majorHAnsi" w:cstheme="majorHAnsi"/>
          <w:color w:val="000000"/>
          <w:sz w:val="22"/>
          <w:szCs w:val="22"/>
        </w:rPr>
        <w:t xml:space="preserve"> </w:t>
      </w:r>
      <w:r w:rsidRPr="00486EFF">
        <w:rPr>
          <w:rFonts w:asciiTheme="majorHAnsi" w:eastAsia="Calibri" w:hAnsiTheme="majorHAnsi" w:cstheme="majorHAnsi"/>
          <w:color w:val="000000"/>
          <w:sz w:val="22"/>
          <w:szCs w:val="22"/>
        </w:rPr>
        <w:t>se establecerá zonas de protección conforme los lineamientos establecidos en la Legislación Nacional</w:t>
      </w:r>
      <w:r w:rsidR="00593305" w:rsidRPr="00486EFF">
        <w:rPr>
          <w:rFonts w:asciiTheme="majorHAnsi" w:eastAsia="Calibri" w:hAnsiTheme="majorHAnsi" w:cstheme="majorHAnsi"/>
          <w:color w:val="000000"/>
          <w:sz w:val="22"/>
          <w:szCs w:val="22"/>
        </w:rPr>
        <w:t>,</w:t>
      </w:r>
      <w:r w:rsidRPr="00486EFF">
        <w:rPr>
          <w:rFonts w:asciiTheme="majorHAnsi" w:eastAsia="Calibri" w:hAnsiTheme="majorHAnsi" w:cstheme="majorHAnsi"/>
          <w:color w:val="000000"/>
          <w:sz w:val="22"/>
          <w:szCs w:val="22"/>
        </w:rPr>
        <w:t xml:space="preserve"> </w:t>
      </w:r>
      <w:r w:rsidR="007F5505" w:rsidRPr="00486EFF">
        <w:rPr>
          <w:rFonts w:asciiTheme="majorHAnsi" w:eastAsia="Calibri" w:hAnsiTheme="majorHAnsi" w:cstheme="majorHAnsi"/>
          <w:color w:val="000000"/>
          <w:sz w:val="22"/>
          <w:szCs w:val="22"/>
        </w:rPr>
        <w:t>esta zona de protección puede variar en casos donde la topografía y estudios lo demuestren.</w:t>
      </w:r>
    </w:p>
    <w:p w14:paraId="5A5D8473" w14:textId="4C55C0DA"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Para el caso de las quebradas, las franjas de </w:t>
      </w:r>
      <w:r w:rsidR="007608F6">
        <w:rPr>
          <w:rFonts w:asciiTheme="majorHAnsi" w:eastAsia="Calibri" w:hAnsiTheme="majorHAnsi" w:cstheme="majorHAnsi"/>
          <w:color w:val="000000"/>
          <w:sz w:val="22"/>
          <w:szCs w:val="22"/>
        </w:rPr>
        <w:t>protección,</w:t>
      </w:r>
      <w:r w:rsidRPr="00B24A80">
        <w:rPr>
          <w:rFonts w:asciiTheme="majorHAnsi" w:eastAsia="Calibri" w:hAnsiTheme="majorHAnsi" w:cstheme="majorHAnsi"/>
          <w:color w:val="000000"/>
          <w:sz w:val="22"/>
          <w:szCs w:val="22"/>
        </w:rPr>
        <w:t xml:space="preserve"> serán de diez metros a cada lado, medidas desde el borde superior del talud</w:t>
      </w:r>
      <w:r w:rsidR="008C7C02">
        <w:rPr>
          <w:rFonts w:asciiTheme="majorHAnsi" w:eastAsia="Calibri" w:hAnsiTheme="majorHAnsi" w:cstheme="majorHAnsi"/>
          <w:color w:val="000000"/>
          <w:sz w:val="22"/>
          <w:szCs w:val="22"/>
        </w:rPr>
        <w:t>.</w:t>
      </w:r>
    </w:p>
    <w:p w14:paraId="50AF0BCA" w14:textId="36E0B7C2"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Mientras el GAD Municipal de </w:t>
      </w:r>
      <w:r w:rsidR="00E30701" w:rsidRPr="00B24A80">
        <w:rPr>
          <w:rFonts w:asciiTheme="majorHAnsi" w:eastAsia="Arial" w:hAnsiTheme="majorHAnsi" w:cstheme="majorHAnsi"/>
          <w:color w:val="25282C"/>
          <w:sz w:val="22"/>
          <w:szCs w:val="22"/>
        </w:rPr>
        <w:t>La Joya de los Sachas</w:t>
      </w:r>
      <w:r w:rsidR="000367E3"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 xml:space="preserve">no requiera ejecutar obras de protección, intervención o manejo de estas zonas de protección, los propietarios utilizarán dicha </w:t>
      </w:r>
      <w:r w:rsidR="00F056A8">
        <w:rPr>
          <w:rFonts w:asciiTheme="majorHAnsi" w:eastAsia="Calibri" w:hAnsiTheme="majorHAnsi" w:cstheme="majorHAnsi"/>
          <w:color w:val="000000"/>
          <w:sz w:val="22"/>
          <w:szCs w:val="22"/>
        </w:rPr>
        <w:t xml:space="preserve">franja </w:t>
      </w:r>
      <w:r w:rsidR="00E76232" w:rsidRPr="00B24A80">
        <w:rPr>
          <w:rFonts w:asciiTheme="majorHAnsi" w:eastAsia="Calibri" w:hAnsiTheme="majorHAnsi" w:cstheme="majorHAnsi"/>
          <w:color w:val="000000"/>
          <w:sz w:val="22"/>
          <w:szCs w:val="22"/>
        </w:rPr>
        <w:t xml:space="preserve">siempre que su actividad priorice la recuperación y conservación de esta área, quedando </w:t>
      </w:r>
      <w:r w:rsidRPr="00B24A80">
        <w:rPr>
          <w:rFonts w:asciiTheme="majorHAnsi" w:eastAsia="Calibri" w:hAnsiTheme="majorHAnsi" w:cstheme="majorHAnsi"/>
          <w:color w:val="000000"/>
          <w:sz w:val="22"/>
          <w:szCs w:val="22"/>
        </w:rPr>
        <w:t>expresamente prohibido, la extracción de materiales, acumulación de desechos, relleno de quebradas y lagunas naturales, ubicación de actividades pecuarias, que contaminen la quebrada, río o laguna.</w:t>
      </w:r>
    </w:p>
    <w:p w14:paraId="66642051" w14:textId="59163CDB" w:rsidR="00DC27E8" w:rsidRPr="00B24A80" w:rsidRDefault="006E27F6"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6E27F6">
        <w:rPr>
          <w:rFonts w:asciiTheme="majorHAnsi" w:eastAsia="Calibri" w:hAnsiTheme="majorHAnsi" w:cstheme="majorHAnsi"/>
          <w:b/>
          <w:bCs/>
          <w:color w:val="000000"/>
          <w:szCs w:val="22"/>
        </w:rPr>
        <w:t>Márgenes de protección. -</w:t>
      </w:r>
      <w:r>
        <w:rPr>
          <w:rFonts w:asciiTheme="majorHAnsi" w:eastAsia="Calibri" w:hAnsiTheme="majorHAnsi" w:cstheme="majorHAnsi"/>
          <w:color w:val="000000"/>
          <w:szCs w:val="22"/>
        </w:rPr>
        <w:t xml:space="preserve"> </w:t>
      </w:r>
      <w:r w:rsidR="007F5505" w:rsidRPr="00B24A80">
        <w:rPr>
          <w:rFonts w:asciiTheme="majorHAnsi" w:eastAsia="Calibri" w:hAnsiTheme="majorHAnsi" w:cstheme="majorHAnsi"/>
          <w:color w:val="000000"/>
          <w:szCs w:val="22"/>
        </w:rPr>
        <w:t>Se respetarán los siguientes márgenes de protección en los cuales no se realizará construcción alguna:</w:t>
      </w:r>
    </w:p>
    <w:p w14:paraId="2A38BEC2" w14:textId="0AD65D76" w:rsidR="00DC27E8" w:rsidRPr="00B24A80" w:rsidRDefault="007F5505" w:rsidP="00C85FA9">
      <w:pPr>
        <w:numPr>
          <w:ilvl w:val="1"/>
          <w:numId w:val="3"/>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Para el caso</w:t>
      </w:r>
      <w:r w:rsidR="00995F96">
        <w:rPr>
          <w:rFonts w:asciiTheme="majorHAnsi" w:eastAsia="Calibri" w:hAnsiTheme="majorHAnsi" w:cstheme="majorHAnsi"/>
          <w:color w:val="000000"/>
          <w:sz w:val="22"/>
          <w:szCs w:val="22"/>
        </w:rPr>
        <w:t xml:space="preserve"> de</w:t>
      </w:r>
      <w:r w:rsidRPr="00B24A80">
        <w:rPr>
          <w:rFonts w:asciiTheme="majorHAnsi" w:eastAsia="Calibri" w:hAnsiTheme="majorHAnsi" w:cstheme="majorHAnsi"/>
          <w:color w:val="000000"/>
          <w:sz w:val="22"/>
          <w:szCs w:val="22"/>
        </w:rPr>
        <w:t xml:space="preserve"> Derechos de vías estatales, veinticinco metros a cada lado a partir del eje de la vía conforme lo establece la autoridad</w:t>
      </w:r>
      <w:r w:rsidR="00261F6B" w:rsidRPr="00B24A80">
        <w:rPr>
          <w:rFonts w:asciiTheme="majorHAnsi" w:eastAsia="Calibri" w:hAnsiTheme="majorHAnsi" w:cstheme="majorHAnsi"/>
          <w:color w:val="000000"/>
          <w:sz w:val="22"/>
          <w:szCs w:val="22"/>
        </w:rPr>
        <w:t xml:space="preserve"> nacional de transporte, queda establecido así el derecho de vía según lo detallado a continuación:</w:t>
      </w:r>
    </w:p>
    <w:p w14:paraId="6D1A3B57" w14:textId="7443EB6D" w:rsidR="002F1280" w:rsidRPr="00B24A80" w:rsidRDefault="002F1280" w:rsidP="002F1280">
      <w:p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noProof/>
          <w:color w:val="000000"/>
          <w:sz w:val="22"/>
          <w:szCs w:val="22"/>
          <w:lang w:val="es-EC" w:eastAsia="es-EC"/>
        </w:rPr>
        <w:drawing>
          <wp:inline distT="0" distB="0" distL="0" distR="0" wp14:anchorId="1161C273" wp14:editId="3E5FF89E">
            <wp:extent cx="5396230" cy="28441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6230" cy="2844165"/>
                    </a:xfrm>
                    <a:prstGeom prst="rect">
                      <a:avLst/>
                    </a:prstGeom>
                  </pic:spPr>
                </pic:pic>
              </a:graphicData>
            </a:graphic>
          </wp:inline>
        </w:drawing>
      </w:r>
    </w:p>
    <w:p w14:paraId="6CABB180" w14:textId="1D589DCC" w:rsidR="00261F6B" w:rsidRPr="00B24A80" w:rsidRDefault="00261F6B" w:rsidP="00CA24CF">
      <w:pPr>
        <w:pStyle w:val="Prrafodelista"/>
        <w:numPr>
          <w:ilvl w:val="0"/>
          <w:numId w:val="103"/>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Explanación: Área de Terreno Ocupada por la construcción del camino</w:t>
      </w:r>
      <w:r w:rsidR="007C0D81" w:rsidRPr="00B24A80">
        <w:rPr>
          <w:rFonts w:asciiTheme="majorHAnsi" w:eastAsia="Calibri" w:hAnsiTheme="majorHAnsi" w:cstheme="majorHAnsi"/>
          <w:color w:val="000000"/>
          <w:szCs w:val="22"/>
        </w:rPr>
        <w:t>.</w:t>
      </w:r>
    </w:p>
    <w:p w14:paraId="7F2347CA" w14:textId="06CD1B19" w:rsidR="007C0D81" w:rsidRPr="00B24A80" w:rsidRDefault="007C0D81" w:rsidP="00CA24CF">
      <w:pPr>
        <w:pStyle w:val="Prrafodelista"/>
        <w:numPr>
          <w:ilvl w:val="0"/>
          <w:numId w:val="103"/>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Derecho de Vía: Para vías de dos carriles tendrá una longitud de 25 m y para vías de cuatro carriles tendrá una longitud de 50 m medidos a partir del eje de la vía.</w:t>
      </w:r>
    </w:p>
    <w:p w14:paraId="6961BCD1" w14:textId="713F3926" w:rsidR="007C0D81" w:rsidRPr="00B24A80" w:rsidRDefault="007C0D81" w:rsidP="00CA24CF">
      <w:pPr>
        <w:pStyle w:val="Prrafodelista"/>
        <w:numPr>
          <w:ilvl w:val="0"/>
          <w:numId w:val="103"/>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Zona de servidumbre: tendrá una longitud de 5 m en las vías de dos carriles y 8 m en las vías de cuatro carriles, medidos desde el pie del talud, relleno o desde el borde superior del corte según sea el caso, y estará ubicado dentro de la zona del derecho de vía, </w:t>
      </w:r>
      <w:r w:rsidR="001B36AB">
        <w:rPr>
          <w:rFonts w:asciiTheme="majorHAnsi" w:eastAsia="Calibri" w:hAnsiTheme="majorHAnsi" w:cstheme="majorHAnsi"/>
          <w:color w:val="000000"/>
          <w:szCs w:val="22"/>
        </w:rPr>
        <w:t>m</w:t>
      </w:r>
      <w:r w:rsidRPr="00B24A80">
        <w:rPr>
          <w:rFonts w:asciiTheme="majorHAnsi" w:eastAsia="Calibri" w:hAnsiTheme="majorHAnsi" w:cstheme="majorHAnsi"/>
          <w:color w:val="000000"/>
          <w:szCs w:val="22"/>
        </w:rPr>
        <w:t>arcando el limite a partir del cual se ubicarán cualquier tipo de servicio público.</w:t>
      </w:r>
    </w:p>
    <w:p w14:paraId="38D6A64A" w14:textId="5FBFC5DC" w:rsidR="007C0D81" w:rsidRPr="00B24A80" w:rsidRDefault="007C0D81" w:rsidP="00CA24CF">
      <w:pPr>
        <w:pStyle w:val="Prrafodelista"/>
        <w:numPr>
          <w:ilvl w:val="0"/>
          <w:numId w:val="103"/>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Línea de edificación: Esta zona de seguridad se establecerá en una longitud de 5m a partir del fin del derecho de vía.</w:t>
      </w:r>
    </w:p>
    <w:p w14:paraId="59D0E861" w14:textId="77777777" w:rsidR="007C0D81" w:rsidRPr="00B24A80" w:rsidRDefault="007C0D81" w:rsidP="002F1280">
      <w:p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p>
    <w:p w14:paraId="67F94AD9" w14:textId="76959A09" w:rsidR="002F1280" w:rsidRPr="00B24A80" w:rsidRDefault="00D956FB" w:rsidP="002F1280">
      <w:p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(Lo señalado acorde a lo establecido en la sección 5.901  La Faja afectada o derecho de </w:t>
      </w:r>
      <w:r w:rsidR="004A1CAB" w:rsidRPr="00B24A80">
        <w:rPr>
          <w:rFonts w:asciiTheme="majorHAnsi" w:eastAsia="Calibri" w:hAnsiTheme="majorHAnsi" w:cstheme="majorHAnsi"/>
          <w:color w:val="000000"/>
          <w:sz w:val="22"/>
          <w:szCs w:val="22"/>
        </w:rPr>
        <w:t>vía</w:t>
      </w:r>
      <w:r w:rsidRPr="00B24A80">
        <w:rPr>
          <w:rFonts w:asciiTheme="majorHAnsi" w:eastAsia="Calibri" w:hAnsiTheme="majorHAnsi" w:cstheme="majorHAnsi"/>
          <w:color w:val="000000"/>
          <w:sz w:val="22"/>
          <w:szCs w:val="22"/>
        </w:rPr>
        <w:t>, de la Norma Ecuatoriana vial NEVI-12-MTOP volumen 5.)</w:t>
      </w:r>
    </w:p>
    <w:p w14:paraId="31C08598" w14:textId="77777777" w:rsidR="002F1280" w:rsidRPr="00B24A80" w:rsidRDefault="002F1280" w:rsidP="002F1280">
      <w:p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p>
    <w:p w14:paraId="5DFAF191" w14:textId="1898A184" w:rsidR="00DC27E8" w:rsidRPr="00DC0D49" w:rsidRDefault="007F5505" w:rsidP="00DC0D49">
      <w:pPr>
        <w:pStyle w:val="Prrafodelista"/>
        <w:numPr>
          <w:ilvl w:val="1"/>
          <w:numId w:val="3"/>
        </w:numPr>
        <w:pBdr>
          <w:top w:val="nil"/>
          <w:left w:val="nil"/>
          <w:bottom w:val="nil"/>
          <w:right w:val="nil"/>
          <w:between w:val="nil"/>
        </w:pBdr>
        <w:spacing w:line="276" w:lineRule="auto"/>
        <w:ind w:right="42"/>
        <w:rPr>
          <w:rFonts w:asciiTheme="majorHAnsi" w:eastAsia="Calibri" w:hAnsiTheme="majorHAnsi" w:cstheme="majorHAnsi"/>
          <w:color w:val="000000"/>
          <w:szCs w:val="22"/>
        </w:rPr>
      </w:pPr>
      <w:r w:rsidRPr="00DC0D49">
        <w:rPr>
          <w:rFonts w:asciiTheme="majorHAnsi" w:eastAsia="Calibri" w:hAnsiTheme="majorHAnsi" w:cstheme="majorHAnsi"/>
          <w:color w:val="000000"/>
          <w:szCs w:val="22"/>
        </w:rPr>
        <w:t xml:space="preserve">Para el caso de plantas de agua potable, </w:t>
      </w:r>
      <w:r w:rsidR="00AB2D04">
        <w:rPr>
          <w:rFonts w:asciiTheme="majorHAnsi" w:eastAsia="Calibri" w:hAnsiTheme="majorHAnsi" w:cstheme="majorHAnsi"/>
          <w:color w:val="000000"/>
          <w:szCs w:val="22"/>
        </w:rPr>
        <w:t>doce</w:t>
      </w:r>
      <w:r w:rsidRPr="00DC0D49">
        <w:rPr>
          <w:rFonts w:asciiTheme="majorHAnsi" w:eastAsia="Calibri" w:hAnsiTheme="majorHAnsi" w:cstheme="majorHAnsi"/>
          <w:color w:val="000000"/>
          <w:szCs w:val="22"/>
        </w:rPr>
        <w:t xml:space="preserve"> metros desde el borde de sus instalaciones.</w:t>
      </w:r>
    </w:p>
    <w:p w14:paraId="7F122063" w14:textId="20852515" w:rsidR="00DC27E8" w:rsidRPr="00B24A80" w:rsidRDefault="007F5505" w:rsidP="00DC0D49">
      <w:pPr>
        <w:numPr>
          <w:ilvl w:val="1"/>
          <w:numId w:val="3"/>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Para el caso de plantas de procesamientos de desechos, lagunas de oxidación y rellenos sanitarios, </w:t>
      </w:r>
      <w:r w:rsidR="00241251" w:rsidRPr="003F571F">
        <w:rPr>
          <w:rFonts w:asciiTheme="majorHAnsi" w:eastAsia="Calibri" w:hAnsiTheme="majorHAnsi" w:cstheme="majorHAnsi"/>
          <w:sz w:val="22"/>
          <w:szCs w:val="22"/>
        </w:rPr>
        <w:t>quinientos</w:t>
      </w:r>
      <w:r w:rsidRPr="003F571F">
        <w:rPr>
          <w:rFonts w:asciiTheme="majorHAnsi" w:eastAsia="Calibri" w:hAnsiTheme="majorHAnsi" w:cstheme="majorHAnsi"/>
          <w:sz w:val="22"/>
          <w:szCs w:val="22"/>
        </w:rPr>
        <w:t xml:space="preserve"> </w:t>
      </w:r>
      <w:r w:rsidRPr="00B24A80">
        <w:rPr>
          <w:rFonts w:asciiTheme="majorHAnsi" w:eastAsia="Calibri" w:hAnsiTheme="majorHAnsi" w:cstheme="majorHAnsi"/>
          <w:color w:val="000000"/>
          <w:sz w:val="22"/>
          <w:szCs w:val="22"/>
        </w:rPr>
        <w:t>metros desde el borde sus instalaciones.</w:t>
      </w:r>
    </w:p>
    <w:p w14:paraId="06FA72B2" w14:textId="404AA59C" w:rsidR="00DC27E8" w:rsidRPr="00B24A80" w:rsidRDefault="007F5505" w:rsidP="00DC0D49">
      <w:pPr>
        <w:numPr>
          <w:ilvl w:val="1"/>
          <w:numId w:val="3"/>
        </w:numPr>
        <w:pBdr>
          <w:top w:val="nil"/>
          <w:left w:val="nil"/>
          <w:bottom w:val="nil"/>
          <w:right w:val="nil"/>
          <w:between w:val="nil"/>
        </w:pBdr>
        <w:spacing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Para el caso de</w:t>
      </w:r>
      <w:r w:rsidR="0049508A">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tuberías matriz de agua potable</w:t>
      </w:r>
      <w:r w:rsidR="00C95D3A">
        <w:rPr>
          <w:rFonts w:asciiTheme="majorHAnsi" w:eastAsia="Calibri" w:hAnsiTheme="majorHAnsi" w:cstheme="majorHAnsi"/>
          <w:color w:val="000000"/>
          <w:sz w:val="22"/>
          <w:szCs w:val="22"/>
        </w:rPr>
        <w:t xml:space="preserve"> en </w:t>
      </w:r>
      <w:r w:rsidR="003D2BE6">
        <w:rPr>
          <w:rFonts w:asciiTheme="majorHAnsi" w:eastAsia="Calibri" w:hAnsiTheme="majorHAnsi" w:cstheme="majorHAnsi"/>
          <w:color w:val="000000"/>
          <w:sz w:val="22"/>
          <w:szCs w:val="22"/>
        </w:rPr>
        <w:t>áreas</w:t>
      </w:r>
      <w:r w:rsidR="00C95D3A">
        <w:rPr>
          <w:rFonts w:asciiTheme="majorHAnsi" w:eastAsia="Calibri" w:hAnsiTheme="majorHAnsi" w:cstheme="majorHAnsi"/>
          <w:color w:val="000000"/>
          <w:sz w:val="22"/>
          <w:szCs w:val="22"/>
        </w:rPr>
        <w:t xml:space="preserve"> no consolidadas</w:t>
      </w:r>
      <w:r w:rsidRPr="00B24A80">
        <w:rPr>
          <w:rFonts w:asciiTheme="majorHAnsi" w:eastAsia="Calibri" w:hAnsiTheme="majorHAnsi" w:cstheme="majorHAnsi"/>
          <w:color w:val="000000"/>
          <w:sz w:val="22"/>
          <w:szCs w:val="22"/>
        </w:rPr>
        <w:t>, diez metros a cada lado.</w:t>
      </w:r>
    </w:p>
    <w:p w14:paraId="1EB344F2" w14:textId="77777777" w:rsidR="0045623F" w:rsidRPr="00B24A80" w:rsidRDefault="007F5505" w:rsidP="00DC0D49">
      <w:pPr>
        <w:numPr>
          <w:ilvl w:val="1"/>
          <w:numId w:val="3"/>
        </w:numPr>
        <w:pBdr>
          <w:top w:val="nil"/>
          <w:left w:val="nil"/>
          <w:bottom w:val="nil"/>
          <w:right w:val="nil"/>
          <w:between w:val="nil"/>
        </w:pBd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Para el caso de oleoductos, quince metros a cada lado.</w:t>
      </w:r>
    </w:p>
    <w:p w14:paraId="1FD2BB88" w14:textId="2F0F5A95" w:rsidR="006B597E" w:rsidRPr="00427D35" w:rsidRDefault="00427D35" w:rsidP="006B597E">
      <w:pPr>
        <w:pStyle w:val="Prrafodelista"/>
        <w:widowControl/>
        <w:tabs>
          <w:tab w:val="left" w:pos="851"/>
        </w:tabs>
        <w:spacing w:after="240" w:line="276" w:lineRule="auto"/>
        <w:ind w:left="0" w:right="-100"/>
        <w:rPr>
          <w:rFonts w:asciiTheme="majorHAnsi" w:eastAsia="Calibri" w:hAnsiTheme="majorHAnsi" w:cstheme="majorHAnsi"/>
          <w:szCs w:val="22"/>
        </w:rPr>
      </w:pPr>
      <w:r w:rsidRPr="00427D35">
        <w:rPr>
          <w:rFonts w:asciiTheme="majorHAnsi" w:eastAsia="Calibri" w:hAnsiTheme="majorHAnsi" w:cstheme="majorHAnsi"/>
          <w:szCs w:val="22"/>
        </w:rPr>
        <w:t>A más de las franj</w:t>
      </w:r>
      <w:r w:rsidR="0070736C">
        <w:rPr>
          <w:rFonts w:asciiTheme="majorHAnsi" w:eastAsia="Calibri" w:hAnsiTheme="majorHAnsi" w:cstheme="majorHAnsi"/>
          <w:szCs w:val="22"/>
        </w:rPr>
        <w:t>a</w:t>
      </w:r>
      <w:r w:rsidRPr="00427D35">
        <w:rPr>
          <w:rFonts w:asciiTheme="majorHAnsi" w:eastAsia="Calibri" w:hAnsiTheme="majorHAnsi" w:cstheme="majorHAnsi"/>
          <w:szCs w:val="22"/>
        </w:rPr>
        <w:t xml:space="preserve">s de protección establecidas en el presente </w:t>
      </w:r>
      <w:r w:rsidR="00744CD7" w:rsidRPr="00427D35">
        <w:rPr>
          <w:rFonts w:asciiTheme="majorHAnsi" w:eastAsia="Calibri" w:hAnsiTheme="majorHAnsi" w:cstheme="majorHAnsi"/>
          <w:szCs w:val="22"/>
        </w:rPr>
        <w:t>artículo</w:t>
      </w:r>
      <w:r w:rsidRPr="00427D35">
        <w:rPr>
          <w:rFonts w:asciiTheme="majorHAnsi" w:eastAsia="Calibri" w:hAnsiTheme="majorHAnsi" w:cstheme="majorHAnsi"/>
          <w:szCs w:val="22"/>
        </w:rPr>
        <w:t xml:space="preserve"> se tendrá en consideración los diferentes tipo de franjas de protección </w:t>
      </w:r>
      <w:r>
        <w:rPr>
          <w:rFonts w:asciiTheme="majorHAnsi" w:eastAsia="Calibri" w:hAnsiTheme="majorHAnsi" w:cstheme="majorHAnsi"/>
          <w:szCs w:val="22"/>
        </w:rPr>
        <w:t>estipuladas en la presente ordenanza.</w:t>
      </w:r>
    </w:p>
    <w:p w14:paraId="1DA6C489" w14:textId="678D4BE1" w:rsidR="00DC27E8" w:rsidRPr="00B24A80" w:rsidRDefault="00EB5C24" w:rsidP="00EB5C24">
      <w:pPr>
        <w:pStyle w:val="Ttulo4"/>
        <w:rPr>
          <w:rFonts w:cstheme="majorHAnsi"/>
          <w:sz w:val="22"/>
          <w:szCs w:val="22"/>
        </w:rPr>
      </w:pPr>
      <w:bookmarkStart w:id="279" w:name="_heading=h.279ka65" w:colFirst="0" w:colLast="0"/>
      <w:bookmarkStart w:id="280" w:name="_Toc81085671"/>
      <w:bookmarkStart w:id="281" w:name="_Toc181374111"/>
      <w:bookmarkEnd w:id="279"/>
      <w:r w:rsidRPr="00B24A80">
        <w:rPr>
          <w:rFonts w:cstheme="majorHAnsi"/>
          <w:sz w:val="22"/>
          <w:szCs w:val="22"/>
        </w:rPr>
        <w:lastRenderedPageBreak/>
        <w:t>SECCIÓN</w:t>
      </w:r>
      <w:r w:rsidR="007F5505" w:rsidRPr="00B24A80">
        <w:rPr>
          <w:rFonts w:cstheme="majorHAnsi"/>
          <w:sz w:val="22"/>
          <w:szCs w:val="22"/>
        </w:rPr>
        <w:t xml:space="preserve"> </w:t>
      </w:r>
      <w:r w:rsidR="00FB15A3" w:rsidRPr="00B24A80">
        <w:rPr>
          <w:rFonts w:cstheme="majorHAnsi"/>
          <w:sz w:val="22"/>
          <w:szCs w:val="22"/>
        </w:rPr>
        <w:t>I</w:t>
      </w:r>
      <w:r w:rsidR="007F5505" w:rsidRPr="00B24A80">
        <w:rPr>
          <w:rFonts w:cstheme="majorHAnsi"/>
          <w:sz w:val="22"/>
          <w:szCs w:val="22"/>
        </w:rPr>
        <w:t>V</w:t>
      </w:r>
      <w:bookmarkStart w:id="282" w:name="_heading=h.meukdy" w:colFirst="0" w:colLast="0"/>
      <w:bookmarkEnd w:id="282"/>
      <w:r w:rsidRPr="00B24A80">
        <w:rPr>
          <w:rFonts w:cstheme="majorHAnsi"/>
          <w:sz w:val="22"/>
          <w:szCs w:val="22"/>
        </w:rPr>
        <w:br/>
      </w:r>
      <w:r w:rsidR="007F5505" w:rsidRPr="00B24A80">
        <w:rPr>
          <w:rFonts w:cstheme="majorHAnsi"/>
          <w:sz w:val="22"/>
          <w:szCs w:val="22"/>
        </w:rPr>
        <w:t>De la publicidad estática y antenas de comunicación</w:t>
      </w:r>
      <w:bookmarkEnd w:id="280"/>
      <w:bookmarkEnd w:id="281"/>
    </w:p>
    <w:p w14:paraId="21CE8414" w14:textId="463559D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Las personas que ejerzan profesión, arte o industria, los dueños de tiendas almacenes, bodegas, fábricas, etc., donde se produzcan o vendan artículos de cualquier clase y en general, todos los que, de modo permanente o temporal, estén dedicados a la producción, compra o venta destinados al consumo público, podrán colocar en parte visible y adosada a la pared los rótulos en que se anuncien la clase de actividad, profesión arte o negocio previa autorización de</w:t>
      </w:r>
      <w:r w:rsidR="00E4294D">
        <w:rPr>
          <w:rFonts w:asciiTheme="majorHAnsi" w:eastAsia="Calibri" w:hAnsiTheme="majorHAnsi" w:cstheme="majorHAnsi"/>
          <w:color w:val="000000"/>
          <w:szCs w:val="22"/>
        </w:rPr>
        <w:t>l GAD Municipal</w:t>
      </w:r>
      <w:r w:rsidRPr="00B24A80">
        <w:rPr>
          <w:rFonts w:asciiTheme="majorHAnsi" w:eastAsia="Calibri" w:hAnsiTheme="majorHAnsi" w:cstheme="majorHAnsi"/>
          <w:color w:val="000000"/>
          <w:szCs w:val="22"/>
        </w:rPr>
        <w:t>. No se permitirá por ningún motivo rótulos o anuncios que sobresalgan al plano vertical de las paredes</w:t>
      </w:r>
      <w:r w:rsidR="007B06AD">
        <w:rPr>
          <w:rFonts w:asciiTheme="majorHAnsi" w:eastAsia="Calibri" w:hAnsiTheme="majorHAnsi" w:cstheme="majorHAnsi"/>
          <w:color w:val="000000"/>
          <w:szCs w:val="22"/>
        </w:rPr>
        <w:t>.</w:t>
      </w:r>
    </w:p>
    <w:p w14:paraId="54F947AD" w14:textId="7EE3E911" w:rsidR="0052452C"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Colocación de Rótulos. -</w:t>
      </w:r>
      <w:r w:rsidRPr="00B24A80">
        <w:rPr>
          <w:rFonts w:asciiTheme="majorHAnsi" w:eastAsia="Calibri" w:hAnsiTheme="majorHAnsi" w:cstheme="majorHAnsi"/>
          <w:color w:val="000000"/>
          <w:szCs w:val="22"/>
        </w:rPr>
        <w:t xml:space="preserve"> Para la colocación de rótulos, se solicitará la autorización a </w:t>
      </w:r>
      <w:r w:rsidR="0052452C" w:rsidRPr="00B24A80">
        <w:rPr>
          <w:rFonts w:asciiTheme="majorHAnsi" w:eastAsia="Calibri" w:hAnsiTheme="majorHAnsi" w:cstheme="majorHAnsi"/>
          <w:color w:val="000000"/>
          <w:szCs w:val="22"/>
        </w:rPr>
        <w:t xml:space="preserve">la </w:t>
      </w:r>
      <w:r w:rsidR="00D01697" w:rsidRPr="00B24A80">
        <w:rPr>
          <w:rFonts w:asciiTheme="majorHAnsi" w:eastAsia="Calibri" w:hAnsiTheme="majorHAnsi" w:cstheme="majorHAnsi"/>
          <w:color w:val="000000"/>
          <w:szCs w:val="22"/>
        </w:rPr>
        <w:t>Dirección de Gestión Planificación</w:t>
      </w:r>
      <w:r w:rsidRPr="00B24A80">
        <w:rPr>
          <w:rFonts w:asciiTheme="majorHAnsi" w:eastAsia="Calibri" w:hAnsiTheme="majorHAnsi" w:cstheme="majorHAnsi"/>
          <w:color w:val="000000"/>
          <w:szCs w:val="22"/>
        </w:rPr>
        <w:t xml:space="preserve">, que deberán precautelar que guarden concordancia con la fachada y el entorno y sumados tendrán una dimensión que no sobrepase el 5 % del área de llenos </w:t>
      </w:r>
      <w:r w:rsidR="0052452C" w:rsidRPr="00B24A80">
        <w:rPr>
          <w:rFonts w:asciiTheme="majorHAnsi" w:eastAsia="Calibri" w:hAnsiTheme="majorHAnsi" w:cstheme="majorHAnsi"/>
          <w:color w:val="000000"/>
          <w:szCs w:val="22"/>
        </w:rPr>
        <w:t>de la fachada de la edificación, así mismo estas no deberán generar barreras arquitectónicas, su colocación será paralela a la fachada a instalar, se prohíbe la colocación perpendicular a</w:t>
      </w:r>
      <w:r w:rsidR="00CC33C6">
        <w:rPr>
          <w:rFonts w:asciiTheme="majorHAnsi" w:eastAsia="Calibri" w:hAnsiTheme="majorHAnsi" w:cstheme="majorHAnsi"/>
          <w:color w:val="000000"/>
          <w:szCs w:val="22"/>
        </w:rPr>
        <w:t xml:space="preserve"> </w:t>
      </w:r>
      <w:r w:rsidR="0052452C" w:rsidRPr="00B24A80">
        <w:rPr>
          <w:rFonts w:asciiTheme="majorHAnsi" w:eastAsia="Calibri" w:hAnsiTheme="majorHAnsi" w:cstheme="majorHAnsi"/>
          <w:color w:val="000000"/>
          <w:szCs w:val="22"/>
        </w:rPr>
        <w:t>la fachada de inmuebles.</w:t>
      </w:r>
    </w:p>
    <w:p w14:paraId="657B2211" w14:textId="77777777" w:rsidR="00D659D5" w:rsidRPr="00B24A80" w:rsidRDefault="00D659D5" w:rsidP="00D659D5">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448365F1" w14:textId="14599E0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Vallas publicitarias. -</w:t>
      </w:r>
      <w:r w:rsidRPr="00B24A80">
        <w:rPr>
          <w:rFonts w:asciiTheme="majorHAnsi" w:eastAsia="Calibri" w:hAnsiTheme="majorHAnsi" w:cstheme="majorHAnsi"/>
          <w:color w:val="000000"/>
          <w:szCs w:val="22"/>
        </w:rPr>
        <w:t xml:space="preserve"> La </w:t>
      </w:r>
      <w:r w:rsidR="006E0959" w:rsidRPr="00B24A80">
        <w:rPr>
          <w:rFonts w:asciiTheme="majorHAnsi" w:eastAsia="Calibri" w:hAnsiTheme="majorHAnsi" w:cstheme="majorHAnsi"/>
          <w:color w:val="000000"/>
          <w:szCs w:val="22"/>
        </w:rPr>
        <w:t xml:space="preserve">Dirección de Gestión </w:t>
      </w:r>
      <w:r w:rsidR="004A5F24">
        <w:rPr>
          <w:rFonts w:asciiTheme="majorHAnsi" w:eastAsia="Calibri" w:hAnsiTheme="majorHAnsi" w:cstheme="majorHAnsi"/>
          <w:color w:val="000000"/>
          <w:szCs w:val="22"/>
        </w:rPr>
        <w:t xml:space="preserve">de </w:t>
      </w:r>
      <w:r w:rsidR="006E0959" w:rsidRPr="00B24A80">
        <w:rPr>
          <w:rFonts w:asciiTheme="majorHAnsi" w:eastAsia="Calibri" w:hAnsiTheme="majorHAnsi" w:cstheme="majorHAnsi"/>
          <w:color w:val="000000"/>
          <w:szCs w:val="22"/>
        </w:rPr>
        <w:t xml:space="preserve">Planificación y Ordenamiento Territorial </w:t>
      </w:r>
      <w:r w:rsidRPr="00B24A80">
        <w:rPr>
          <w:rFonts w:asciiTheme="majorHAnsi" w:eastAsia="Calibri" w:hAnsiTheme="majorHAnsi" w:cstheme="majorHAnsi"/>
          <w:color w:val="000000"/>
          <w:szCs w:val="22"/>
        </w:rPr>
        <w:t xml:space="preserve">del GAD Municipal de </w:t>
      </w:r>
      <w:r w:rsidR="00E30701" w:rsidRPr="00B24A80">
        <w:rPr>
          <w:rFonts w:asciiTheme="majorHAnsi" w:eastAsia="Arial" w:hAnsiTheme="majorHAnsi" w:cstheme="majorHAnsi"/>
          <w:color w:val="25282C"/>
          <w:szCs w:val="22"/>
        </w:rPr>
        <w:t>La Joya de los Sachas</w:t>
      </w:r>
      <w:r w:rsidRPr="00B24A80">
        <w:rPr>
          <w:rFonts w:asciiTheme="majorHAnsi" w:eastAsia="Calibri" w:hAnsiTheme="majorHAnsi" w:cstheme="majorHAnsi"/>
          <w:color w:val="000000"/>
          <w:szCs w:val="22"/>
        </w:rPr>
        <w:t xml:space="preserve"> establecerá los lugares donde es posible la instalación de publicidad estática sin que afecte el entorno y cause contaminación</w:t>
      </w:r>
      <w:r w:rsidR="0052452C" w:rsidRPr="00B24A80">
        <w:rPr>
          <w:rFonts w:asciiTheme="majorHAnsi" w:eastAsia="Calibri" w:hAnsiTheme="majorHAnsi" w:cstheme="majorHAnsi"/>
          <w:color w:val="000000"/>
          <w:szCs w:val="22"/>
        </w:rPr>
        <w:t xml:space="preserve"> visual.</w:t>
      </w:r>
    </w:p>
    <w:p w14:paraId="7B194E7E" w14:textId="77777777" w:rsidR="00D659D5" w:rsidRPr="00B24A80" w:rsidRDefault="00D659D5" w:rsidP="00D659D5">
      <w:pPr>
        <w:pStyle w:val="Prrafodelista"/>
        <w:rPr>
          <w:rFonts w:asciiTheme="majorHAnsi" w:eastAsia="Calibri" w:hAnsiTheme="majorHAnsi" w:cstheme="majorHAnsi"/>
          <w:color w:val="000000"/>
          <w:szCs w:val="22"/>
        </w:rPr>
      </w:pPr>
    </w:p>
    <w:p w14:paraId="227D1E17" w14:textId="77777777" w:rsidR="00D659D5" w:rsidRPr="00B24A80" w:rsidRDefault="00D659D5" w:rsidP="00D659D5">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7FEAB832" w14:textId="27662FD2" w:rsidR="00DC27E8" w:rsidRPr="001948C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FF0000"/>
          <w:szCs w:val="22"/>
        </w:rPr>
      </w:pPr>
      <w:r w:rsidRPr="00B24A80">
        <w:rPr>
          <w:rFonts w:asciiTheme="majorHAnsi" w:eastAsia="Calibri" w:hAnsiTheme="majorHAnsi" w:cstheme="majorHAnsi"/>
          <w:color w:val="000000"/>
          <w:szCs w:val="22"/>
        </w:rPr>
        <w:t xml:space="preserve">El interesado sea persona natural o jurídica deberá obtener una certificación de la </w:t>
      </w:r>
      <w:r w:rsidR="006E0959" w:rsidRPr="00B24A80">
        <w:rPr>
          <w:rFonts w:asciiTheme="majorHAnsi" w:eastAsia="Calibri" w:hAnsiTheme="majorHAnsi" w:cstheme="majorHAnsi"/>
          <w:color w:val="000000"/>
          <w:szCs w:val="22"/>
        </w:rPr>
        <w:t xml:space="preserve">Dirección de Gestión </w:t>
      </w:r>
      <w:r w:rsidR="004A5F24">
        <w:rPr>
          <w:rFonts w:asciiTheme="majorHAnsi" w:eastAsia="Calibri" w:hAnsiTheme="majorHAnsi" w:cstheme="majorHAnsi"/>
          <w:color w:val="000000"/>
          <w:szCs w:val="22"/>
        </w:rPr>
        <w:t xml:space="preserve">de </w:t>
      </w:r>
      <w:r w:rsidR="006E0959" w:rsidRPr="00B24A80">
        <w:rPr>
          <w:rFonts w:asciiTheme="majorHAnsi" w:eastAsia="Calibri" w:hAnsiTheme="majorHAnsi" w:cstheme="majorHAnsi"/>
          <w:color w:val="000000"/>
          <w:szCs w:val="22"/>
        </w:rPr>
        <w:t xml:space="preserve">Planificación y Ordenamiento Territorial </w:t>
      </w:r>
      <w:r w:rsidRPr="00B24A80">
        <w:rPr>
          <w:rFonts w:asciiTheme="majorHAnsi" w:eastAsia="Calibri" w:hAnsiTheme="majorHAnsi" w:cstheme="majorHAnsi"/>
          <w:color w:val="000000"/>
          <w:szCs w:val="22"/>
        </w:rPr>
        <w:t>previa aprobación de la valla publicitaria, para lo cual presentará el proyecto explicativo con dimensiones, ubicación y estudio del entorno</w:t>
      </w:r>
      <w:r w:rsidR="004A5F24">
        <w:rPr>
          <w:rFonts w:asciiTheme="majorHAnsi" w:eastAsia="Calibri" w:hAnsiTheme="majorHAnsi" w:cstheme="majorHAnsi"/>
          <w:color w:val="000000"/>
          <w:szCs w:val="22"/>
        </w:rPr>
        <w:t>, l</w:t>
      </w:r>
      <w:r w:rsidRPr="00B24A80">
        <w:rPr>
          <w:rFonts w:asciiTheme="majorHAnsi" w:eastAsia="Calibri" w:hAnsiTheme="majorHAnsi" w:cstheme="majorHAnsi"/>
          <w:color w:val="000000"/>
          <w:szCs w:val="22"/>
        </w:rPr>
        <w:t>uego cancelará la correspondiente tasa de uso de la vía pública</w:t>
      </w:r>
      <w:r w:rsidR="001948C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w:t>
      </w:r>
    </w:p>
    <w:p w14:paraId="4D006656" w14:textId="77777777" w:rsidR="00D659D5" w:rsidRPr="00B24A80" w:rsidRDefault="00D659D5" w:rsidP="00D659D5">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6AA95AB6" w14:textId="48B281C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Para el caso de las vallas de 18 m2 o más, esas deberán tener una distancia mínima entre valla publicitaria de 800 metros; además se establecerán las dimensiones y características constructivas de ella de tal forma que la altura mínima de la base inferior de la publicidad sea de 6.50 metros.</w:t>
      </w:r>
    </w:p>
    <w:p w14:paraId="4CD423B6" w14:textId="77777777" w:rsidR="00D659D5" w:rsidRPr="00B24A80" w:rsidRDefault="00D659D5" w:rsidP="00D659D5">
      <w:pPr>
        <w:pStyle w:val="Prrafodelista"/>
        <w:rPr>
          <w:rFonts w:asciiTheme="majorHAnsi" w:eastAsia="Calibri" w:hAnsiTheme="majorHAnsi" w:cstheme="majorHAnsi"/>
          <w:color w:val="000000"/>
          <w:szCs w:val="22"/>
        </w:rPr>
      </w:pPr>
    </w:p>
    <w:p w14:paraId="032AC94E" w14:textId="77777777" w:rsidR="00D659D5" w:rsidRPr="00B24A80" w:rsidRDefault="00D659D5" w:rsidP="00D659D5">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7E09DE64" w14:textId="0114497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Las vallas publicitarias alentarán el conocimiento de mensajes positivos, no podrán contener publicidad que atente contra el bienestar y pudor de los habitantes, menos aún atentatorios contra los principios, valores, promoción de la violencia e inequidad de género; así como no se podrá incluir publicidad de bebidas alcohólicas y cigarrillos, y todo tipo de propaganda de orden político y religioso.</w:t>
      </w:r>
    </w:p>
    <w:p w14:paraId="0252D716" w14:textId="77777777" w:rsidR="00D659D5" w:rsidRPr="00B24A80" w:rsidRDefault="00D659D5" w:rsidP="00D659D5">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BA5A035" w14:textId="742FE7B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El permiso para la colocación de vallas publicitarias es de un año renovable y para el pago se establece el siguiente monto.</w:t>
      </w:r>
    </w:p>
    <w:p w14:paraId="7BFFF115" w14:textId="443D2A59" w:rsidR="00DC27E8" w:rsidRPr="002B6493" w:rsidRDefault="007F5505">
      <w:pPr>
        <w:spacing w:after="240" w:line="276" w:lineRule="auto"/>
        <w:ind w:right="42"/>
        <w:rPr>
          <w:rFonts w:asciiTheme="majorHAnsi" w:eastAsia="Calibri" w:hAnsiTheme="majorHAnsi" w:cstheme="majorHAnsi"/>
          <w:color w:val="FF0000"/>
          <w:sz w:val="22"/>
          <w:szCs w:val="22"/>
        </w:rPr>
      </w:pPr>
      <w:r w:rsidRPr="00B24A80">
        <w:rPr>
          <w:rFonts w:asciiTheme="majorHAnsi" w:eastAsia="Calibri" w:hAnsiTheme="majorHAnsi" w:cstheme="majorHAnsi"/>
          <w:color w:val="000000"/>
          <w:sz w:val="22"/>
          <w:szCs w:val="22"/>
        </w:rPr>
        <w:t xml:space="preserve">Se toma como base el </w:t>
      </w:r>
      <w:r w:rsidR="00341B86">
        <w:rPr>
          <w:rFonts w:asciiTheme="majorHAnsi" w:eastAsia="Calibri" w:hAnsiTheme="majorHAnsi" w:cstheme="majorHAnsi"/>
          <w:color w:val="000000"/>
          <w:sz w:val="22"/>
          <w:szCs w:val="22"/>
        </w:rPr>
        <w:t>10</w:t>
      </w:r>
      <w:r w:rsidR="001860E2">
        <w:rPr>
          <w:rFonts w:asciiTheme="majorHAnsi" w:eastAsia="Calibri" w:hAnsiTheme="majorHAnsi" w:cstheme="majorHAnsi"/>
          <w:color w:val="000000"/>
          <w:sz w:val="22"/>
          <w:szCs w:val="22"/>
        </w:rPr>
        <w:t xml:space="preserve">% </w:t>
      </w:r>
      <w:r w:rsidR="001860E2" w:rsidRPr="00B24A80">
        <w:rPr>
          <w:rFonts w:asciiTheme="majorHAnsi" w:eastAsia="Calibri" w:hAnsiTheme="majorHAnsi" w:cstheme="majorHAnsi"/>
          <w:color w:val="000000"/>
          <w:sz w:val="22"/>
          <w:szCs w:val="22"/>
        </w:rPr>
        <w:t>de</w:t>
      </w:r>
      <w:r w:rsidRPr="009B7CD7">
        <w:rPr>
          <w:rFonts w:asciiTheme="majorHAnsi" w:eastAsia="Calibri" w:hAnsiTheme="majorHAnsi" w:cstheme="majorHAnsi"/>
          <w:sz w:val="22"/>
          <w:szCs w:val="22"/>
        </w:rPr>
        <w:t xml:space="preserve"> una remuneraci</w:t>
      </w:r>
      <w:r w:rsidR="002A528D" w:rsidRPr="009B7CD7">
        <w:rPr>
          <w:rFonts w:asciiTheme="majorHAnsi" w:eastAsia="Calibri" w:hAnsiTheme="majorHAnsi" w:cstheme="majorHAnsi"/>
          <w:sz w:val="22"/>
          <w:szCs w:val="22"/>
        </w:rPr>
        <w:t xml:space="preserve">ón básica unificada (RBU) </w:t>
      </w:r>
      <w:r w:rsidR="00341B86" w:rsidRPr="009B7CD7">
        <w:rPr>
          <w:rFonts w:asciiTheme="majorHAnsi" w:eastAsia="Calibri" w:hAnsiTheme="majorHAnsi" w:cstheme="majorHAnsi"/>
          <w:sz w:val="22"/>
          <w:szCs w:val="22"/>
        </w:rPr>
        <w:t xml:space="preserve">por metro cuadrado de tasa para la colocación de vallas publicitarias </w:t>
      </w:r>
      <w:r w:rsidR="002A528D" w:rsidRPr="009B7CD7">
        <w:rPr>
          <w:rFonts w:asciiTheme="majorHAnsi" w:eastAsia="Calibri" w:hAnsiTheme="majorHAnsi" w:cstheme="majorHAnsi"/>
          <w:sz w:val="22"/>
          <w:szCs w:val="22"/>
        </w:rPr>
        <w:t>por su</w:t>
      </w:r>
      <w:r w:rsidRPr="009B7CD7">
        <w:rPr>
          <w:rFonts w:asciiTheme="majorHAnsi" w:eastAsia="Calibri" w:hAnsiTheme="majorHAnsi" w:cstheme="majorHAnsi"/>
          <w:sz w:val="22"/>
          <w:szCs w:val="22"/>
        </w:rPr>
        <w:t xml:space="preserve"> </w:t>
      </w:r>
      <w:r w:rsidR="002A528D" w:rsidRPr="009B7CD7">
        <w:rPr>
          <w:rFonts w:asciiTheme="majorHAnsi" w:eastAsia="Calibri" w:hAnsiTheme="majorHAnsi" w:cstheme="majorHAnsi"/>
          <w:sz w:val="22"/>
          <w:szCs w:val="22"/>
        </w:rPr>
        <w:t>colocación</w:t>
      </w:r>
      <w:r w:rsidR="00341B86" w:rsidRPr="009B7CD7">
        <w:rPr>
          <w:rFonts w:asciiTheme="majorHAnsi" w:eastAsia="Calibri" w:hAnsiTheme="majorHAnsi" w:cstheme="majorHAnsi"/>
          <w:sz w:val="22"/>
          <w:szCs w:val="22"/>
        </w:rPr>
        <w:t>.</w:t>
      </w:r>
    </w:p>
    <w:p w14:paraId="24D0BF0C" w14:textId="7777777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Para el permiso de colocación de paletas publicitarias, la tasa correspondiente será igual al valor de la base de las vallas publicitarias, y la distancia entre paleta y paleta no será menor a 100 m.</w:t>
      </w:r>
    </w:p>
    <w:p w14:paraId="773DF21E" w14:textId="40CE5EB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Para renovar el permiso de vallas y paletas publicitarias la </w:t>
      </w:r>
      <w:r w:rsidR="006E0959" w:rsidRPr="00B24A80">
        <w:rPr>
          <w:rFonts w:asciiTheme="majorHAnsi" w:eastAsia="Calibri" w:hAnsiTheme="majorHAnsi" w:cstheme="majorHAnsi"/>
          <w:color w:val="000000"/>
          <w:sz w:val="22"/>
          <w:szCs w:val="22"/>
        </w:rPr>
        <w:t xml:space="preserve">Dirección de Gestión Planificación y Ordenamiento Territorial </w:t>
      </w:r>
      <w:r w:rsidRPr="00B24A80">
        <w:rPr>
          <w:rFonts w:asciiTheme="majorHAnsi" w:eastAsia="Calibri" w:hAnsiTheme="majorHAnsi" w:cstheme="majorHAnsi"/>
          <w:color w:val="000000"/>
          <w:sz w:val="22"/>
          <w:szCs w:val="22"/>
        </w:rPr>
        <w:t xml:space="preserve">verificará si la empresa publicitaria cumplió con los requisitos exigidos </w:t>
      </w:r>
      <w:r w:rsidR="00B618A5">
        <w:rPr>
          <w:rFonts w:asciiTheme="majorHAnsi" w:eastAsia="Calibri" w:hAnsiTheme="majorHAnsi" w:cstheme="majorHAnsi"/>
          <w:color w:val="000000"/>
          <w:sz w:val="22"/>
          <w:szCs w:val="22"/>
        </w:rPr>
        <w:t>en la presente Ordenanza.</w:t>
      </w:r>
    </w:p>
    <w:p w14:paraId="71AA06BD" w14:textId="1B9575E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Los pagos se realizarán en la Unidad de Recaudación del GAD Municipal de </w:t>
      </w:r>
      <w:r w:rsidR="00E30701" w:rsidRPr="00B24A80">
        <w:rPr>
          <w:rFonts w:asciiTheme="majorHAnsi" w:eastAsia="Arial" w:hAnsiTheme="majorHAnsi" w:cstheme="majorHAnsi"/>
          <w:color w:val="25282C"/>
          <w:szCs w:val="22"/>
        </w:rPr>
        <w:t>La Joya de los Sachas</w:t>
      </w:r>
      <w:r w:rsidR="000367E3"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y con la carta de pago se obtendrá el permiso correspondiente por parte de la </w:t>
      </w:r>
      <w:r w:rsidR="00D01697" w:rsidRPr="00B24A80">
        <w:rPr>
          <w:rFonts w:asciiTheme="majorHAnsi" w:eastAsia="Calibri" w:hAnsiTheme="majorHAnsi" w:cstheme="majorHAnsi"/>
          <w:color w:val="000000"/>
          <w:szCs w:val="22"/>
        </w:rPr>
        <w:t>Dirección de Gestión Planificación</w:t>
      </w:r>
      <w:r w:rsidR="00D659D5" w:rsidRPr="00B24A80">
        <w:rPr>
          <w:rFonts w:asciiTheme="majorHAnsi" w:eastAsia="Calibri" w:hAnsiTheme="majorHAnsi" w:cstheme="majorHAnsi"/>
          <w:color w:val="000000"/>
          <w:szCs w:val="22"/>
        </w:rPr>
        <w:t xml:space="preserve"> y Ordenamiento Territorial</w:t>
      </w:r>
      <w:r w:rsidRPr="00B24A80">
        <w:rPr>
          <w:rFonts w:asciiTheme="majorHAnsi" w:eastAsia="Calibri" w:hAnsiTheme="majorHAnsi" w:cstheme="majorHAnsi"/>
          <w:color w:val="000000"/>
          <w:szCs w:val="22"/>
        </w:rPr>
        <w:t>.</w:t>
      </w:r>
    </w:p>
    <w:p w14:paraId="2EB65362" w14:textId="77777777" w:rsidR="00D659D5" w:rsidRPr="00B24A80" w:rsidRDefault="00D659D5" w:rsidP="00D659D5">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A970C9D" w14:textId="04EC4C2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Las empresas que coloquen las </w:t>
      </w:r>
      <w:r w:rsidR="00171DD8" w:rsidRPr="00B24A80">
        <w:rPr>
          <w:rFonts w:asciiTheme="majorHAnsi" w:eastAsia="Calibri" w:hAnsiTheme="majorHAnsi" w:cstheme="majorHAnsi"/>
          <w:color w:val="000000"/>
          <w:szCs w:val="22"/>
        </w:rPr>
        <w:t>vallas</w:t>
      </w:r>
      <w:r w:rsidRPr="00B24A80">
        <w:rPr>
          <w:rFonts w:asciiTheme="majorHAnsi" w:eastAsia="Calibri" w:hAnsiTheme="majorHAnsi" w:cstheme="majorHAnsi"/>
          <w:color w:val="000000"/>
          <w:szCs w:val="22"/>
        </w:rPr>
        <w:t xml:space="preserve"> serán las responsables del mantenimiento permanente de las mismas, caso contrario serán retiradas por el GAD Municipal de </w:t>
      </w:r>
      <w:r w:rsidR="00E30701" w:rsidRPr="00B24A80">
        <w:rPr>
          <w:rFonts w:asciiTheme="majorHAnsi" w:eastAsia="Arial" w:hAnsiTheme="majorHAnsi" w:cstheme="majorHAnsi"/>
          <w:color w:val="25282C"/>
          <w:szCs w:val="22"/>
        </w:rPr>
        <w:t>La Joya de los Sachas</w:t>
      </w:r>
      <w:r w:rsidR="00916ED1"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sin perjuicio de la sanción legal y el retiro será a costa del infractor.</w:t>
      </w:r>
    </w:p>
    <w:p w14:paraId="6FCBCE2E" w14:textId="7777777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Para el caso de las empresas y/o propietarios de las vallas y paletas publicitarias que las coloquen sin la autorización municipal, o aquellas que incumplan con el mantenimiento de las mismas, estarán sujetos a una multa de cinco salarios básicos unificados.</w:t>
      </w:r>
    </w:p>
    <w:p w14:paraId="78B1B12B" w14:textId="47AD99C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empresa que coloque las vallas publicitarias deberá presentar al GAD Municipal de </w:t>
      </w:r>
      <w:r w:rsidR="00E30701" w:rsidRPr="00B24A80">
        <w:rPr>
          <w:rFonts w:asciiTheme="majorHAnsi" w:eastAsia="Arial" w:hAnsiTheme="majorHAnsi" w:cstheme="majorHAnsi"/>
          <w:color w:val="25282C"/>
          <w:szCs w:val="22"/>
        </w:rPr>
        <w:t>La Joya de los Sachas</w:t>
      </w:r>
      <w:r w:rsidR="00916ED1"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un</w:t>
      </w:r>
      <w:r w:rsidR="009D09D1">
        <w:rPr>
          <w:rFonts w:asciiTheme="majorHAnsi" w:eastAsia="Calibri" w:hAnsiTheme="majorHAnsi" w:cstheme="majorHAnsi"/>
          <w:color w:val="000000"/>
          <w:szCs w:val="22"/>
        </w:rPr>
        <w:t xml:space="preserve">a póliza </w:t>
      </w:r>
      <w:r w:rsidRPr="00B24A80">
        <w:rPr>
          <w:rFonts w:asciiTheme="majorHAnsi" w:eastAsia="Calibri" w:hAnsiTheme="majorHAnsi" w:cstheme="majorHAnsi"/>
          <w:color w:val="000000"/>
          <w:szCs w:val="22"/>
        </w:rPr>
        <w:t>por daños a terceros, el mismo que será renovable por cada actualización de los permisos.</w:t>
      </w:r>
    </w:p>
    <w:p w14:paraId="5ECD91B2" w14:textId="77777777" w:rsidR="004A1CAB" w:rsidRPr="00B24A80" w:rsidRDefault="004A1CAB" w:rsidP="004A1CAB">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0C51E031" w14:textId="4E08B517" w:rsidR="00AE53FA" w:rsidRPr="00463333" w:rsidRDefault="0052452C" w:rsidP="00AE53FA">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szCs w:val="22"/>
        </w:rPr>
        <w:t>Se prohíbe toda manifestación de publicidad y propaganda gráfica en el cantón en lo referente a:</w:t>
      </w:r>
    </w:p>
    <w:p w14:paraId="05D6A410" w14:textId="77777777" w:rsidR="00AE53FA" w:rsidRPr="00B24A80" w:rsidRDefault="00AE53FA" w:rsidP="00CA24CF">
      <w:pPr>
        <w:pStyle w:val="Prrafodelista"/>
        <w:numPr>
          <w:ilvl w:val="0"/>
          <w:numId w:val="81"/>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Las fachadas o cubiertas de los edificios declarados monumentos históricos o artísticos de carácter nacional o local, así como en sus inmediaciones, cuando por su emplazamiento, la publicidad oculte o impida, total o parcialmente, la contemplación directa de cualquiera de estos monumentos</w:t>
      </w:r>
    </w:p>
    <w:p w14:paraId="1DF212FC" w14:textId="77777777" w:rsidR="00AE53FA" w:rsidRPr="00B24A80" w:rsidRDefault="00AE53FA" w:rsidP="00CA24CF">
      <w:pPr>
        <w:pStyle w:val="Prrafodelista"/>
        <w:numPr>
          <w:ilvl w:val="0"/>
          <w:numId w:val="81"/>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En todo ámbito de los espacios naturales protegidos, o parques naturales de interés nacional; </w:t>
      </w:r>
    </w:p>
    <w:p w14:paraId="18386279" w14:textId="77777777" w:rsidR="00AE53FA" w:rsidRPr="00B24A80" w:rsidRDefault="00AE53FA" w:rsidP="00CA24CF">
      <w:pPr>
        <w:pStyle w:val="Prrafodelista"/>
        <w:numPr>
          <w:ilvl w:val="0"/>
          <w:numId w:val="81"/>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En los postes y estructuras de transmisión de energía eléctrica, alumbrado público y telefonía; </w:t>
      </w:r>
    </w:p>
    <w:p w14:paraId="462CBBAC" w14:textId="77777777" w:rsidR="00AE53FA" w:rsidRPr="00B24A80" w:rsidRDefault="00AE53FA" w:rsidP="00CA24CF">
      <w:pPr>
        <w:pStyle w:val="Prrafodelista"/>
        <w:numPr>
          <w:ilvl w:val="0"/>
          <w:numId w:val="81"/>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En pancartas de cualquier material atravesadas en las vías públicas; y, </w:t>
      </w:r>
    </w:p>
    <w:p w14:paraId="3B86E33B" w14:textId="3FCECD52" w:rsidR="00013A3A" w:rsidRDefault="00AE53FA" w:rsidP="00131DE3">
      <w:pPr>
        <w:pStyle w:val="Prrafodelista"/>
        <w:numPr>
          <w:ilvl w:val="0"/>
          <w:numId w:val="81"/>
        </w:numPr>
        <w:spacing w:after="240" w:line="276" w:lineRule="auto"/>
        <w:ind w:right="42"/>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En una distancia menor a veinte metros de puentes, redondeles e intersecciones de vías</w:t>
      </w:r>
      <w:r w:rsidR="004A1CAB" w:rsidRPr="00B24A80">
        <w:rPr>
          <w:rFonts w:asciiTheme="majorHAnsi" w:eastAsia="Calibri" w:hAnsiTheme="majorHAnsi" w:cstheme="majorHAnsi"/>
          <w:color w:val="000000"/>
          <w:szCs w:val="22"/>
        </w:rPr>
        <w:t>.</w:t>
      </w:r>
    </w:p>
    <w:p w14:paraId="672DE9CC" w14:textId="77777777" w:rsidR="00131DE3" w:rsidRPr="00131DE3" w:rsidRDefault="00131DE3" w:rsidP="00131DE3">
      <w:pPr>
        <w:spacing w:after="240" w:line="276" w:lineRule="auto"/>
        <w:ind w:right="42"/>
        <w:rPr>
          <w:rFonts w:asciiTheme="majorHAnsi" w:eastAsia="Calibri" w:hAnsiTheme="majorHAnsi" w:cstheme="majorHAnsi"/>
          <w:color w:val="000000"/>
          <w:szCs w:val="22"/>
        </w:rPr>
      </w:pPr>
    </w:p>
    <w:p w14:paraId="61AF4248" w14:textId="42F534B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empresa y/o propietario del inmueble que permita la instalación de las antenas de comunicación, serán los responsables del mantenimiento permanente de las mismas, caso contrario serán retiradas por el GAD Municipal de </w:t>
      </w:r>
      <w:r w:rsidR="00E30701" w:rsidRPr="00B24A80">
        <w:rPr>
          <w:rFonts w:asciiTheme="majorHAnsi" w:eastAsia="Arial" w:hAnsiTheme="majorHAnsi" w:cstheme="majorHAnsi"/>
          <w:color w:val="25282C"/>
          <w:szCs w:val="22"/>
        </w:rPr>
        <w:t>La Joya de los Sachas</w:t>
      </w:r>
      <w:r w:rsidRPr="00B24A80">
        <w:rPr>
          <w:rFonts w:asciiTheme="majorHAnsi" w:eastAsia="Calibri" w:hAnsiTheme="majorHAnsi" w:cstheme="majorHAnsi"/>
          <w:color w:val="000000"/>
          <w:szCs w:val="22"/>
        </w:rPr>
        <w:t>, sin perjuicio de la sanción legal y retiro a costa del infractor. El diseño de las antenas deberá ser de tal manera de que se integre a su entorno arquitectónico.</w:t>
      </w:r>
    </w:p>
    <w:p w14:paraId="53F40A79" w14:textId="77777777" w:rsidR="00013A3A" w:rsidRPr="00B24A80" w:rsidRDefault="00013A3A" w:rsidP="00013A3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B8EC08A" w14:textId="67BF1EE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El permiso para la colocación de Antenas de Comunicación es de un año renovable, y para el pago de la tasa respectiva se establece el siguiente monto:</w:t>
      </w:r>
    </w:p>
    <w:p w14:paraId="4E7D35B0" w14:textId="78988F70"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 toma como base el valor</w:t>
      </w:r>
      <w:r w:rsidR="00780FA7">
        <w:rPr>
          <w:rFonts w:asciiTheme="majorHAnsi" w:eastAsia="Calibri" w:hAnsiTheme="majorHAnsi" w:cstheme="majorHAnsi"/>
          <w:color w:val="000000"/>
          <w:sz w:val="22"/>
          <w:szCs w:val="22"/>
        </w:rPr>
        <w:t xml:space="preserve"> establecido en la Ordenanza</w:t>
      </w:r>
      <w:r w:rsidRPr="00B24A80">
        <w:rPr>
          <w:rFonts w:asciiTheme="majorHAnsi" w:eastAsia="Calibri" w:hAnsiTheme="majorHAnsi" w:cstheme="majorHAnsi"/>
          <w:color w:val="000000"/>
          <w:sz w:val="22"/>
          <w:szCs w:val="22"/>
        </w:rPr>
        <w:t>, por ocupación del suelo, en antenas de uno a diez metros de altura, y por cada metro de incremento en su altura se pagará 15% de un RBU.</w:t>
      </w:r>
    </w:p>
    <w:p w14:paraId="34818CAF" w14:textId="060790FE"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Para renovar el permiso de la instalación de antenas de comunicación la </w:t>
      </w:r>
      <w:r w:rsidR="006E0959" w:rsidRPr="00B24A80">
        <w:rPr>
          <w:rFonts w:asciiTheme="majorHAnsi" w:eastAsia="Calibri" w:hAnsiTheme="majorHAnsi" w:cstheme="majorHAnsi"/>
          <w:color w:val="000000"/>
          <w:sz w:val="22"/>
          <w:szCs w:val="22"/>
        </w:rPr>
        <w:t xml:space="preserve">Dirección de Gestión Planificación y Ordenamiento Territorial </w:t>
      </w:r>
      <w:r w:rsidRPr="00B24A80">
        <w:rPr>
          <w:rFonts w:asciiTheme="majorHAnsi" w:eastAsia="Calibri" w:hAnsiTheme="majorHAnsi" w:cstheme="majorHAnsi"/>
          <w:color w:val="000000"/>
          <w:sz w:val="22"/>
          <w:szCs w:val="22"/>
        </w:rPr>
        <w:t>verificará si la empresa cumplió con los requisitos exigidos en el permiso.</w:t>
      </w:r>
    </w:p>
    <w:p w14:paraId="68FEF70E" w14:textId="77777777"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caso de incumplimiento a la presente disposición la persona natural o jurídica pagará el doble del valor del previsto en el párrafo anterior de este artículo observando lo dispuesto para el diseño arquitectónico de las mismas, caso contrario se procederá al retiro inmediato.</w:t>
      </w:r>
    </w:p>
    <w:p w14:paraId="1858B9FE" w14:textId="632BBC3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Prohíbase la colocación de antenas de comunicación en el sector que comprende el polígono de Conservación, salvo el caso de instituciones públicas o privadas que justifiquen su instalación para servicio colectivo.</w:t>
      </w:r>
    </w:p>
    <w:p w14:paraId="2AF8AD5B" w14:textId="7616F9BC" w:rsidR="00DC27E8" w:rsidRPr="00B24A80" w:rsidRDefault="007F5505" w:rsidP="00EB5C24">
      <w:pPr>
        <w:pStyle w:val="Ttulo4"/>
        <w:rPr>
          <w:rFonts w:cstheme="majorHAnsi"/>
          <w:sz w:val="22"/>
          <w:szCs w:val="22"/>
        </w:rPr>
      </w:pPr>
      <w:bookmarkStart w:id="283" w:name="_heading=h.36ei31r" w:colFirst="0" w:colLast="0"/>
      <w:bookmarkStart w:id="284" w:name="_Toc81085672"/>
      <w:bookmarkStart w:id="285" w:name="_Toc181374112"/>
      <w:bookmarkEnd w:id="283"/>
      <w:r w:rsidRPr="00B24A80">
        <w:rPr>
          <w:rFonts w:cstheme="majorHAnsi"/>
          <w:sz w:val="22"/>
          <w:szCs w:val="22"/>
        </w:rPr>
        <w:t xml:space="preserve">SECCIÓN </w:t>
      </w:r>
      <w:r w:rsidR="00AE53FA" w:rsidRPr="00B24A80">
        <w:rPr>
          <w:rFonts w:cstheme="majorHAnsi"/>
          <w:sz w:val="22"/>
          <w:szCs w:val="22"/>
        </w:rPr>
        <w:t>V</w:t>
      </w:r>
      <w:r w:rsidR="00EB5C24" w:rsidRPr="00B24A80">
        <w:rPr>
          <w:rFonts w:cstheme="majorHAnsi"/>
          <w:sz w:val="22"/>
          <w:szCs w:val="22"/>
        </w:rPr>
        <w:br/>
      </w:r>
      <w:r w:rsidRPr="00B24A80">
        <w:rPr>
          <w:rFonts w:cstheme="majorHAnsi"/>
          <w:sz w:val="22"/>
          <w:szCs w:val="22"/>
        </w:rPr>
        <w:t>Inclusión para la accesibilidad universal</w:t>
      </w:r>
      <w:bookmarkEnd w:id="284"/>
      <w:bookmarkEnd w:id="285"/>
    </w:p>
    <w:p w14:paraId="5E936390" w14:textId="07EEBDB9" w:rsidR="00E41555" w:rsidRPr="00E41555" w:rsidRDefault="007F5505" w:rsidP="00E41555">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lang w:val="es-EC"/>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La construcción, ampliación y reforma de los edificios de propiedad pública o privada destinados a un uso que implique la concurrencia de público, así como la planificación y urbanización de las vías públicas, parques y jardines de iguales características, se efectuarán en forma tal que resulten accesibles y utilizables para las personas con capacidades especiales.</w:t>
      </w:r>
      <w:r w:rsidR="00AE2833" w:rsidRPr="00B24A80">
        <w:rPr>
          <w:rFonts w:asciiTheme="majorHAnsi" w:eastAsia="Calibri" w:hAnsiTheme="majorHAnsi" w:cstheme="majorHAnsi"/>
          <w:color w:val="000000"/>
          <w:szCs w:val="22"/>
        </w:rPr>
        <w:t xml:space="preserve"> Para lo cual se debe considerar la aplicación de las normas NTE INEN sobre accesibilidad al medio físico vigentes,</w:t>
      </w:r>
      <w:r w:rsidR="00AE2833" w:rsidRPr="00B24A80">
        <w:rPr>
          <w:rFonts w:asciiTheme="majorHAnsi" w:hAnsiTheme="majorHAnsi" w:cstheme="majorHAnsi"/>
          <w:szCs w:val="22"/>
        </w:rPr>
        <w:t xml:space="preserve"> </w:t>
      </w:r>
      <w:r w:rsidR="00AE2833" w:rsidRPr="00B24A80">
        <w:rPr>
          <w:rFonts w:asciiTheme="majorHAnsi" w:eastAsia="Calibri" w:hAnsiTheme="majorHAnsi" w:cstheme="majorHAnsi"/>
          <w:color w:val="000000"/>
          <w:szCs w:val="22"/>
        </w:rPr>
        <w:t>NEC-HS-AU.</w:t>
      </w:r>
    </w:p>
    <w:p w14:paraId="7694DADB" w14:textId="77777777" w:rsidR="00E41555" w:rsidRPr="00E41555" w:rsidRDefault="00E41555" w:rsidP="00E41555">
      <w:pPr>
        <w:pStyle w:val="Prrafodelista"/>
        <w:widowControl/>
        <w:tabs>
          <w:tab w:val="left" w:pos="851"/>
        </w:tabs>
        <w:spacing w:after="240" w:line="276" w:lineRule="auto"/>
        <w:ind w:left="0" w:right="-100"/>
        <w:rPr>
          <w:rFonts w:asciiTheme="majorHAnsi" w:eastAsia="Calibri" w:hAnsiTheme="majorHAnsi" w:cstheme="majorHAnsi"/>
          <w:color w:val="000000"/>
          <w:szCs w:val="22"/>
          <w:lang w:val="es-EC"/>
        </w:rPr>
      </w:pPr>
    </w:p>
    <w:p w14:paraId="73951959" w14:textId="6790846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Para la planificación, modificación y construcción de toda obra pública y privada que preste servicios de atención al público, la </w:t>
      </w:r>
      <w:r w:rsidR="006E0959" w:rsidRPr="00B24A80">
        <w:rPr>
          <w:rFonts w:asciiTheme="majorHAnsi" w:eastAsia="Calibri" w:hAnsiTheme="majorHAnsi" w:cstheme="majorHAnsi"/>
          <w:color w:val="000000"/>
          <w:szCs w:val="22"/>
        </w:rPr>
        <w:t>Dirección de Gestión Planificación y Ordenamiento Territorial</w:t>
      </w:r>
      <w:r w:rsidR="00DE76BE">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exigirá que los diseños definitivos guarden estricta relación con las normas </w:t>
      </w:r>
      <w:r w:rsidR="006F5330">
        <w:rPr>
          <w:rFonts w:asciiTheme="majorHAnsi" w:eastAsia="Calibri" w:hAnsiTheme="majorHAnsi" w:cstheme="majorHAnsi"/>
          <w:color w:val="000000"/>
          <w:szCs w:val="22"/>
        </w:rPr>
        <w:t xml:space="preserve">NTE </w:t>
      </w:r>
      <w:r w:rsidRPr="00B24A80">
        <w:rPr>
          <w:rFonts w:asciiTheme="majorHAnsi" w:eastAsia="Calibri" w:hAnsiTheme="majorHAnsi" w:cstheme="majorHAnsi"/>
          <w:color w:val="000000"/>
          <w:szCs w:val="22"/>
        </w:rPr>
        <w:t>INEN</w:t>
      </w:r>
      <w:r w:rsidR="00541EA2">
        <w:rPr>
          <w:rFonts w:asciiTheme="majorHAnsi" w:eastAsia="Calibri" w:hAnsiTheme="majorHAnsi" w:cstheme="majorHAnsi"/>
          <w:color w:val="000000"/>
          <w:szCs w:val="22"/>
        </w:rPr>
        <w:t xml:space="preserve"> </w:t>
      </w:r>
      <w:r w:rsidR="00842BFC">
        <w:rPr>
          <w:rFonts w:asciiTheme="majorHAnsi" w:eastAsia="Calibri" w:hAnsiTheme="majorHAnsi" w:cstheme="majorHAnsi"/>
          <w:color w:val="000000"/>
          <w:szCs w:val="22"/>
        </w:rPr>
        <w:t>Accesibilidad a las personas al medio físico</w:t>
      </w:r>
      <w:r w:rsidRPr="00B24A80">
        <w:rPr>
          <w:rFonts w:asciiTheme="majorHAnsi" w:eastAsia="Calibri" w:hAnsiTheme="majorHAnsi" w:cstheme="majorHAnsi"/>
          <w:color w:val="000000"/>
          <w:szCs w:val="22"/>
        </w:rPr>
        <w:t xml:space="preserve"> y aquellas normas que en esta materia se dictaren a futuro.</w:t>
      </w:r>
    </w:p>
    <w:p w14:paraId="39FA6D42" w14:textId="7BB53715" w:rsidR="00DC27E8" w:rsidRPr="00B24A80" w:rsidRDefault="007F5505">
      <w:pPr>
        <w:spacing w:after="240" w:line="276" w:lineRule="auto"/>
        <w:ind w:right="42"/>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El GAD Municipal de </w:t>
      </w:r>
      <w:r w:rsidR="00E30701" w:rsidRPr="00B24A80">
        <w:rPr>
          <w:rFonts w:asciiTheme="majorHAnsi" w:eastAsia="Arial" w:hAnsiTheme="majorHAnsi" w:cstheme="majorHAnsi"/>
          <w:color w:val="25282C"/>
          <w:sz w:val="22"/>
          <w:szCs w:val="22"/>
        </w:rPr>
        <w:t>La Joya de los Sachas</w:t>
      </w:r>
      <w:r w:rsidR="00916ED1"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negará la autorización de ejecución de los trabajos y de haberse iniciado ordenará su paralización hasta tanto no se subsane la omisión, de persistirse en el desacato dispondrá la suspensión definitiva de la obra e impondrá una sanción entre tres y cinco salarios básicos unificados.</w:t>
      </w:r>
    </w:p>
    <w:p w14:paraId="573E559E" w14:textId="58EEEE7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El GAD Municipal de </w:t>
      </w:r>
      <w:r w:rsidR="00E30701" w:rsidRPr="00B24A80">
        <w:rPr>
          <w:rFonts w:asciiTheme="majorHAnsi" w:eastAsia="Arial" w:hAnsiTheme="majorHAnsi" w:cstheme="majorHAnsi"/>
          <w:color w:val="25282C"/>
          <w:szCs w:val="22"/>
        </w:rPr>
        <w:t>La Joya de los Sachas</w:t>
      </w:r>
      <w:r w:rsidR="00916ED1"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deberá elaborar proyectos municipales con la finalidad de adaptar las vías públicas, parques y jardines, que sean accesibles a l</w:t>
      </w:r>
      <w:r w:rsidR="007F6D7E">
        <w:rPr>
          <w:rFonts w:asciiTheme="majorHAnsi" w:eastAsia="Calibri" w:hAnsiTheme="majorHAnsi" w:cstheme="majorHAnsi"/>
          <w:color w:val="000000"/>
          <w:szCs w:val="22"/>
        </w:rPr>
        <w:t>as personas con movilidad reducida</w:t>
      </w:r>
      <w:r w:rsidRPr="00B24A80">
        <w:rPr>
          <w:rFonts w:asciiTheme="majorHAnsi" w:eastAsia="Calibri" w:hAnsiTheme="majorHAnsi" w:cstheme="majorHAnsi"/>
          <w:color w:val="000000"/>
          <w:szCs w:val="22"/>
        </w:rPr>
        <w:t xml:space="preserve">, para el efecto de construcciones, remodelaciones o reformas. La </w:t>
      </w:r>
      <w:r w:rsidR="006E0959" w:rsidRPr="00B24A80">
        <w:rPr>
          <w:rFonts w:asciiTheme="majorHAnsi" w:eastAsia="Calibri" w:hAnsiTheme="majorHAnsi" w:cstheme="majorHAnsi"/>
          <w:color w:val="000000"/>
          <w:szCs w:val="22"/>
        </w:rPr>
        <w:t xml:space="preserve">Dirección de Gestión Planificación y Ordenamiento Territorial </w:t>
      </w:r>
      <w:r w:rsidRPr="00B24A80">
        <w:rPr>
          <w:rFonts w:asciiTheme="majorHAnsi" w:eastAsia="Calibri" w:hAnsiTheme="majorHAnsi" w:cstheme="majorHAnsi"/>
          <w:color w:val="000000"/>
          <w:szCs w:val="22"/>
        </w:rPr>
        <w:t>proporcionará normas técnicas que se requieran.</w:t>
      </w:r>
    </w:p>
    <w:p w14:paraId="0D6763AC" w14:textId="7F07EAB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lastRenderedPageBreak/>
        <w:t xml:space="preserve">Las instalaciones edificios, calles y jardines existentes y cuya vida útil fuese considerable, serán adaptados gradualmente de acuerdo con el orden de prioridades que la </w:t>
      </w:r>
      <w:r w:rsidR="006E0959" w:rsidRPr="00B24A80">
        <w:rPr>
          <w:rFonts w:asciiTheme="majorHAnsi" w:eastAsia="Calibri" w:hAnsiTheme="majorHAnsi" w:cstheme="majorHAnsi"/>
          <w:color w:val="000000"/>
          <w:szCs w:val="22"/>
        </w:rPr>
        <w:t xml:space="preserve">Dirección de Gestión Planificación y Ordenamiento Territorial </w:t>
      </w:r>
      <w:r w:rsidRPr="00B24A80">
        <w:rPr>
          <w:rFonts w:asciiTheme="majorHAnsi" w:eastAsia="Calibri" w:hAnsiTheme="majorHAnsi" w:cstheme="majorHAnsi"/>
          <w:color w:val="000000"/>
          <w:szCs w:val="22"/>
        </w:rPr>
        <w:t>determine, a las reglas y condiciones previstas en las normas urbanísticas y arquitectónicas básicas a que se refiere la presente Ordenanza.</w:t>
      </w:r>
    </w:p>
    <w:p w14:paraId="5FB9D06C" w14:textId="0D148EFB" w:rsidR="00DC27E8" w:rsidRPr="00B24A80" w:rsidRDefault="007F5505" w:rsidP="00EB5C24">
      <w:pPr>
        <w:pStyle w:val="Ttulo4"/>
        <w:rPr>
          <w:rFonts w:cstheme="majorHAnsi"/>
          <w:sz w:val="22"/>
          <w:szCs w:val="22"/>
        </w:rPr>
      </w:pPr>
      <w:bookmarkStart w:id="286" w:name="_heading=h.1ljsd9k" w:colFirst="0" w:colLast="0"/>
      <w:bookmarkStart w:id="287" w:name="_Toc81085673"/>
      <w:bookmarkStart w:id="288" w:name="_Toc181374113"/>
      <w:bookmarkEnd w:id="286"/>
      <w:r w:rsidRPr="00B24A80">
        <w:rPr>
          <w:rFonts w:cstheme="majorHAnsi"/>
          <w:sz w:val="22"/>
          <w:szCs w:val="22"/>
        </w:rPr>
        <w:t xml:space="preserve">SECCIÓN </w:t>
      </w:r>
      <w:r w:rsidR="005A5B95" w:rsidRPr="00B24A80">
        <w:rPr>
          <w:rFonts w:cstheme="majorHAnsi"/>
          <w:sz w:val="22"/>
          <w:szCs w:val="22"/>
        </w:rPr>
        <w:t>VI</w:t>
      </w:r>
      <w:bookmarkStart w:id="289" w:name="_heading=h.45jfvxd" w:colFirst="0" w:colLast="0"/>
      <w:bookmarkEnd w:id="289"/>
      <w:r w:rsidR="00EB5C24" w:rsidRPr="00B24A80">
        <w:rPr>
          <w:rFonts w:cstheme="majorHAnsi"/>
          <w:sz w:val="22"/>
          <w:szCs w:val="22"/>
        </w:rPr>
        <w:br/>
      </w:r>
      <w:r w:rsidRPr="00B24A80">
        <w:rPr>
          <w:rFonts w:cstheme="majorHAnsi"/>
          <w:sz w:val="22"/>
          <w:szCs w:val="22"/>
        </w:rPr>
        <w:t>Prevención y Protección</w:t>
      </w:r>
      <w:bookmarkEnd w:id="287"/>
      <w:bookmarkEnd w:id="288"/>
      <w:r w:rsidR="00CA5414" w:rsidRPr="00B24A80">
        <w:rPr>
          <w:rFonts w:cstheme="majorHAnsi"/>
          <w:sz w:val="22"/>
          <w:szCs w:val="22"/>
        </w:rPr>
        <w:t xml:space="preserve"> </w:t>
      </w:r>
    </w:p>
    <w:p w14:paraId="767DA1FD" w14:textId="74D5BB5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Construcciones</w:t>
      </w:r>
      <w:r w:rsidRPr="00B24A80">
        <w:rPr>
          <w:rFonts w:asciiTheme="majorHAnsi" w:eastAsia="Calibri" w:hAnsiTheme="majorHAnsi" w:cstheme="majorHAnsi"/>
          <w:b/>
          <w:color w:val="000000"/>
          <w:szCs w:val="22"/>
        </w:rPr>
        <w:t xml:space="preserve"> sismo resistentes</w:t>
      </w:r>
      <w:r w:rsidRPr="00B24A80">
        <w:rPr>
          <w:rFonts w:asciiTheme="majorHAnsi" w:eastAsia="Calibri" w:hAnsiTheme="majorHAnsi" w:cstheme="majorHAnsi"/>
          <w:color w:val="000000"/>
          <w:szCs w:val="22"/>
        </w:rPr>
        <w:t>. - Las construcciones buscarán en sus soluciones la mejor estabilidad, durabilidad, resistencia, seguridad y economía de mantenimiento de los materiales utilizados y colocados en obra.</w:t>
      </w:r>
    </w:p>
    <w:p w14:paraId="4CBC502F" w14:textId="40D30F78" w:rsidR="00DC27E8" w:rsidRPr="00B24A80" w:rsidRDefault="007F5505">
      <w:pPr>
        <w:pBdr>
          <w:top w:val="nil"/>
          <w:left w:val="nil"/>
          <w:bottom w:val="nil"/>
          <w:right w:val="nil"/>
          <w:between w:val="nil"/>
        </w:pBdr>
        <w:spacing w:before="360"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proyectos estructurales observarán las normas básicas y recomendaciones de las Normas Ecuatorianas de la Construcción (NEC), específicamente la Normativa Técnica referente a la Seguridad Estructural de las Edificaciones; elaborado por MIDUVI y la Cámara de la Industria de la Construcción y esta Normativa, debiendo además observarse lo siguiente:</w:t>
      </w:r>
    </w:p>
    <w:p w14:paraId="6F5CFCDA" w14:textId="77777777" w:rsidR="00DC27E8" w:rsidRPr="00B24A80" w:rsidRDefault="007F5505" w:rsidP="009F132D">
      <w:pPr>
        <w:numPr>
          <w:ilvl w:val="0"/>
          <w:numId w:val="37"/>
        </w:numPr>
        <w:pBdr>
          <w:top w:val="nil"/>
          <w:left w:val="nil"/>
          <w:bottom w:val="nil"/>
          <w:right w:val="nil"/>
          <w:between w:val="nil"/>
        </w:pBdr>
        <w:tabs>
          <w:tab w:val="left" w:pos="360"/>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Cuando en estos documentos no hubiere normas expresas sobre una materia específica, sobre todo relacionada con el análisis y diseño sismo resistente de estructuras, se aplicarán criterios, procedimientos y recomendaciones que estén de acuerdo con las mejores y más modernas prácticas de la ingeniería estructural a escala internacional y que se encuentren reflejadas en normas y códigos vigentes en países con características sísmicas similares a las nuestras; y,</w:t>
      </w:r>
    </w:p>
    <w:p w14:paraId="5D5D38F8" w14:textId="19435EAA" w:rsidR="00DC27E8" w:rsidRPr="00B24A80" w:rsidRDefault="007F5505" w:rsidP="009F132D">
      <w:pPr>
        <w:numPr>
          <w:ilvl w:val="0"/>
          <w:numId w:val="37"/>
        </w:numPr>
        <w:pBdr>
          <w:top w:val="nil"/>
          <w:left w:val="nil"/>
          <w:bottom w:val="nil"/>
          <w:right w:val="nil"/>
          <w:between w:val="nil"/>
        </w:pBdr>
        <w:tabs>
          <w:tab w:val="left" w:pos="360"/>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memoria técnica de análisis y diseño estructural contendrá sistemas de cálculos utilizados en el análisis, información de ingreso y salida del programa informático utilizado, métodos de cálculo empleados en el diseño estructural, especificaciones técnicas y recomendaciones.</w:t>
      </w:r>
    </w:p>
    <w:p w14:paraId="07689F1F" w14:textId="77777777" w:rsidR="00373A0B" w:rsidRDefault="00762D50" w:rsidP="009F132D">
      <w:pPr>
        <w:pStyle w:val="Prrafodelista"/>
        <w:numPr>
          <w:ilvl w:val="0"/>
          <w:numId w:val="37"/>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Las especificaciones vigentes del Instituto Americano de Construcciones de Acero (AICS), cuando se trata de estructuras metálicas.</w:t>
      </w:r>
    </w:p>
    <w:p w14:paraId="57FED04D" w14:textId="77777777" w:rsidR="00AB554F" w:rsidRPr="00B24A80" w:rsidRDefault="00AB554F" w:rsidP="00AB554F">
      <w:pPr>
        <w:pStyle w:val="Prrafodelista"/>
        <w:pBdr>
          <w:top w:val="nil"/>
          <w:left w:val="nil"/>
          <w:bottom w:val="nil"/>
          <w:right w:val="nil"/>
          <w:between w:val="nil"/>
        </w:pBdr>
        <w:spacing w:before="360" w:after="240" w:line="276" w:lineRule="auto"/>
        <w:ind w:right="-100"/>
        <w:rPr>
          <w:rFonts w:asciiTheme="majorHAnsi" w:hAnsiTheme="majorHAnsi" w:cstheme="majorHAnsi"/>
          <w:szCs w:val="22"/>
        </w:rPr>
      </w:pPr>
    </w:p>
    <w:p w14:paraId="0C2FE052" w14:textId="034A9B41" w:rsidR="00373A0B" w:rsidRPr="00B24A80" w:rsidRDefault="00373A0B" w:rsidP="009F132D">
      <w:pPr>
        <w:pStyle w:val="Prrafodelista"/>
        <w:numPr>
          <w:ilvl w:val="0"/>
          <w:numId w:val="37"/>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Se aplicarán en las edificantes las </w:t>
      </w:r>
      <w:r w:rsidRPr="00B24A80">
        <w:rPr>
          <w:rFonts w:asciiTheme="majorHAnsi" w:eastAsia="Calibri" w:hAnsiTheme="majorHAnsi" w:cstheme="majorHAnsi"/>
          <w:color w:val="000000"/>
          <w:szCs w:val="22"/>
        </w:rPr>
        <w:t>Normas ecuatorianas</w:t>
      </w:r>
      <w:r w:rsidRPr="00B24A80">
        <w:rPr>
          <w:rFonts w:asciiTheme="majorHAnsi" w:hAnsiTheme="majorHAnsi" w:cstheme="majorHAnsi"/>
          <w:szCs w:val="22"/>
        </w:rPr>
        <w:t xml:space="preserve"> de la construcción</w:t>
      </w:r>
    </w:p>
    <w:p w14:paraId="1858C901"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NEC-SE-CG: Cargas (no sísmicas)</w:t>
      </w:r>
    </w:p>
    <w:p w14:paraId="2A98BB43"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NEC-SE-DS: Peligro sísmico y requisitos de diseño sismo resistente</w:t>
      </w:r>
    </w:p>
    <w:p w14:paraId="03CC41C4"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NEC-SE-RE: Riesgo sísmico, Evaluación, Rehabilitación de estructuras </w:t>
      </w:r>
    </w:p>
    <w:p w14:paraId="18C6DC5B"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NEC-SE-GM: Geotecnia y Diseño de Cimentaciones </w:t>
      </w:r>
    </w:p>
    <w:p w14:paraId="466463B5"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 NEC-SE-HM: Estructuras de Hormigón Armado </w:t>
      </w:r>
    </w:p>
    <w:p w14:paraId="505CB46A"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 NEC-SE-AC: Estructuras de Acero </w:t>
      </w:r>
    </w:p>
    <w:p w14:paraId="102043B8"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 NEC-SE-MP: Estructuras de Mampostería Estructural </w:t>
      </w:r>
    </w:p>
    <w:p w14:paraId="69FD8A88" w14:textId="77777777"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 NEC-SE-MD: Estructuras de Madera •</w:t>
      </w:r>
    </w:p>
    <w:p w14:paraId="4225AF8E" w14:textId="47C84B4C" w:rsidR="00373A0B" w:rsidRPr="00B24A80" w:rsidRDefault="00373A0B" w:rsidP="00CA24CF">
      <w:pPr>
        <w:pStyle w:val="Prrafodelista"/>
        <w:numPr>
          <w:ilvl w:val="0"/>
          <w:numId w:val="83"/>
        </w:numPr>
        <w:pBdr>
          <w:top w:val="nil"/>
          <w:left w:val="nil"/>
          <w:bottom w:val="nil"/>
          <w:right w:val="nil"/>
          <w:between w:val="nil"/>
        </w:pBdr>
        <w:spacing w:before="360" w:after="240" w:line="276" w:lineRule="auto"/>
        <w:ind w:right="-100"/>
        <w:rPr>
          <w:rFonts w:asciiTheme="majorHAnsi" w:hAnsiTheme="majorHAnsi" w:cstheme="majorHAnsi"/>
          <w:szCs w:val="22"/>
        </w:rPr>
      </w:pPr>
      <w:r w:rsidRPr="00B24A80">
        <w:rPr>
          <w:rFonts w:asciiTheme="majorHAnsi" w:hAnsiTheme="majorHAnsi" w:cstheme="majorHAnsi"/>
          <w:szCs w:val="22"/>
        </w:rPr>
        <w:t xml:space="preserve"> NEC-SE-VIVIENDA: Viviendas de hasta 2 pisos con luces de hasta 5m</w:t>
      </w:r>
    </w:p>
    <w:p w14:paraId="489351E2" w14:textId="77777777" w:rsidR="00762D50" w:rsidRPr="00B24A80" w:rsidRDefault="00762D50" w:rsidP="00762D50">
      <w:pPr>
        <w:pBdr>
          <w:top w:val="nil"/>
          <w:left w:val="nil"/>
          <w:bottom w:val="nil"/>
          <w:right w:val="nil"/>
          <w:between w:val="nil"/>
        </w:pBdr>
        <w:tabs>
          <w:tab w:val="left" w:pos="360"/>
        </w:tabs>
        <w:spacing w:after="240" w:line="276" w:lineRule="auto"/>
        <w:ind w:left="720" w:right="-100"/>
        <w:rPr>
          <w:rFonts w:asciiTheme="majorHAnsi" w:eastAsia="Calibri" w:hAnsiTheme="majorHAnsi" w:cstheme="majorHAnsi"/>
          <w:color w:val="000000"/>
          <w:sz w:val="22"/>
          <w:szCs w:val="22"/>
        </w:rPr>
      </w:pPr>
    </w:p>
    <w:p w14:paraId="5C5F7302" w14:textId="107C41B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lastRenderedPageBreak/>
        <w:t>Protección</w:t>
      </w:r>
      <w:r w:rsidRPr="00B24A80">
        <w:rPr>
          <w:rFonts w:asciiTheme="majorHAnsi" w:eastAsia="Calibri" w:hAnsiTheme="majorHAnsi" w:cstheme="majorHAnsi"/>
          <w:b/>
          <w:color w:val="000000"/>
          <w:szCs w:val="22"/>
        </w:rPr>
        <w:t xml:space="preserve"> contra incendios.-</w:t>
      </w:r>
      <w:r w:rsidRPr="00B24A80">
        <w:rPr>
          <w:rFonts w:asciiTheme="majorHAnsi" w:eastAsia="Calibri" w:hAnsiTheme="majorHAnsi" w:cstheme="majorHAnsi"/>
          <w:color w:val="000000"/>
          <w:szCs w:val="22"/>
        </w:rPr>
        <w:t xml:space="preserve"> Todo proyecto urbano y arquitectónico incluidos los que fueren objeto de ampliación o remodelación, en una superficie mayor a la tercera parte del área construida, deberán considerar las normas especiales de protección contra incendios contemplados en la Ley de Defensa Contra Incendios</w:t>
      </w:r>
      <w:r w:rsidR="00952A36">
        <w:rPr>
          <w:rFonts w:asciiTheme="majorHAnsi" w:eastAsia="Calibri" w:hAnsiTheme="majorHAnsi" w:cstheme="majorHAnsi"/>
          <w:color w:val="000000"/>
          <w:szCs w:val="22"/>
        </w:rPr>
        <w:t xml:space="preserve"> y su Reglamento</w:t>
      </w:r>
      <w:r w:rsidRPr="00B24A80">
        <w:rPr>
          <w:rFonts w:asciiTheme="majorHAnsi" w:eastAsia="Calibri" w:hAnsiTheme="majorHAnsi" w:cstheme="majorHAnsi"/>
          <w:color w:val="000000"/>
          <w:szCs w:val="22"/>
        </w:rPr>
        <w:t>, esta Normativa y otras existentes sobre la materia, para incrementar la seguridad preventiva de los edificios y para facilitar la evacuación de personas y la extinción del incendio si llegara a producirse.</w:t>
      </w:r>
    </w:p>
    <w:p w14:paraId="329B94DA" w14:textId="009C05C3"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Después de la aprobación del proyecto y durante la construcción del edificio, el Municipio a través del Cuerpo de Bomberos realizará inspecciones para constatar el cumplimiento de las medidas de protección contra incendios. Las construcciones existentes deberán adecuarse a las normas especiales de protección contra incendios en la medida máxima que permita su tipología y su funcionamiento.</w:t>
      </w:r>
    </w:p>
    <w:p w14:paraId="3F0EA378" w14:textId="61FA38F7" w:rsidR="00DC27E8" w:rsidRPr="00B24A80" w:rsidRDefault="00EB5C24" w:rsidP="00EB5C24">
      <w:pPr>
        <w:pStyle w:val="Ttulo4"/>
        <w:rPr>
          <w:rFonts w:cstheme="majorHAnsi"/>
          <w:sz w:val="22"/>
          <w:szCs w:val="22"/>
        </w:rPr>
      </w:pPr>
      <w:bookmarkStart w:id="290" w:name="_heading=h.2koq656" w:colFirst="0" w:colLast="0"/>
      <w:bookmarkStart w:id="291" w:name="_Toc81085674"/>
      <w:bookmarkStart w:id="292" w:name="_Toc181374114"/>
      <w:bookmarkEnd w:id="290"/>
      <w:r w:rsidRPr="00B24A80">
        <w:rPr>
          <w:rFonts w:cstheme="majorHAnsi"/>
          <w:sz w:val="22"/>
          <w:szCs w:val="22"/>
        </w:rPr>
        <w:t>SECCIÓN</w:t>
      </w:r>
      <w:r w:rsidR="007F5505" w:rsidRPr="00B24A80">
        <w:rPr>
          <w:rFonts w:cstheme="majorHAnsi"/>
          <w:sz w:val="22"/>
          <w:szCs w:val="22"/>
        </w:rPr>
        <w:t xml:space="preserve"> </w:t>
      </w:r>
      <w:r w:rsidR="005A5B95" w:rsidRPr="00B24A80">
        <w:rPr>
          <w:rFonts w:cstheme="majorHAnsi"/>
          <w:sz w:val="22"/>
          <w:szCs w:val="22"/>
        </w:rPr>
        <w:t>VII</w:t>
      </w:r>
      <w:bookmarkStart w:id="293" w:name="_heading=h.zu0gcz" w:colFirst="0" w:colLast="0"/>
      <w:bookmarkEnd w:id="293"/>
      <w:r w:rsidRPr="00B24A80">
        <w:rPr>
          <w:rFonts w:cstheme="majorHAnsi"/>
          <w:sz w:val="22"/>
          <w:szCs w:val="22"/>
        </w:rPr>
        <w:br/>
      </w:r>
      <w:r w:rsidR="007F5505" w:rsidRPr="00B24A80">
        <w:rPr>
          <w:rFonts w:cstheme="majorHAnsi"/>
          <w:sz w:val="22"/>
          <w:szCs w:val="22"/>
        </w:rPr>
        <w:t>Cobertura vegetal, Fauna, Elementos Naturales y Sitios Arqueológicos</w:t>
      </w:r>
      <w:bookmarkEnd w:id="291"/>
      <w:bookmarkEnd w:id="292"/>
    </w:p>
    <w:p w14:paraId="2FA21474" w14:textId="4C0DBA8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Cobertura vegetal en áreas no ocupadas por edificios. –</w:t>
      </w:r>
      <w:r w:rsidRPr="00B24A80">
        <w:rPr>
          <w:rFonts w:asciiTheme="majorHAnsi" w:eastAsia="Calibri" w:hAnsiTheme="majorHAnsi" w:cstheme="majorHAnsi"/>
          <w:color w:val="000000"/>
          <w:szCs w:val="22"/>
        </w:rPr>
        <w:t xml:space="preserve"> Los predios no ocupados con edificación deberán tener cobertura vegetal en al menos setenta por ciento de esa área, deberá contar obligatoriamente con mantenimiento periódico. La Municipalidad, independientemente, o en acción conjunta con otras entidades articulará la gestión para la implementación de sistemas agroforestales y huertos.</w:t>
      </w:r>
    </w:p>
    <w:p w14:paraId="45B89671" w14:textId="77777777" w:rsidR="00013A3A" w:rsidRPr="00B24A80" w:rsidRDefault="00013A3A" w:rsidP="00013A3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77F76228" w14:textId="6F566A7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De los bosques, vegetación y maleza. -</w:t>
      </w:r>
      <w:r w:rsidRPr="00B24A80">
        <w:rPr>
          <w:rFonts w:asciiTheme="majorHAnsi" w:eastAsia="Calibri" w:hAnsiTheme="majorHAnsi" w:cstheme="majorHAnsi"/>
          <w:color w:val="000000"/>
          <w:szCs w:val="22"/>
        </w:rPr>
        <w:t xml:space="preserve"> La vegetación existente tanto en espacios públicos como en privados, deberá protegerse de acciones que lleven a su destrucción parcial o total. Para el caso de talas o replantaciones en el área de protección deberá solicitarse autorización al Municipio, el que, a través de la unidad administrativa correspondiente, emitirá el respectivo permiso. Se procurará el mantenimiento de la vegetación existente, así como de la reforestación con especies nativas en las áreas que para tal fin se definan.</w:t>
      </w:r>
    </w:p>
    <w:p w14:paraId="613EC565" w14:textId="77777777" w:rsidR="00013A3A" w:rsidRPr="00B24A80" w:rsidRDefault="00013A3A" w:rsidP="00013A3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687D8553" w14:textId="0AB85B9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Gestión</w:t>
      </w:r>
      <w:r w:rsidRPr="00B24A80">
        <w:rPr>
          <w:rFonts w:asciiTheme="majorHAnsi" w:eastAsia="Calibri" w:hAnsiTheme="majorHAnsi" w:cstheme="majorHAnsi"/>
          <w:b/>
          <w:color w:val="000000"/>
          <w:szCs w:val="22"/>
        </w:rPr>
        <w:t xml:space="preserve"> del paisaje. -</w:t>
      </w:r>
      <w:r w:rsidRPr="00B24A80">
        <w:rPr>
          <w:rFonts w:asciiTheme="majorHAnsi" w:eastAsia="Calibri" w:hAnsiTheme="majorHAnsi" w:cstheme="majorHAnsi"/>
          <w:color w:val="000000"/>
          <w:szCs w:val="22"/>
        </w:rPr>
        <w:t xml:space="preserve"> Cumplirán las condiciones de uso del área en que se localice cuando sea compatible con el nivel de protección asignado. Las actuaciones y medidas enunciadas velarán por el mantenimiento de los rasgos morfológicos y topográficos del suelo urbano consolidado, no consolidado y de protección.</w:t>
      </w:r>
    </w:p>
    <w:p w14:paraId="3270B777" w14:textId="77777777"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planes y proyectos de desarrollo contendrán estudios del paisaje en detalle que permitan evaluar las alternativas consideradas y las incidencias del paisaje de las actividades urbanísticas a desarrollar. Las construcciones se adecuarán al paisaje en que estuvieran situadas. La implantación de usos o actividades que por sus características puedan generar un impacto ambiental negativo, tales como canteras de áridos, desmontes, excavaciones profundas, etc., deberán realizarse de manera que se minimice su impacto sobre el paisaje, debiendo indicar los correctivos en la correspondiente solicitud de permiso.</w:t>
      </w:r>
    </w:p>
    <w:p w14:paraId="293B22CE" w14:textId="26A704F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Taludes</w:t>
      </w:r>
      <w:r w:rsidRPr="00B24A80">
        <w:rPr>
          <w:rFonts w:asciiTheme="majorHAnsi" w:eastAsia="Calibri" w:hAnsiTheme="majorHAnsi" w:cstheme="majorHAnsi"/>
          <w:b/>
          <w:color w:val="000000"/>
          <w:szCs w:val="22"/>
        </w:rPr>
        <w:t>. -</w:t>
      </w:r>
      <w:r w:rsidRPr="00B24A80">
        <w:rPr>
          <w:rFonts w:asciiTheme="majorHAnsi" w:eastAsia="Calibri" w:hAnsiTheme="majorHAnsi" w:cstheme="majorHAnsi"/>
          <w:color w:val="000000"/>
          <w:szCs w:val="22"/>
        </w:rPr>
        <w:t xml:space="preserve"> Cuando un lote límite con un talud, la franja de protección será de diez metros, en longitud horizontal medidos desde el borde superior, esta longitud podrá ser menor o no existir, cuando su pendiente sea menor a 30 grados y se demuestre su estabilidad </w:t>
      </w:r>
      <w:r w:rsidRPr="00B24A80">
        <w:rPr>
          <w:rFonts w:asciiTheme="majorHAnsi" w:eastAsia="Calibri" w:hAnsiTheme="majorHAnsi" w:cstheme="majorHAnsi"/>
          <w:color w:val="000000"/>
          <w:szCs w:val="22"/>
        </w:rPr>
        <w:lastRenderedPageBreak/>
        <w:t>presentándose los justificativos técnicos correspondientes. En caso de que el talud corresponda al corte de una vía se aplicarán los retiros de construcción y derechos de vía reglamentarios. Todos los taludes cuya altura no sea mayor a 5 m. y no requieran muros de contención deberán estar recubiertos por vegetación rastrera o matorral y su parte superior libre de humedad (cuneta de coronación).</w:t>
      </w:r>
    </w:p>
    <w:p w14:paraId="7076309A" w14:textId="77777777" w:rsidR="00013A3A" w:rsidRPr="00B24A80" w:rsidRDefault="00013A3A" w:rsidP="00013A3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CB2F2C1" w14:textId="3BCE03F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Quebradas</w:t>
      </w:r>
      <w:r w:rsidRPr="00B24A80">
        <w:rPr>
          <w:rFonts w:asciiTheme="majorHAnsi" w:eastAsia="Calibri" w:hAnsiTheme="majorHAnsi" w:cstheme="majorHAnsi"/>
          <w:b/>
          <w:color w:val="000000"/>
          <w:szCs w:val="22"/>
        </w:rPr>
        <w:t>. -</w:t>
      </w:r>
      <w:r w:rsidRPr="00B24A80">
        <w:rPr>
          <w:rFonts w:asciiTheme="majorHAnsi" w:eastAsia="Calibri" w:hAnsiTheme="majorHAnsi" w:cstheme="majorHAnsi"/>
          <w:color w:val="000000"/>
          <w:szCs w:val="22"/>
        </w:rPr>
        <w:t xml:space="preserve"> Si se trata de una quebrada, la franja mínima de protección será de 10 metros. Se constituirá obligatoriamente en vía en caso de habilitación del suelo, excepto en aquellos casos en que las condiciones físicas no lo permitan donde se considerará como retiro de construcción. Las unidades de servicios públicos tendrán libre acceso a estas franjas de protección, para su mantenimiento. Esta franja será medida, en distancia horizontal, desde el borde superior del talud y determinada en base del informe de la </w:t>
      </w:r>
      <w:r w:rsidR="00D01697" w:rsidRPr="00B24A80">
        <w:rPr>
          <w:rFonts w:asciiTheme="majorHAnsi" w:eastAsia="Calibri" w:hAnsiTheme="majorHAnsi" w:cstheme="majorHAnsi"/>
          <w:color w:val="000000"/>
          <w:szCs w:val="22"/>
        </w:rPr>
        <w:t xml:space="preserve">Dirección de </w:t>
      </w:r>
      <w:r w:rsidR="0024054F">
        <w:rPr>
          <w:rFonts w:asciiTheme="majorHAnsi" w:eastAsia="Calibri" w:hAnsiTheme="majorHAnsi" w:cstheme="majorHAnsi"/>
          <w:color w:val="000000"/>
          <w:szCs w:val="22"/>
        </w:rPr>
        <w:t>Gestión Ambient</w:t>
      </w:r>
      <w:r w:rsidR="00C079CE">
        <w:rPr>
          <w:rFonts w:asciiTheme="majorHAnsi" w:eastAsia="Calibri" w:hAnsiTheme="majorHAnsi" w:cstheme="majorHAnsi"/>
          <w:color w:val="000000"/>
          <w:szCs w:val="22"/>
        </w:rPr>
        <w:t>al</w:t>
      </w:r>
      <w:r w:rsidRPr="00B24A80">
        <w:rPr>
          <w:rFonts w:asciiTheme="majorHAnsi" w:eastAsia="Calibri" w:hAnsiTheme="majorHAnsi" w:cstheme="majorHAnsi"/>
          <w:color w:val="000000"/>
          <w:szCs w:val="22"/>
        </w:rPr>
        <w:t>, debiendo ser reajustada sobre el mínimo establecido luego de que se realicen estudios de cada quebrada, en los siguientes casos:</w:t>
      </w:r>
    </w:p>
    <w:p w14:paraId="5817BF9C" w14:textId="77777777" w:rsidR="00DC27E8" w:rsidRPr="00B24A80" w:rsidRDefault="007F5505" w:rsidP="009F132D">
      <w:pPr>
        <w:numPr>
          <w:ilvl w:val="0"/>
          <w:numId w:val="39"/>
        </w:numPr>
        <w:pBdr>
          <w:top w:val="nil"/>
          <w:left w:val="nil"/>
          <w:bottom w:val="nil"/>
          <w:right w:val="nil"/>
          <w:between w:val="nil"/>
        </w:pBdr>
        <w:tabs>
          <w:tab w:val="left" w:pos="358"/>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caso de que la pendiente tenga más de 30 grados, y sea inestable la franja de protección será de 15 m.</w:t>
      </w:r>
    </w:p>
    <w:p w14:paraId="221EBA49" w14:textId="5DA539F0" w:rsidR="00DC27E8" w:rsidRPr="00B24A80" w:rsidRDefault="007F5505" w:rsidP="009F132D">
      <w:pPr>
        <w:numPr>
          <w:ilvl w:val="0"/>
          <w:numId w:val="39"/>
        </w:numPr>
        <w:pBdr>
          <w:top w:val="nil"/>
          <w:left w:val="nil"/>
          <w:bottom w:val="nil"/>
          <w:right w:val="nil"/>
          <w:between w:val="nil"/>
        </w:pBdr>
        <w:tabs>
          <w:tab w:val="left" w:pos="358"/>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En caso de que la pendiente sea menor a 30 grados la franja</w:t>
      </w:r>
      <w:r w:rsidR="00EA3808" w:rsidRPr="00B24A80">
        <w:rPr>
          <w:rFonts w:asciiTheme="majorHAnsi" w:eastAsia="Calibri" w:hAnsiTheme="majorHAnsi" w:cstheme="majorHAnsi"/>
          <w:color w:val="000000"/>
          <w:sz w:val="22"/>
          <w:szCs w:val="22"/>
        </w:rPr>
        <w:t xml:space="preserve"> de protección será de 10 m.; </w:t>
      </w:r>
    </w:p>
    <w:p w14:paraId="26AC8C79" w14:textId="77777777" w:rsidR="00EA3808" w:rsidRPr="00B24A80" w:rsidRDefault="00EA3808" w:rsidP="00EA3808">
      <w:pPr>
        <w:pBdr>
          <w:top w:val="nil"/>
          <w:left w:val="nil"/>
          <w:bottom w:val="nil"/>
          <w:right w:val="nil"/>
          <w:between w:val="nil"/>
        </w:pBdr>
        <w:tabs>
          <w:tab w:val="left" w:pos="358"/>
        </w:tabs>
        <w:spacing w:line="276" w:lineRule="auto"/>
        <w:ind w:left="718" w:right="-100"/>
        <w:rPr>
          <w:rFonts w:asciiTheme="majorHAnsi" w:eastAsia="Calibri" w:hAnsiTheme="majorHAnsi" w:cstheme="majorHAnsi"/>
          <w:color w:val="000000"/>
          <w:sz w:val="22"/>
          <w:szCs w:val="22"/>
        </w:rPr>
      </w:pPr>
    </w:p>
    <w:p w14:paraId="3783C5BF" w14:textId="4D79D22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Fauna</w:t>
      </w:r>
      <w:r w:rsidRPr="00B24A80">
        <w:rPr>
          <w:rFonts w:asciiTheme="majorHAnsi" w:eastAsia="Calibri" w:hAnsiTheme="majorHAnsi" w:cstheme="majorHAnsi"/>
          <w:color w:val="000000"/>
          <w:szCs w:val="22"/>
        </w:rPr>
        <w:t>. - Sin perjuicio de lo establecido en la legislación vigente, en la solicitud del permiso para la realización de obras que puedan afectar la libre circulación de especies animales en libertad, en corredores o cauces naturales</w:t>
      </w:r>
      <w:r w:rsidR="003B5F5F">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deberán incluirse entre la documentación a presentar, los estudios que justifiquen la ausencia de impacto negativo sobre la fauna.</w:t>
      </w:r>
    </w:p>
    <w:p w14:paraId="2AC19685" w14:textId="77777777" w:rsidR="00013A3A" w:rsidRPr="00B24A80" w:rsidRDefault="00013A3A" w:rsidP="00013A3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545F505" w14:textId="13248A6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Aguas </w:t>
      </w:r>
      <w:r w:rsidRPr="00B24A80">
        <w:rPr>
          <w:rFonts w:asciiTheme="majorHAnsi" w:eastAsia="Calibri" w:hAnsiTheme="majorHAnsi" w:cstheme="majorHAnsi"/>
          <w:b/>
          <w:szCs w:val="22"/>
        </w:rPr>
        <w:t>subterráneas</w:t>
      </w:r>
      <w:r w:rsidRPr="00B24A80">
        <w:rPr>
          <w:rFonts w:asciiTheme="majorHAnsi" w:eastAsia="Calibri" w:hAnsiTheme="majorHAnsi" w:cstheme="majorHAnsi"/>
          <w:color w:val="000000"/>
          <w:szCs w:val="22"/>
        </w:rPr>
        <w:t>. - Se prohíbe verter, inyectar o infiltrar a las aguas subterráneas, compuestos químicos, orgánicos o fecales que, por su toxicidad, concentración o cantidad, degraden o contaminen las condiciones de esta agua. Quedan prohibidas las extracciones de aguas subterráneas no autorizadas por los organismos competentes. No se autorizarán usos o instalaciones que provoquen filtración de materias nocivas, tóxicas, insalubres o peligrosas hacia las aguas subterráneas.</w:t>
      </w:r>
    </w:p>
    <w:p w14:paraId="77D5A957" w14:textId="77777777"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Cuando el peligro potencial para éstas sea grande, como en el caso de depósitos o almacenamiento de productos fitosanitarios, químicos o hidrocarburos, lagunas de decantación, lixiviados, etc. Se deberá presentar en todos los casos un estudio de impacto ambiental, en el que se contemple específicamente la hipótesis de pérdida de fluido.</w:t>
      </w:r>
    </w:p>
    <w:p w14:paraId="5ACE575B" w14:textId="4382E525" w:rsidR="00DC27E8"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estudios de Impacto Ambiental y otras propuestas ambientales, respecto de efluentes líquidos hacia las aguas subterráneas, deberán ser presentados a la Dirección de Obras Públicas, para sus criterios técnicos. La construcción de fosas sépticas para el saneamiento de vivienda sólo podrá ser autorizada cuando se den las suficientes garantías previo estudio de que no suponen riesgo para la calidad de las aguas subterráneas.</w:t>
      </w:r>
    </w:p>
    <w:p w14:paraId="0F9DA771" w14:textId="29230D18" w:rsidR="00EA3808" w:rsidRPr="00B24A80" w:rsidRDefault="00EA3808">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 deberá sol</w:t>
      </w:r>
      <w:r w:rsidR="00171137">
        <w:rPr>
          <w:rFonts w:asciiTheme="majorHAnsi" w:eastAsia="Calibri" w:hAnsiTheme="majorHAnsi" w:cstheme="majorHAnsi"/>
          <w:color w:val="000000"/>
          <w:sz w:val="22"/>
          <w:szCs w:val="22"/>
        </w:rPr>
        <w:t>i</w:t>
      </w:r>
      <w:r w:rsidR="007E459E">
        <w:rPr>
          <w:rFonts w:asciiTheme="majorHAnsi" w:eastAsia="Calibri" w:hAnsiTheme="majorHAnsi" w:cstheme="majorHAnsi"/>
          <w:color w:val="000000"/>
          <w:sz w:val="22"/>
          <w:szCs w:val="22"/>
        </w:rPr>
        <w:t>ci</w:t>
      </w:r>
      <w:r w:rsidRPr="00B24A80">
        <w:rPr>
          <w:rFonts w:asciiTheme="majorHAnsi" w:eastAsia="Calibri" w:hAnsiTheme="majorHAnsi" w:cstheme="majorHAnsi"/>
          <w:color w:val="000000"/>
          <w:sz w:val="22"/>
          <w:szCs w:val="22"/>
        </w:rPr>
        <w:t>tarse las factibilidades respectivas aprobados por el ente recto</w:t>
      </w:r>
      <w:r w:rsidR="007E459E">
        <w:rPr>
          <w:rFonts w:asciiTheme="majorHAnsi" w:eastAsia="Calibri" w:hAnsiTheme="majorHAnsi" w:cstheme="majorHAnsi"/>
          <w:color w:val="000000"/>
          <w:sz w:val="22"/>
          <w:szCs w:val="22"/>
        </w:rPr>
        <w:t>r</w:t>
      </w:r>
      <w:r w:rsidRPr="00B24A80">
        <w:rPr>
          <w:rFonts w:asciiTheme="majorHAnsi" w:eastAsia="Calibri" w:hAnsiTheme="majorHAnsi" w:cstheme="majorHAnsi"/>
          <w:color w:val="000000"/>
          <w:sz w:val="22"/>
          <w:szCs w:val="22"/>
        </w:rPr>
        <w:t xml:space="preserve"> del </w:t>
      </w:r>
      <w:r w:rsidR="007E459E">
        <w:rPr>
          <w:rFonts w:asciiTheme="majorHAnsi" w:eastAsia="Calibri" w:hAnsiTheme="majorHAnsi" w:cstheme="majorHAnsi"/>
          <w:color w:val="000000"/>
          <w:sz w:val="22"/>
          <w:szCs w:val="22"/>
        </w:rPr>
        <w:t>A</w:t>
      </w:r>
      <w:r w:rsidRPr="00B24A80">
        <w:rPr>
          <w:rFonts w:asciiTheme="majorHAnsi" w:eastAsia="Calibri" w:hAnsiTheme="majorHAnsi" w:cstheme="majorHAnsi"/>
          <w:color w:val="000000"/>
          <w:sz w:val="22"/>
          <w:szCs w:val="22"/>
        </w:rPr>
        <w:t xml:space="preserve">mbiente y </w:t>
      </w:r>
      <w:r w:rsidR="007E459E">
        <w:rPr>
          <w:rFonts w:asciiTheme="majorHAnsi" w:eastAsia="Calibri" w:hAnsiTheme="majorHAnsi" w:cstheme="majorHAnsi"/>
          <w:color w:val="000000"/>
          <w:sz w:val="22"/>
          <w:szCs w:val="22"/>
        </w:rPr>
        <w:t>A</w:t>
      </w:r>
      <w:r w:rsidRPr="00B24A80">
        <w:rPr>
          <w:rFonts w:asciiTheme="majorHAnsi" w:eastAsia="Calibri" w:hAnsiTheme="majorHAnsi" w:cstheme="majorHAnsi"/>
          <w:color w:val="000000"/>
          <w:sz w:val="22"/>
          <w:szCs w:val="22"/>
        </w:rPr>
        <w:t>gua (MAA</w:t>
      </w:r>
      <w:r w:rsidR="004A1CAB" w:rsidRPr="00B24A80">
        <w:rPr>
          <w:rFonts w:asciiTheme="majorHAnsi" w:eastAsia="Calibri" w:hAnsiTheme="majorHAnsi" w:cstheme="majorHAnsi"/>
          <w:color w:val="000000"/>
          <w:sz w:val="22"/>
          <w:szCs w:val="22"/>
        </w:rPr>
        <w:t>T</w:t>
      </w:r>
      <w:r w:rsidRPr="00B24A80">
        <w:rPr>
          <w:rFonts w:asciiTheme="majorHAnsi" w:eastAsia="Calibri" w:hAnsiTheme="majorHAnsi" w:cstheme="majorHAnsi"/>
          <w:color w:val="000000"/>
          <w:sz w:val="22"/>
          <w:szCs w:val="22"/>
        </w:rPr>
        <w:t>E), así como de la revisión por parte del ent</w:t>
      </w:r>
      <w:r w:rsidR="00A127E3" w:rsidRPr="00B24A80">
        <w:rPr>
          <w:rFonts w:asciiTheme="majorHAnsi" w:eastAsia="Calibri" w:hAnsiTheme="majorHAnsi" w:cstheme="majorHAnsi"/>
          <w:color w:val="000000"/>
          <w:sz w:val="22"/>
          <w:szCs w:val="22"/>
        </w:rPr>
        <w:t>e</w:t>
      </w:r>
      <w:r w:rsidRPr="00B24A80">
        <w:rPr>
          <w:rFonts w:asciiTheme="majorHAnsi" w:eastAsia="Calibri" w:hAnsiTheme="majorHAnsi" w:cstheme="majorHAnsi"/>
          <w:color w:val="000000"/>
          <w:sz w:val="22"/>
          <w:szCs w:val="22"/>
        </w:rPr>
        <w:t xml:space="preserve"> encargado de la municipalidad.</w:t>
      </w:r>
    </w:p>
    <w:p w14:paraId="09E4AF43" w14:textId="7E64F3B5" w:rsidR="00A127E3"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lastRenderedPageBreak/>
        <w:t>Vertidos</w:t>
      </w:r>
      <w:r w:rsidRPr="00B24A80">
        <w:rPr>
          <w:rFonts w:asciiTheme="majorHAnsi" w:eastAsia="Calibri" w:hAnsiTheme="majorHAnsi" w:cstheme="majorHAnsi"/>
          <w:b/>
          <w:color w:val="000000"/>
          <w:szCs w:val="22"/>
        </w:rPr>
        <w:t xml:space="preserve"> líquidos. -</w:t>
      </w:r>
      <w:r w:rsidRPr="00B24A80">
        <w:rPr>
          <w:rFonts w:asciiTheme="majorHAnsi" w:eastAsia="Calibri" w:hAnsiTheme="majorHAnsi" w:cstheme="majorHAnsi"/>
          <w:color w:val="000000"/>
          <w:szCs w:val="22"/>
        </w:rPr>
        <w:t xml:space="preserve"> Para la concesión de permisos para cualquier actividad que pueda generar vertidos líquidos no domésticos, se exigirá la justificación del tratamiento a realizarse, para evitar la contaminación de las agu</w:t>
      </w:r>
      <w:r w:rsidR="00CA5414" w:rsidRPr="00B24A80">
        <w:rPr>
          <w:rFonts w:asciiTheme="majorHAnsi" w:eastAsia="Calibri" w:hAnsiTheme="majorHAnsi" w:cstheme="majorHAnsi"/>
          <w:color w:val="000000"/>
          <w:szCs w:val="22"/>
        </w:rPr>
        <w:t>as superficiales y subterráneas</w:t>
      </w:r>
      <w:r w:rsidR="00A127E3" w:rsidRPr="00B24A80">
        <w:rPr>
          <w:rFonts w:asciiTheme="majorHAnsi" w:eastAsia="Calibri" w:hAnsiTheme="majorHAnsi" w:cstheme="majorHAnsi"/>
          <w:color w:val="000000"/>
          <w:szCs w:val="22"/>
        </w:rPr>
        <w:t>, basados a la respectiva regula</w:t>
      </w:r>
      <w:r w:rsidR="001E3FB3">
        <w:rPr>
          <w:rFonts w:asciiTheme="majorHAnsi" w:eastAsia="Calibri" w:hAnsiTheme="majorHAnsi" w:cstheme="majorHAnsi"/>
          <w:color w:val="000000"/>
          <w:szCs w:val="22"/>
        </w:rPr>
        <w:t>ción</w:t>
      </w:r>
      <w:r w:rsidR="00A127E3" w:rsidRPr="00B24A80">
        <w:rPr>
          <w:rFonts w:asciiTheme="majorHAnsi" w:eastAsia="Calibri" w:hAnsiTheme="majorHAnsi" w:cstheme="majorHAnsi"/>
          <w:color w:val="000000"/>
          <w:szCs w:val="22"/>
        </w:rPr>
        <w:t xml:space="preserve"> ambiental emitido por la Autoridad Ambiental competente a través del SUIA el que determinará el tipo de permiso ambiental que corresponda. </w:t>
      </w:r>
    </w:p>
    <w:p w14:paraId="3FA2E1F5" w14:textId="504CC64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Sanciones a la degradación del ambiente. -</w:t>
      </w:r>
      <w:r w:rsidRPr="00B24A80">
        <w:rPr>
          <w:rFonts w:asciiTheme="majorHAnsi" w:eastAsia="Calibri" w:hAnsiTheme="majorHAnsi" w:cstheme="majorHAnsi"/>
          <w:color w:val="000000"/>
          <w:szCs w:val="22"/>
        </w:rPr>
        <w:t xml:space="preserve"> Las acciones de degradación del ambiente natural</w:t>
      </w:r>
      <w:r w:rsidR="0055263C">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 xml:space="preserve">obligan a ejecutar medidas de mitigación, remediación, rehabilitación de las zonas e instalaciones afectadas o ambientalmente degradadas por acciones o actividades antrópicas causantes en forma directa o indirecta y dará lugar a las sanciones: el propietario o constructor que cause daños a bienes de uso público </w:t>
      </w:r>
      <w:r w:rsidR="00224CB7" w:rsidRPr="00B24A80">
        <w:rPr>
          <w:rFonts w:asciiTheme="majorHAnsi" w:eastAsia="Calibri" w:hAnsiTheme="majorHAnsi" w:cstheme="majorHAnsi"/>
          <w:color w:val="000000"/>
          <w:szCs w:val="22"/>
        </w:rPr>
        <w:t xml:space="preserve"> y </w:t>
      </w:r>
      <w:r w:rsidRPr="00B24A80">
        <w:rPr>
          <w:rFonts w:asciiTheme="majorHAnsi" w:eastAsia="Calibri" w:hAnsiTheme="majorHAnsi" w:cstheme="majorHAnsi"/>
          <w:color w:val="000000"/>
          <w:szCs w:val="22"/>
        </w:rPr>
        <w:t xml:space="preserve">de protección ecológica, con equipos pesados de construcción, transporte </w:t>
      </w:r>
      <w:r w:rsidR="00A509EE" w:rsidRPr="00B24A80">
        <w:rPr>
          <w:rFonts w:asciiTheme="majorHAnsi" w:eastAsia="Calibri" w:hAnsiTheme="majorHAnsi" w:cstheme="majorHAnsi"/>
          <w:color w:val="000000"/>
          <w:szCs w:val="22"/>
        </w:rPr>
        <w:t xml:space="preserve">de </w:t>
      </w:r>
      <w:r w:rsidRPr="00B24A80">
        <w:rPr>
          <w:rFonts w:asciiTheme="majorHAnsi" w:eastAsia="Calibri" w:hAnsiTheme="majorHAnsi" w:cstheme="majorHAnsi"/>
          <w:color w:val="000000"/>
          <w:szCs w:val="22"/>
        </w:rPr>
        <w:t>materiales</w:t>
      </w:r>
      <w:r w:rsidR="00A509EE" w:rsidRPr="00B24A80">
        <w:rPr>
          <w:rFonts w:asciiTheme="majorHAnsi" w:eastAsia="Calibri" w:hAnsiTheme="majorHAnsi" w:cstheme="majorHAnsi"/>
          <w:color w:val="000000"/>
          <w:szCs w:val="22"/>
        </w:rPr>
        <w:t xml:space="preserve"> áridos y</w:t>
      </w:r>
      <w:r w:rsidRPr="00B24A80">
        <w:rPr>
          <w:rFonts w:asciiTheme="majorHAnsi" w:eastAsia="Calibri" w:hAnsiTheme="majorHAnsi" w:cstheme="majorHAnsi"/>
          <w:color w:val="000000"/>
          <w:szCs w:val="22"/>
        </w:rPr>
        <w:t xml:space="preserve"> pétreos, de hormigones, de hierro, etc., será sancionado con una multa de 100% del costo de los trabajos </w:t>
      </w:r>
      <w:r w:rsidR="00516DC9">
        <w:rPr>
          <w:rFonts w:asciiTheme="majorHAnsi" w:eastAsia="Calibri" w:hAnsiTheme="majorHAnsi" w:cstheme="majorHAnsi"/>
          <w:color w:val="000000"/>
          <w:szCs w:val="22"/>
        </w:rPr>
        <w:t xml:space="preserve">que </w:t>
      </w:r>
      <w:r w:rsidR="004F2471">
        <w:rPr>
          <w:rFonts w:asciiTheme="majorHAnsi" w:eastAsia="Calibri" w:hAnsiTheme="majorHAnsi" w:cstheme="majorHAnsi"/>
          <w:color w:val="000000"/>
          <w:szCs w:val="22"/>
        </w:rPr>
        <w:t xml:space="preserve">provocaron </w:t>
      </w:r>
      <w:r w:rsidRPr="00B24A80">
        <w:rPr>
          <w:rFonts w:asciiTheme="majorHAnsi" w:eastAsia="Calibri" w:hAnsiTheme="majorHAnsi" w:cstheme="majorHAnsi"/>
          <w:color w:val="000000"/>
          <w:szCs w:val="22"/>
        </w:rPr>
        <w:t xml:space="preserve">los daños y estará obligado a restituir, reparar o reconstruir el daño en un plazo máximo de quince días laborables, contados a partir de la notificación. Si en ese lapso no hubiere reparado los daños, la Dirección de </w:t>
      </w:r>
      <w:r w:rsidR="000977C0">
        <w:rPr>
          <w:rFonts w:asciiTheme="majorHAnsi" w:eastAsia="Calibri" w:hAnsiTheme="majorHAnsi" w:cstheme="majorHAnsi"/>
          <w:color w:val="000000"/>
          <w:szCs w:val="22"/>
        </w:rPr>
        <w:t xml:space="preserve">Gestión de </w:t>
      </w:r>
      <w:r w:rsidRPr="00B24A80">
        <w:rPr>
          <w:rFonts w:asciiTheme="majorHAnsi" w:eastAsia="Calibri" w:hAnsiTheme="majorHAnsi" w:cstheme="majorHAnsi"/>
          <w:color w:val="000000"/>
          <w:szCs w:val="22"/>
        </w:rPr>
        <w:t xml:space="preserve">Obras Públicas los </w:t>
      </w:r>
      <w:r w:rsidR="00DD6DF7" w:rsidRPr="00B24A80">
        <w:rPr>
          <w:rFonts w:asciiTheme="majorHAnsi" w:eastAsia="Calibri" w:hAnsiTheme="majorHAnsi" w:cstheme="majorHAnsi"/>
          <w:color w:val="000000"/>
          <w:szCs w:val="22"/>
        </w:rPr>
        <w:t xml:space="preserve">realizará a costo del infractor </w:t>
      </w:r>
      <w:r w:rsidRPr="00B24A80">
        <w:rPr>
          <w:rFonts w:asciiTheme="majorHAnsi" w:eastAsia="Calibri" w:hAnsiTheme="majorHAnsi" w:cstheme="majorHAnsi"/>
          <w:color w:val="000000"/>
          <w:szCs w:val="22"/>
        </w:rPr>
        <w:t>y se cobrará por la vía coactiva su valor con un recargo del</w:t>
      </w:r>
      <w:r w:rsidR="00224CB7" w:rsidRPr="00B24A80">
        <w:rPr>
          <w:rFonts w:asciiTheme="majorHAnsi" w:eastAsia="Calibri" w:hAnsiTheme="majorHAnsi" w:cstheme="majorHAnsi"/>
          <w:color w:val="000000"/>
          <w:szCs w:val="22"/>
        </w:rPr>
        <w:t xml:space="preserve"> 2</w:t>
      </w:r>
      <w:r w:rsidR="00FA2EFA">
        <w:rPr>
          <w:rFonts w:asciiTheme="majorHAnsi" w:eastAsia="Calibri" w:hAnsiTheme="majorHAnsi" w:cstheme="majorHAnsi"/>
          <w:color w:val="000000"/>
          <w:szCs w:val="22"/>
        </w:rPr>
        <w:t>0</w:t>
      </w:r>
      <w:r w:rsidR="00224CB7" w:rsidRPr="00B24A80">
        <w:rPr>
          <w:rFonts w:asciiTheme="majorHAnsi" w:eastAsia="Calibri" w:hAnsiTheme="majorHAnsi" w:cstheme="majorHAnsi"/>
          <w:color w:val="000000"/>
          <w:szCs w:val="22"/>
        </w:rPr>
        <w:t>%.</w:t>
      </w:r>
    </w:p>
    <w:p w14:paraId="6FC74F88" w14:textId="6815FB29" w:rsidR="00DC27E8" w:rsidRPr="00B24A80" w:rsidRDefault="00EB5C24" w:rsidP="00EB5C24">
      <w:pPr>
        <w:pStyle w:val="Ttulo4"/>
        <w:rPr>
          <w:rFonts w:cstheme="majorHAnsi"/>
          <w:sz w:val="22"/>
          <w:szCs w:val="22"/>
        </w:rPr>
      </w:pPr>
      <w:bookmarkStart w:id="294" w:name="_heading=h.3jtnz0s" w:colFirst="0" w:colLast="0"/>
      <w:bookmarkStart w:id="295" w:name="_Toc81085675"/>
      <w:bookmarkStart w:id="296" w:name="_Toc181374115"/>
      <w:bookmarkEnd w:id="294"/>
      <w:r w:rsidRPr="00B24A80">
        <w:rPr>
          <w:rFonts w:cstheme="majorHAnsi"/>
          <w:sz w:val="22"/>
          <w:szCs w:val="22"/>
        </w:rPr>
        <w:t>SECCIÓN</w:t>
      </w:r>
      <w:r w:rsidR="007F5505" w:rsidRPr="00B24A80">
        <w:rPr>
          <w:rFonts w:cstheme="majorHAnsi"/>
          <w:sz w:val="22"/>
          <w:szCs w:val="22"/>
        </w:rPr>
        <w:t xml:space="preserve"> </w:t>
      </w:r>
      <w:r w:rsidR="005A5B95" w:rsidRPr="00B24A80">
        <w:rPr>
          <w:rFonts w:cstheme="majorHAnsi"/>
          <w:sz w:val="22"/>
          <w:szCs w:val="22"/>
        </w:rPr>
        <w:t>VIII</w:t>
      </w:r>
      <w:bookmarkStart w:id="297" w:name="_heading=h.1yyy98l" w:colFirst="0" w:colLast="0"/>
      <w:bookmarkEnd w:id="297"/>
      <w:r w:rsidRPr="00B24A80">
        <w:rPr>
          <w:rFonts w:cstheme="majorHAnsi"/>
          <w:sz w:val="22"/>
          <w:szCs w:val="22"/>
        </w:rPr>
        <w:br/>
      </w:r>
      <w:r w:rsidR="007F5505" w:rsidRPr="00B24A80">
        <w:rPr>
          <w:rFonts w:cstheme="majorHAnsi"/>
          <w:sz w:val="22"/>
          <w:szCs w:val="22"/>
        </w:rPr>
        <w:t>Cementerios y Criptas</w:t>
      </w:r>
      <w:bookmarkEnd w:id="295"/>
      <w:bookmarkEnd w:id="296"/>
    </w:p>
    <w:p w14:paraId="4C4309D2" w14:textId="06481B7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Ubicación. –</w:t>
      </w:r>
      <w:r w:rsidRPr="00B24A80">
        <w:rPr>
          <w:rFonts w:asciiTheme="majorHAnsi" w:eastAsia="Calibri" w:hAnsiTheme="majorHAnsi" w:cstheme="majorHAnsi"/>
          <w:color w:val="000000"/>
          <w:szCs w:val="22"/>
        </w:rPr>
        <w:t xml:space="preserve"> Las nuevas construcciones de cementerios deberán localizarse fuera del perímetro urbano, en zonas cuyos vientos dominantes soplen en sentido contrario a la ciudad y en las vertientes opuestas a la topografía urbana, cuyas aguas del subsuelo no alimenten pozos de abastecimiento y dichas áreas no sean lavadas por aguas lluvias, que escurran a los cursos de aguas aprovechables para abastecimiento de las ciudades.</w:t>
      </w:r>
    </w:p>
    <w:p w14:paraId="413E2BE7" w14:textId="1E78F480" w:rsidR="00830714" w:rsidRPr="00B24A80" w:rsidRDefault="007F5505">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Los terrenos donde se ubiquen cementerios deberán ser secos, estar constituidos por materiales porosos y el nivel freático, debe estar como </w:t>
      </w:r>
      <w:r w:rsidR="00830714" w:rsidRPr="00B24A80">
        <w:rPr>
          <w:rFonts w:asciiTheme="majorHAnsi" w:eastAsia="Calibri" w:hAnsiTheme="majorHAnsi" w:cstheme="majorHAnsi"/>
          <w:color w:val="000000"/>
          <w:sz w:val="22"/>
          <w:szCs w:val="22"/>
        </w:rPr>
        <w:t>mínimo a 2.50 m. de profundidad, de no contar con predios de esta profundidad del nivel freático se deberá considerar las construcciones de mausoleos, columbarios en altura, mismos que deberán garantizar medidas de bioseguridad</w:t>
      </w:r>
      <w:r w:rsidR="00503E36">
        <w:rPr>
          <w:rFonts w:asciiTheme="majorHAnsi" w:eastAsia="Calibri" w:hAnsiTheme="majorHAnsi" w:cstheme="majorHAnsi"/>
          <w:color w:val="000000"/>
          <w:sz w:val="22"/>
          <w:szCs w:val="22"/>
        </w:rPr>
        <w:t>.</w:t>
      </w:r>
    </w:p>
    <w:p w14:paraId="42DC890B" w14:textId="775ED0A3" w:rsidR="00DC27E8" w:rsidRPr="00B24A80" w:rsidRDefault="00830714">
      <w:pPr>
        <w:pBdr>
          <w:top w:val="nil"/>
          <w:left w:val="nil"/>
          <w:bottom w:val="nil"/>
          <w:right w:val="nil"/>
          <w:between w:val="nil"/>
        </w:pBdr>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 </w:t>
      </w:r>
      <w:r w:rsidR="000A5A52">
        <w:rPr>
          <w:rFonts w:asciiTheme="majorHAnsi" w:eastAsia="Calibri" w:hAnsiTheme="majorHAnsi" w:cstheme="majorHAnsi"/>
          <w:color w:val="000000"/>
          <w:sz w:val="22"/>
          <w:szCs w:val="22"/>
        </w:rPr>
        <w:t>El perímetro del predio deberá e</w:t>
      </w:r>
      <w:r w:rsidR="007F5505" w:rsidRPr="00B24A80">
        <w:rPr>
          <w:rFonts w:asciiTheme="majorHAnsi" w:eastAsia="Calibri" w:hAnsiTheme="majorHAnsi" w:cstheme="majorHAnsi"/>
          <w:color w:val="000000"/>
          <w:sz w:val="22"/>
          <w:szCs w:val="22"/>
        </w:rPr>
        <w:t>star provisto de una cerca de ladrillo o bloque de por lo menos 2 m. de altura, que permita aislarlo del exterior. Poseer un retiro mínimo de 10 m. en sus costados, el que puede u</w:t>
      </w:r>
      <w:r w:rsidR="00DD6DF7" w:rsidRPr="00B24A80">
        <w:rPr>
          <w:rFonts w:asciiTheme="majorHAnsi" w:eastAsia="Calibri" w:hAnsiTheme="majorHAnsi" w:cstheme="majorHAnsi"/>
          <w:color w:val="000000"/>
          <w:sz w:val="22"/>
          <w:szCs w:val="22"/>
        </w:rPr>
        <w:t>tilizarse con vías perimetrales</w:t>
      </w:r>
      <w:r w:rsidR="0022464F" w:rsidRPr="00B24A80">
        <w:rPr>
          <w:rFonts w:asciiTheme="majorHAnsi" w:eastAsia="Calibri" w:hAnsiTheme="majorHAnsi" w:cstheme="majorHAnsi"/>
          <w:color w:val="000000"/>
          <w:sz w:val="22"/>
          <w:szCs w:val="22"/>
        </w:rPr>
        <w:t xml:space="preserve">, además de cumplir con las regulaciones exigidas por la Agencia Nacional de Regulación, Control y Vigilancia Sanitaria (ARCSA). </w:t>
      </w:r>
      <w:r w:rsidR="00DD6DF7" w:rsidRPr="00B24A80">
        <w:rPr>
          <w:rFonts w:asciiTheme="majorHAnsi" w:eastAsia="Calibri" w:hAnsiTheme="majorHAnsi" w:cstheme="majorHAnsi"/>
          <w:color w:val="000000"/>
          <w:sz w:val="22"/>
          <w:szCs w:val="22"/>
        </w:rPr>
        <w:t xml:space="preserve"> </w:t>
      </w:r>
    </w:p>
    <w:p w14:paraId="218236FA" w14:textId="41374AB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00C12BC9">
        <w:rPr>
          <w:rFonts w:asciiTheme="majorHAnsi" w:eastAsia="Calibri" w:hAnsiTheme="majorHAnsi" w:cstheme="majorHAnsi"/>
          <w:b/>
          <w:szCs w:val="22"/>
        </w:rPr>
        <w:t>Á</w:t>
      </w:r>
      <w:r w:rsidR="00D6234C">
        <w:rPr>
          <w:rFonts w:asciiTheme="majorHAnsi" w:eastAsia="Calibri" w:hAnsiTheme="majorHAnsi" w:cstheme="majorHAnsi"/>
          <w:b/>
          <w:color w:val="000000"/>
          <w:szCs w:val="22"/>
        </w:rPr>
        <w:t>rea de terreno</w:t>
      </w:r>
      <w:r w:rsidRPr="00B24A80">
        <w:rPr>
          <w:rFonts w:asciiTheme="majorHAnsi" w:eastAsia="Calibri" w:hAnsiTheme="majorHAnsi" w:cstheme="majorHAnsi"/>
          <w:b/>
          <w:color w:val="000000"/>
          <w:szCs w:val="22"/>
        </w:rPr>
        <w:t>. -</w:t>
      </w:r>
      <w:r w:rsidRPr="00B24A80">
        <w:rPr>
          <w:rFonts w:asciiTheme="majorHAnsi" w:eastAsia="Calibri" w:hAnsiTheme="majorHAnsi" w:cstheme="majorHAnsi"/>
          <w:color w:val="000000"/>
          <w:szCs w:val="22"/>
        </w:rPr>
        <w:t xml:space="preserve"> Para la instalación de cementerios o criptas de carácter público se tomará en cuenta el índice promedio de mortalidad y que el área de este sea por lo menos, cinco veces mayor a la capacidad necesaria, para la inhumación de cadáveres durante un año.</w:t>
      </w:r>
    </w:p>
    <w:p w14:paraId="27FF663F" w14:textId="77777777" w:rsidR="00013A3A" w:rsidRPr="00B24A80" w:rsidRDefault="00013A3A" w:rsidP="00013A3A">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B83CF58" w14:textId="4922B2B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Planificación. -</w:t>
      </w:r>
      <w:r w:rsidRPr="00B24A80">
        <w:rPr>
          <w:rFonts w:asciiTheme="majorHAnsi" w:eastAsia="Calibri" w:hAnsiTheme="majorHAnsi" w:cstheme="majorHAnsi"/>
          <w:color w:val="000000"/>
          <w:szCs w:val="22"/>
        </w:rPr>
        <w:t xml:space="preserve"> Los espacios destinados para cementerios y criptas deberán cumplir con las siguientes condiciones:</w:t>
      </w:r>
    </w:p>
    <w:p w14:paraId="0FB2D849" w14:textId="35515298" w:rsidR="00310AA1" w:rsidRPr="00B24A80" w:rsidRDefault="007F5505" w:rsidP="009F132D">
      <w:pPr>
        <w:numPr>
          <w:ilvl w:val="0"/>
          <w:numId w:val="29"/>
        </w:numPr>
        <w:pBdr>
          <w:top w:val="nil"/>
          <w:left w:val="nil"/>
          <w:bottom w:val="nil"/>
          <w:right w:val="nil"/>
          <w:between w:val="nil"/>
        </w:pBdr>
        <w:tabs>
          <w:tab w:val="left" w:pos="749"/>
        </w:tabs>
        <w:spacing w:after="240" w:line="276" w:lineRule="auto"/>
        <w:ind w:left="740" w:right="-100" w:hanging="340"/>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Todo cementerio para inhumación de cadáveres, contará con</w:t>
      </w:r>
      <w:r w:rsidR="003D58B4">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 xml:space="preserve">áreas de transición, orientación e instalaciones adecuadas para su operación y funcionamiento: agua </w:t>
      </w:r>
      <w:r w:rsidRPr="00B24A80">
        <w:rPr>
          <w:rFonts w:asciiTheme="majorHAnsi" w:eastAsia="Calibri" w:hAnsiTheme="majorHAnsi" w:cstheme="majorHAnsi"/>
          <w:color w:val="000000"/>
          <w:sz w:val="22"/>
          <w:szCs w:val="22"/>
        </w:rPr>
        <w:lastRenderedPageBreak/>
        <w:t>potable, energía eléctrica, alumbrado público, tratamiento de aguas residuales y pluviales, sistema de riego, cerramiento y baterías sanitarias; y,</w:t>
      </w:r>
    </w:p>
    <w:p w14:paraId="25BBCE45" w14:textId="4BF1B2CB" w:rsidR="00DC27E8" w:rsidRPr="00B24A80" w:rsidRDefault="007F5505" w:rsidP="009F132D">
      <w:pPr>
        <w:numPr>
          <w:ilvl w:val="0"/>
          <w:numId w:val="29"/>
        </w:numPr>
        <w:pBdr>
          <w:top w:val="nil"/>
          <w:left w:val="nil"/>
          <w:bottom w:val="nil"/>
          <w:right w:val="nil"/>
          <w:between w:val="nil"/>
        </w:pBdr>
        <w:tabs>
          <w:tab w:val="left" w:pos="749"/>
        </w:tabs>
        <w:spacing w:after="240" w:line="276" w:lineRule="auto"/>
        <w:ind w:left="740" w:right="-100" w:hanging="340"/>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Todo proyecto debe presentar una memoria firmada por el técnico facultativo correspondiente con los siguientes datos: lugar de emplazamiento, propiedad del terreno, profundidad de</w:t>
      </w:r>
      <w:r w:rsidR="00F46AFB">
        <w:rPr>
          <w:rFonts w:asciiTheme="majorHAnsi" w:eastAsia="Calibri" w:hAnsiTheme="majorHAnsi" w:cstheme="majorHAnsi"/>
          <w:color w:val="000000"/>
          <w:sz w:val="22"/>
          <w:szCs w:val="22"/>
        </w:rPr>
        <w:t>l nivel freático</w:t>
      </w:r>
      <w:r w:rsidRPr="00B24A80">
        <w:rPr>
          <w:rFonts w:asciiTheme="majorHAnsi" w:eastAsia="Calibri" w:hAnsiTheme="majorHAnsi" w:cstheme="majorHAnsi"/>
          <w:color w:val="000000"/>
          <w:sz w:val="22"/>
          <w:szCs w:val="22"/>
        </w:rPr>
        <w:t>, dirección de las corrientes de aguas subterráneas, extensión y capacidad prevista, comunicación con las zonas urbanas, distribución de los distintos servicios, recintos y tratamiento de áreas verdes y jardines, clases de obras y materiales que han de emplear en los muros de cerramiento y en las edificaciones.</w:t>
      </w:r>
    </w:p>
    <w:p w14:paraId="1830B125" w14:textId="0C727053" w:rsidR="00013A3A" w:rsidRDefault="007F5505" w:rsidP="006E4699">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094A6B">
        <w:rPr>
          <w:rFonts w:asciiTheme="majorHAnsi" w:eastAsia="Calibri" w:hAnsiTheme="majorHAnsi" w:cstheme="majorHAnsi"/>
          <w:b/>
          <w:szCs w:val="22"/>
        </w:rPr>
        <w:t xml:space="preserve"> </w:t>
      </w:r>
      <w:r w:rsidRPr="00094A6B">
        <w:rPr>
          <w:rFonts w:asciiTheme="majorHAnsi" w:eastAsia="Calibri" w:hAnsiTheme="majorHAnsi" w:cstheme="majorHAnsi"/>
          <w:b/>
          <w:color w:val="000000"/>
          <w:szCs w:val="22"/>
        </w:rPr>
        <w:t>Tratamiento de áreas verdes. -</w:t>
      </w:r>
      <w:r w:rsidRPr="00094A6B">
        <w:rPr>
          <w:rFonts w:asciiTheme="majorHAnsi" w:eastAsia="Calibri" w:hAnsiTheme="majorHAnsi" w:cstheme="majorHAnsi"/>
          <w:color w:val="000000"/>
          <w:szCs w:val="22"/>
        </w:rPr>
        <w:t xml:space="preserve"> Los cementerios deberán contemplar </w:t>
      </w:r>
      <w:r w:rsidR="00094A6B" w:rsidRPr="00094A6B">
        <w:rPr>
          <w:rFonts w:asciiTheme="majorHAnsi" w:eastAsia="Calibri" w:hAnsiTheme="majorHAnsi" w:cstheme="majorHAnsi"/>
          <w:color w:val="000000"/>
          <w:szCs w:val="22"/>
        </w:rPr>
        <w:t xml:space="preserve">áreas para caminos y jardines acorde a los lineamientos establecidos en la dirección de Gestión de Planificación. </w:t>
      </w:r>
    </w:p>
    <w:p w14:paraId="015E9507" w14:textId="77777777" w:rsidR="00094A6B" w:rsidRPr="00094A6B" w:rsidRDefault="00094A6B" w:rsidP="00094A6B">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B107D6E" w14:textId="576CA6A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Aprobación. -</w:t>
      </w:r>
      <w:r w:rsidRPr="00B24A80">
        <w:rPr>
          <w:rFonts w:asciiTheme="majorHAnsi" w:eastAsia="Calibri" w:hAnsiTheme="majorHAnsi" w:cstheme="majorHAnsi"/>
          <w:color w:val="000000"/>
          <w:szCs w:val="22"/>
        </w:rPr>
        <w:t xml:space="preserve"> para que los cementerios tengan la aprobación de la </w:t>
      </w:r>
      <w:r w:rsidR="006E0959" w:rsidRPr="00B24A80">
        <w:rPr>
          <w:rFonts w:asciiTheme="majorHAnsi" w:eastAsia="Calibri" w:hAnsiTheme="majorHAnsi" w:cstheme="majorHAnsi"/>
          <w:color w:val="000000"/>
          <w:szCs w:val="22"/>
        </w:rPr>
        <w:t xml:space="preserve">Dirección de Gestión Planificación y Ordenamiento Territorial </w:t>
      </w:r>
      <w:r w:rsidRPr="00B24A80">
        <w:rPr>
          <w:rFonts w:asciiTheme="majorHAnsi" w:eastAsia="Calibri" w:hAnsiTheme="majorHAnsi" w:cstheme="majorHAnsi"/>
          <w:color w:val="000000"/>
          <w:szCs w:val="22"/>
        </w:rPr>
        <w:t>deberán cumplir con las disposiciones que se estipulan en esta normativa, y contar con el informe de la Coordinación de Salud del Distrito</w:t>
      </w:r>
      <w:r w:rsidR="0022464F" w:rsidRPr="00B24A80">
        <w:rPr>
          <w:rFonts w:asciiTheme="majorHAnsi" w:eastAsia="Calibri" w:hAnsiTheme="majorHAnsi" w:cstheme="majorHAnsi"/>
          <w:color w:val="000000"/>
          <w:szCs w:val="22"/>
        </w:rPr>
        <w:t xml:space="preserve"> y aprobación </w:t>
      </w:r>
      <w:r w:rsidR="00BB2014" w:rsidRPr="00B24A80">
        <w:rPr>
          <w:rFonts w:asciiTheme="majorHAnsi" w:eastAsia="Calibri" w:hAnsiTheme="majorHAnsi" w:cstheme="majorHAnsi"/>
          <w:color w:val="000000"/>
          <w:szCs w:val="22"/>
        </w:rPr>
        <w:t>del ARCSA</w:t>
      </w:r>
      <w:r w:rsidRPr="00B24A80">
        <w:rPr>
          <w:rFonts w:asciiTheme="majorHAnsi" w:eastAsia="Calibri" w:hAnsiTheme="majorHAnsi" w:cstheme="majorHAnsi"/>
          <w:color w:val="000000"/>
          <w:szCs w:val="22"/>
        </w:rPr>
        <w:t>.</w:t>
      </w:r>
    </w:p>
    <w:p w14:paraId="3F89E630" w14:textId="6C4C54D5" w:rsidR="00DC27E8" w:rsidRPr="00B24A80" w:rsidRDefault="00EB5C24" w:rsidP="00EB5C24">
      <w:pPr>
        <w:pStyle w:val="Ttulo4"/>
        <w:rPr>
          <w:rFonts w:cstheme="majorHAnsi"/>
          <w:sz w:val="22"/>
          <w:szCs w:val="22"/>
        </w:rPr>
      </w:pPr>
      <w:bookmarkStart w:id="298" w:name="_Toc81085676"/>
      <w:bookmarkStart w:id="299" w:name="_Toc181374116"/>
      <w:r w:rsidRPr="00B24A80">
        <w:rPr>
          <w:rFonts w:cstheme="majorHAnsi"/>
          <w:sz w:val="22"/>
          <w:szCs w:val="22"/>
        </w:rPr>
        <w:t>SECCIÓN</w:t>
      </w:r>
      <w:r w:rsidR="007F5505" w:rsidRPr="00B24A80">
        <w:rPr>
          <w:rFonts w:cstheme="majorHAnsi"/>
          <w:sz w:val="22"/>
          <w:szCs w:val="22"/>
        </w:rPr>
        <w:t xml:space="preserve"> </w:t>
      </w:r>
      <w:r w:rsidR="005A5B95" w:rsidRPr="00B24A80">
        <w:rPr>
          <w:rFonts w:cstheme="majorHAnsi"/>
          <w:sz w:val="22"/>
          <w:szCs w:val="22"/>
        </w:rPr>
        <w:t>I</w:t>
      </w:r>
      <w:r w:rsidR="007F5505" w:rsidRPr="00B24A80">
        <w:rPr>
          <w:rFonts w:cstheme="majorHAnsi"/>
          <w:sz w:val="22"/>
          <w:szCs w:val="22"/>
        </w:rPr>
        <w:t>X</w:t>
      </w:r>
      <w:r w:rsidR="00375100" w:rsidRPr="00B24A80">
        <w:rPr>
          <w:rFonts w:cstheme="majorHAnsi"/>
          <w:sz w:val="22"/>
          <w:szCs w:val="22"/>
        </w:rPr>
        <w:br/>
      </w:r>
      <w:r w:rsidR="007F5505" w:rsidRPr="00B24A80">
        <w:rPr>
          <w:rFonts w:cstheme="majorHAnsi"/>
          <w:sz w:val="22"/>
          <w:szCs w:val="22"/>
        </w:rPr>
        <w:t>Camal o centros de faenamiento</w:t>
      </w:r>
      <w:bookmarkEnd w:id="298"/>
      <w:bookmarkEnd w:id="299"/>
    </w:p>
    <w:p w14:paraId="3FF38D6A" w14:textId="2E3979EE" w:rsidR="0022464F"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eastAsia="Calibri" w:hAnsiTheme="majorHAnsi" w:cstheme="majorHAnsi"/>
          <w:b/>
          <w:color w:val="000000"/>
          <w:szCs w:val="22"/>
        </w:rPr>
        <w:t xml:space="preserve">Ubicación. - </w:t>
      </w:r>
      <w:r w:rsidRPr="00B24A80">
        <w:rPr>
          <w:rFonts w:asciiTheme="majorHAnsi" w:hAnsiTheme="majorHAnsi" w:cstheme="majorHAnsi"/>
          <w:szCs w:val="22"/>
        </w:rPr>
        <w:t xml:space="preserve">Su ubicación deberá estar en sectores alejados de los centros poblados, por lo menos a 1 Km de distancia, en zonas próximas a vías que garanticen fácil acceso y no susceptibles de inundaciones. No deben existir en sus alrededores focos de insalubridad ambiental, libres de emanaciones gaseosas o elementos contaminantes y aislados de otros centros de riesgo como, rellenos sanitarios, hospitales, cementerios, áreas protegidas, patrimoniales o zonas en las cuales exista </w:t>
      </w:r>
      <w:r w:rsidR="0022464F" w:rsidRPr="00B24A80">
        <w:rPr>
          <w:rFonts w:asciiTheme="majorHAnsi" w:hAnsiTheme="majorHAnsi" w:cstheme="majorHAnsi"/>
          <w:szCs w:val="22"/>
        </w:rPr>
        <w:t>riesgo de contaminación cruzada, así mismo deberá cumplir con las disp</w:t>
      </w:r>
      <w:r w:rsidR="00D57514">
        <w:rPr>
          <w:rFonts w:asciiTheme="majorHAnsi" w:hAnsiTheme="majorHAnsi" w:cstheme="majorHAnsi"/>
          <w:szCs w:val="22"/>
        </w:rPr>
        <w:t>o</w:t>
      </w:r>
      <w:r w:rsidR="0022464F" w:rsidRPr="00B24A80">
        <w:rPr>
          <w:rFonts w:asciiTheme="majorHAnsi" w:hAnsiTheme="majorHAnsi" w:cstheme="majorHAnsi"/>
          <w:szCs w:val="22"/>
        </w:rPr>
        <w:t>ciones normativas del ARCSA.</w:t>
      </w:r>
    </w:p>
    <w:p w14:paraId="16EE48F6" w14:textId="77777777" w:rsidR="00013A3A" w:rsidRPr="00B24A80" w:rsidRDefault="00013A3A" w:rsidP="00013A3A">
      <w:pPr>
        <w:pStyle w:val="Prrafodelista"/>
        <w:widowControl/>
        <w:tabs>
          <w:tab w:val="left" w:pos="851"/>
        </w:tabs>
        <w:spacing w:after="240" w:line="276" w:lineRule="auto"/>
        <w:ind w:left="0" w:right="-100"/>
        <w:rPr>
          <w:rFonts w:asciiTheme="majorHAnsi" w:hAnsiTheme="majorHAnsi" w:cstheme="majorHAnsi"/>
          <w:szCs w:val="22"/>
        </w:rPr>
      </w:pPr>
    </w:p>
    <w:p w14:paraId="4C6AAB90" w14:textId="60CCA763" w:rsidR="0022464F"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hAnsiTheme="majorHAnsi" w:cstheme="majorHAnsi"/>
          <w:b/>
          <w:szCs w:val="22"/>
        </w:rPr>
        <w:t>Condiciones generales de funcionamiento. -</w:t>
      </w:r>
      <w:r w:rsidRPr="00B24A80">
        <w:rPr>
          <w:rFonts w:asciiTheme="majorHAnsi" w:hAnsiTheme="majorHAnsi" w:cstheme="majorHAnsi"/>
          <w:szCs w:val="22"/>
        </w:rPr>
        <w:t xml:space="preserve"> Dentro de las exigencias que se deberá tener en cuenta para la implementación de un nuevo camal se citan las siguientes: </w:t>
      </w:r>
    </w:p>
    <w:p w14:paraId="35743D38" w14:textId="7C40BB01"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El sector donde se implementar</w:t>
      </w:r>
      <w:r w:rsidR="001E698D">
        <w:rPr>
          <w:rFonts w:asciiTheme="majorHAnsi" w:hAnsiTheme="majorHAnsi" w:cstheme="majorHAnsi"/>
          <w:szCs w:val="22"/>
        </w:rPr>
        <w:t>á</w:t>
      </w:r>
      <w:r w:rsidRPr="00B24A80">
        <w:rPr>
          <w:rFonts w:asciiTheme="majorHAnsi" w:hAnsiTheme="majorHAnsi" w:cstheme="majorHAnsi"/>
          <w:szCs w:val="22"/>
        </w:rPr>
        <w:t xml:space="preserve"> deberá disponer de los servicios básicos como: red de agua potable, en cantidad y calidad adecuada para atender las necesidades de consumo humano y las requeridas por cada cabeza de ganado faenado; sistemas de aprovisionamiento de energía eléctrica ya sea de una red pública o de un generador de emergencia propio del matadero; sistema de recolección, tratamiento y disposición de las aguas servidas; sistema de recolección, tratamiento y disposición de los desechos sólidos y líquidos que producen el matadero. </w:t>
      </w:r>
    </w:p>
    <w:p w14:paraId="475D5679" w14:textId="5D9F2EC1"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Poseer un sistema de bioseguridad con el objeto de impedir el ingreso de agentes potencialmente contaminantes o considerados de riesgo sanitario a las inmediaciones del centro de faenamiento.</w:t>
      </w:r>
    </w:p>
    <w:p w14:paraId="62CB4495" w14:textId="707DBFB3"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En el área externa a la sala de faenamiento debe implementarse: patio para maniobras de vehículos, rampas para carga y descarga de animales, con instalaciones para lavado y </w:t>
      </w:r>
      <w:r w:rsidRPr="00B24A80">
        <w:rPr>
          <w:rFonts w:asciiTheme="majorHAnsi" w:hAnsiTheme="majorHAnsi" w:cstheme="majorHAnsi"/>
          <w:szCs w:val="22"/>
        </w:rPr>
        <w:lastRenderedPageBreak/>
        <w:t xml:space="preserve">desinfección de los vehículos, corrales de recepción, mantenimiento y cuarentena para ganado mayor y menor con abrevaderos de agua; mangas que conduzcan al cajón de aturdimiento, acondicionada con baño de aspersión, además, debe contar con sala de matanza de emergencia o Matadero Sanitario. </w:t>
      </w:r>
    </w:p>
    <w:p w14:paraId="2B130629" w14:textId="2914B147"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En el área interna: la obra civil debe contemplar la separación de las zonas sucias, intermedia y limpia; salas independientes para la recolección y lavado de vísceras, pieles, cabezas y patas; área de oreo y refrigeración de l</w:t>
      </w:r>
      <w:r w:rsidR="00457DB9">
        <w:rPr>
          <w:rFonts w:asciiTheme="majorHAnsi" w:hAnsiTheme="majorHAnsi" w:cstheme="majorHAnsi"/>
          <w:szCs w:val="22"/>
        </w:rPr>
        <w:t>o</w:t>
      </w:r>
      <w:r w:rsidRPr="00B24A80">
        <w:rPr>
          <w:rFonts w:asciiTheme="majorHAnsi" w:hAnsiTheme="majorHAnsi" w:cstheme="majorHAnsi"/>
          <w:szCs w:val="22"/>
        </w:rPr>
        <w:t xml:space="preserve">s canales. </w:t>
      </w:r>
    </w:p>
    <w:p w14:paraId="13E01A4E" w14:textId="5DCCEAFE"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Las paredes y pisos de todas las zonas de proceso deben ser lisas, resistentes, no tóxicas, impermeables y de fácil limpieza y desinfección, no absorbentes y de colores claros, recubiertas de un revestimiento lavable, en el caso de paredes hasta una altura mínima de un metro con ochenta centímetros, y en el caso de pisos el recubrimiento o diseño debe darle la propiedad de ser antideslizantes, la unión entre pisos y paredes, así como entre paredes deben ser cóncavos; </w:t>
      </w:r>
    </w:p>
    <w:p w14:paraId="175DD9C9" w14:textId="30B0D413"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servicios sanitarios, duchas y vestidores en buenas condiciones de mantenimiento y de limpieza, en cantidad suficiente en relación al número de empleados, siguiendo los lineamientos de seguridad y salud ocupacional. </w:t>
      </w:r>
    </w:p>
    <w:p w14:paraId="0678B762" w14:textId="5D060BEC"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Contar con lavamanos y pediluvios o sistemas de desinfección de calzado al ingreso y salida de cada zona y área del proceso.</w:t>
      </w:r>
    </w:p>
    <w:p w14:paraId="601FE964" w14:textId="76F1EBA9"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Contar con el personal necesario para que el proceso sea continuo e ininterrumpido y de tal manera de que los empleados desarrollen las actividades de manera satisfactoria y sin generar contaminación cruzada Los centros de faenamiento pueden omitir estas áreas siempre y cuando entreguen los desechos a un gestor ambiental calificado como tal por la autoridad ambiental. </w:t>
      </w:r>
    </w:p>
    <w:p w14:paraId="43498369" w14:textId="04102CC5" w:rsidR="00DC27E8" w:rsidRPr="00B24A80" w:rsidRDefault="00A52A22"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Además,</w:t>
      </w:r>
      <w:r w:rsidR="007F5505" w:rsidRPr="00B24A80">
        <w:rPr>
          <w:rFonts w:asciiTheme="majorHAnsi" w:hAnsiTheme="majorHAnsi" w:cstheme="majorHAnsi"/>
          <w:szCs w:val="22"/>
        </w:rPr>
        <w:t xml:space="preserve"> se requiere un espacio amplio para </w:t>
      </w:r>
      <w:r w:rsidR="00A337F5">
        <w:rPr>
          <w:rFonts w:asciiTheme="majorHAnsi" w:hAnsiTheme="majorHAnsi" w:cstheme="majorHAnsi"/>
          <w:szCs w:val="22"/>
        </w:rPr>
        <w:t>las edificaciones</w:t>
      </w:r>
      <w:r w:rsidR="007F5505" w:rsidRPr="00B24A80">
        <w:rPr>
          <w:rFonts w:asciiTheme="majorHAnsi" w:hAnsiTheme="majorHAnsi" w:cstheme="majorHAnsi"/>
          <w:szCs w:val="22"/>
        </w:rPr>
        <w:t xml:space="preserve">, futuras ampliaciones y en muchos casos pastizales para mantener a los animales durante períodos relativamente largos. Siempre que sea posible. </w:t>
      </w:r>
    </w:p>
    <w:p w14:paraId="76432410" w14:textId="529D35AB" w:rsidR="00DC27E8" w:rsidRPr="00B24A80" w:rsidRDefault="007F5505" w:rsidP="00CA24CF">
      <w:pPr>
        <w:pStyle w:val="Prrafodelista"/>
        <w:widowControl/>
        <w:numPr>
          <w:ilvl w:val="0"/>
          <w:numId w:val="84"/>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Queda totalmente prohibido descargar aguas sucias no tratada</w:t>
      </w:r>
      <w:r w:rsidR="00A52A22" w:rsidRPr="00B24A80">
        <w:rPr>
          <w:rFonts w:asciiTheme="majorHAnsi" w:hAnsiTheme="majorHAnsi" w:cstheme="majorHAnsi"/>
          <w:szCs w:val="22"/>
        </w:rPr>
        <w:t>s en ríos, esteros o quebradas., se deberá construir tanques para el tratamiento de aguas servidas, así como de los restos de los animales y sus fluidos.</w:t>
      </w:r>
    </w:p>
    <w:p w14:paraId="0C5F0B74" w14:textId="77777777" w:rsidR="007E63F4" w:rsidRPr="00B24A80" w:rsidRDefault="007E63F4" w:rsidP="007E63F4">
      <w:pPr>
        <w:pStyle w:val="Prrafodelista"/>
        <w:widowControl/>
        <w:pBdr>
          <w:top w:val="nil"/>
          <w:left w:val="nil"/>
          <w:bottom w:val="nil"/>
          <w:right w:val="nil"/>
          <w:between w:val="nil"/>
        </w:pBdr>
        <w:shd w:val="clear" w:color="auto" w:fill="FFFFFF"/>
        <w:spacing w:line="276" w:lineRule="auto"/>
        <w:ind w:right="-100"/>
        <w:rPr>
          <w:rFonts w:asciiTheme="majorHAnsi" w:hAnsiTheme="majorHAnsi" w:cstheme="majorHAnsi"/>
          <w:szCs w:val="22"/>
        </w:rPr>
      </w:pPr>
    </w:p>
    <w:p w14:paraId="08CB809D" w14:textId="19E7A0ED"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Planificación. -</w:t>
      </w:r>
      <w:r w:rsidRPr="00B24A80">
        <w:rPr>
          <w:rFonts w:asciiTheme="majorHAnsi" w:hAnsiTheme="majorHAnsi" w:cstheme="majorHAnsi"/>
          <w:szCs w:val="22"/>
        </w:rPr>
        <w:t xml:space="preserve"> Para la implementación del centro de faenamiento deberá cumplir, con los siguientes requisitos específicos: </w:t>
      </w:r>
    </w:p>
    <w:p w14:paraId="0211B1D3" w14:textId="733ABFB2"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cerco perimetral con un punto de acceso para animales vivos, lugar en el cual debe desarrollarse la desinfección de vehículos previo su ingreso al interior del establecimiento y el posterior proceso de verificación documental; </w:t>
      </w:r>
    </w:p>
    <w:p w14:paraId="7BDF9443" w14:textId="7CC5C304"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una zona de recepción de animales, la cual debe contar con un patio de maniobras de piso resistente que impida encharcamientos, con rampas de descarga que desemboquen en los corrales, además de tarimas elevadas para el proceso de inspección ante mortem; </w:t>
      </w:r>
    </w:p>
    <w:p w14:paraId="4B47B96A" w14:textId="57FFB069"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Corrales de reposo y de cuarentena con pisos resistentes, con pendiente del 3% cuyo diseño impida la acumulación de heces y orina en el interior de los mismos; </w:t>
      </w:r>
    </w:p>
    <w:p w14:paraId="19A0F7A5" w14:textId="10CF8A93"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Todos los corrales deben poseer, cubierta, abrevaderos y sus divisiones de material resistente cuya altura dependerá de la especie a alojar, de fácil limpieza y desinfección; el centro poseerá corrales para cada una de las especies. </w:t>
      </w:r>
    </w:p>
    <w:p w14:paraId="4F492A24" w14:textId="2276049A"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lastRenderedPageBreak/>
        <w:t xml:space="preserve">Poseer mangas de conducción construidas en material resistente, con diseño no lineal, sin esquinas, y cuyas dimensiones permitan la conducción de los animales e impidan su retorno, salida o aglomeración en su tránsito hacia zona de faenamiento; </w:t>
      </w:r>
    </w:p>
    <w:p w14:paraId="44E27F92" w14:textId="6CF1DE17"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sistema de pesaje de animales en algún punto desde la recepción previo el ingreso el sacrificio. </w:t>
      </w:r>
    </w:p>
    <w:p w14:paraId="4044CB5F" w14:textId="1FBC06F3"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La infraestructura para el ingreso de animales a la zona de faenamiento, así como su manejo en este punto deberá estar sujeto a lo determinado en los lineamientos de bienestar animal; </w:t>
      </w:r>
    </w:p>
    <w:p w14:paraId="2A3AD25B" w14:textId="26E7F70B"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sistema de sujeción y de aturdimiento acorde a la especie animal y cuya aplicación cumpla con los lineamientos de bienestar animal; </w:t>
      </w:r>
    </w:p>
    <w:p w14:paraId="2DA4B48B" w14:textId="4BE803EA"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sistema de rieles de conducción a lo largo de toda la línea de proceso, incluyendo el interior de las cámaras frigoríficas y la zona de despacho; </w:t>
      </w:r>
    </w:p>
    <w:p w14:paraId="27DF3FF7" w14:textId="77777777" w:rsidR="00A52A22"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sistema de elevación en el área de sacrificio, para que los animales una vez aturdidos sean suspendidos en el aire y colocados en el sistema de rieles de conducción; </w:t>
      </w:r>
    </w:p>
    <w:p w14:paraId="22AEF6EA" w14:textId="71EB44E8"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Poseer un sistema de recolección de sangre, diseñado de tal manera que evite derrames y salpicaduras a pisos y paredes</w:t>
      </w:r>
      <w:r w:rsidR="00A52A22" w:rsidRPr="00B24A80">
        <w:rPr>
          <w:rFonts w:asciiTheme="majorHAnsi" w:hAnsiTheme="majorHAnsi" w:cstheme="majorHAnsi"/>
          <w:szCs w:val="22"/>
        </w:rPr>
        <w:t>, y que garantice su tratamiento final.</w:t>
      </w:r>
    </w:p>
    <w:p w14:paraId="2D432E40" w14:textId="3E764A2B"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área de desuello o escaldado, dependiendo de la especie animal, a continuación del área de sacrificio; </w:t>
      </w:r>
    </w:p>
    <w:p w14:paraId="05520C6B" w14:textId="0E054DEF"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tarimas móviles de metal de altura regulable, para las operaciones de desollado, retiro de cabeza, extremidades y vísceras, para el caso de animales a los cuales se les retira la piel; </w:t>
      </w:r>
    </w:p>
    <w:p w14:paraId="37B31D11" w14:textId="51A21957"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Contar con un sistema de escaldado y eliminación de pelaje; para el caso de animales a los cuales se les retira el pelaje,</w:t>
      </w:r>
      <w:r w:rsidR="008317B4">
        <w:rPr>
          <w:rFonts w:asciiTheme="majorHAnsi" w:hAnsiTheme="majorHAnsi" w:cstheme="majorHAnsi"/>
          <w:szCs w:val="22"/>
        </w:rPr>
        <w:t xml:space="preserve"> considerando que la piel forma parte de la canal,</w:t>
      </w:r>
      <w:r w:rsidR="005C714D">
        <w:rPr>
          <w:rFonts w:asciiTheme="majorHAnsi" w:hAnsiTheme="majorHAnsi" w:cstheme="majorHAnsi"/>
          <w:szCs w:val="22"/>
        </w:rPr>
        <w:t xml:space="preserve"> </w:t>
      </w:r>
      <w:r w:rsidRPr="00B24A80">
        <w:rPr>
          <w:rFonts w:asciiTheme="majorHAnsi" w:hAnsiTheme="majorHAnsi" w:cstheme="majorHAnsi"/>
          <w:szCs w:val="22"/>
        </w:rPr>
        <w:t>luego de lo cual los animales deben ser elevados nuevamente y volver al sistema de conducción para los procesos subsecuentes;</w:t>
      </w:r>
    </w:p>
    <w:p w14:paraId="6D6EF7DB" w14:textId="3B9994A9"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Establecer áreas independientes y separadas físicamente del proceso principal para el tratamiento de subproductos cárnicos como vísceras, patas, cabezas y pieles; </w:t>
      </w:r>
    </w:p>
    <w:p w14:paraId="55276EDD" w14:textId="77B7602D"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sierras eléctricas de acero inoxidable de grado alimentario para la división de canales; </w:t>
      </w:r>
    </w:p>
    <w:p w14:paraId="64D4FA1C" w14:textId="667A894F"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un área de inspección post mortem de canales, la cual debe ser amplia y bien iluminada de tal manera que permita el libre movimiento del veterinario y el desarrollo apropiado de los procedimientos necesarios para la emisión de los respectivos dictámenes: esta área debe contar con los utensilios necesarios para la inspección, así como un sistema de pesaje de canales; </w:t>
      </w:r>
    </w:p>
    <w:p w14:paraId="598BFE9A" w14:textId="2AEA9206"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 xml:space="preserve">Poseer cámaras frigoríficas dotadas con equipo de refrigeración y un sistema de control de temperatura, las cuales deben ser dimensionadas acorde a la capacidad de recepción de animales; </w:t>
      </w:r>
    </w:p>
    <w:p w14:paraId="6AB35281" w14:textId="0E89099E" w:rsidR="00DC27E8" w:rsidRPr="00B24A80" w:rsidRDefault="007F5505" w:rsidP="00CA24CF">
      <w:pPr>
        <w:pStyle w:val="Prrafodelista"/>
        <w:widowControl/>
        <w:numPr>
          <w:ilvl w:val="0"/>
          <w:numId w:val="85"/>
        </w:numPr>
        <w:pBdr>
          <w:top w:val="nil"/>
          <w:left w:val="nil"/>
          <w:bottom w:val="nil"/>
          <w:right w:val="nil"/>
          <w:between w:val="nil"/>
        </w:pBdr>
        <w:shd w:val="clear" w:color="auto" w:fill="FFFFFF"/>
        <w:spacing w:line="276" w:lineRule="auto"/>
        <w:ind w:right="-100"/>
        <w:rPr>
          <w:rFonts w:asciiTheme="majorHAnsi" w:hAnsiTheme="majorHAnsi" w:cstheme="majorHAnsi"/>
          <w:szCs w:val="22"/>
        </w:rPr>
      </w:pPr>
      <w:r w:rsidRPr="00B24A80">
        <w:rPr>
          <w:rFonts w:asciiTheme="majorHAnsi" w:hAnsiTheme="majorHAnsi" w:cstheme="majorHAnsi"/>
          <w:szCs w:val="22"/>
        </w:rPr>
        <w:t>Establecer una zona de despacho, la cual debe contar con un área de transición desde las cámaras frigoríficas hasta las aberturas de despacho, las c</w:t>
      </w:r>
      <w:r w:rsidR="00800B6E">
        <w:rPr>
          <w:rFonts w:asciiTheme="majorHAnsi" w:hAnsiTheme="majorHAnsi" w:cstheme="majorHAnsi"/>
          <w:szCs w:val="22"/>
        </w:rPr>
        <w:t xml:space="preserve">uales </w:t>
      </w:r>
      <w:r w:rsidRPr="00B24A80">
        <w:rPr>
          <w:rFonts w:asciiTheme="majorHAnsi" w:hAnsiTheme="majorHAnsi" w:cstheme="majorHAnsi"/>
          <w:szCs w:val="22"/>
        </w:rPr>
        <w:t>deben estar ubicadas a una altura que permita que el piso de la abertura esté al mismo nivel que el piso de los contenedores.</w:t>
      </w:r>
    </w:p>
    <w:p w14:paraId="7C7102AA" w14:textId="77777777" w:rsidR="00DC27E8" w:rsidRPr="00B24A80" w:rsidRDefault="00DC27E8">
      <w:pPr>
        <w:widowControl/>
        <w:pBdr>
          <w:top w:val="nil"/>
          <w:left w:val="nil"/>
          <w:bottom w:val="nil"/>
          <w:right w:val="nil"/>
          <w:between w:val="nil"/>
        </w:pBdr>
        <w:shd w:val="clear" w:color="auto" w:fill="FFFFFF"/>
        <w:spacing w:after="240" w:line="276" w:lineRule="auto"/>
        <w:ind w:right="-100"/>
        <w:rPr>
          <w:rFonts w:asciiTheme="majorHAnsi" w:hAnsiTheme="majorHAnsi" w:cstheme="majorHAnsi"/>
          <w:sz w:val="22"/>
          <w:szCs w:val="22"/>
        </w:rPr>
      </w:pPr>
    </w:p>
    <w:p w14:paraId="168031DD" w14:textId="5ECC2C0D" w:rsidR="00DC27E8" w:rsidRPr="00B24A80" w:rsidRDefault="007F5505" w:rsidP="00CA24CF">
      <w:pPr>
        <w:pStyle w:val="Prrafodelista"/>
        <w:widowControl/>
        <w:numPr>
          <w:ilvl w:val="0"/>
          <w:numId w:val="114"/>
        </w:numPr>
        <w:tabs>
          <w:tab w:val="left" w:pos="851"/>
        </w:tabs>
        <w:spacing w:after="240" w:line="276" w:lineRule="auto"/>
        <w:ind w:right="-100"/>
        <w:rPr>
          <w:rFonts w:asciiTheme="majorHAnsi" w:hAnsiTheme="majorHAnsi" w:cstheme="majorHAnsi"/>
          <w:szCs w:val="22"/>
        </w:rPr>
      </w:pPr>
      <w:r w:rsidRPr="00B24A80">
        <w:rPr>
          <w:rFonts w:asciiTheme="majorHAnsi" w:hAnsiTheme="majorHAnsi" w:cstheme="majorHAnsi"/>
          <w:b/>
          <w:szCs w:val="22"/>
        </w:rPr>
        <w:t xml:space="preserve"> Aprobaciones.-</w:t>
      </w:r>
      <w:r w:rsidRPr="00B24A80">
        <w:rPr>
          <w:rFonts w:asciiTheme="majorHAnsi" w:hAnsiTheme="majorHAnsi" w:cstheme="majorHAnsi"/>
          <w:szCs w:val="22"/>
        </w:rPr>
        <w:t xml:space="preserve"> Las propuestas serán dirigidas a la </w:t>
      </w:r>
      <w:r w:rsidR="006E0959" w:rsidRPr="00B24A80">
        <w:rPr>
          <w:rFonts w:asciiTheme="majorHAnsi" w:hAnsiTheme="majorHAnsi" w:cstheme="majorHAnsi"/>
          <w:szCs w:val="22"/>
        </w:rPr>
        <w:t xml:space="preserve">Dirección de Gestión Planificación y Ordenamiento Territorial </w:t>
      </w:r>
      <w:r w:rsidRPr="00B24A80">
        <w:rPr>
          <w:rFonts w:asciiTheme="majorHAnsi" w:hAnsiTheme="majorHAnsi" w:cstheme="majorHAnsi"/>
          <w:szCs w:val="22"/>
        </w:rPr>
        <w:t xml:space="preserve">y estarán sujetas a las exigencias establecidas por la regulación de </w:t>
      </w:r>
      <w:r w:rsidRPr="00B24A80">
        <w:rPr>
          <w:rFonts w:asciiTheme="majorHAnsi" w:hAnsiTheme="majorHAnsi" w:cstheme="majorHAnsi"/>
          <w:szCs w:val="22"/>
        </w:rPr>
        <w:lastRenderedPageBreak/>
        <w:t xml:space="preserve">la LEY ORGÁNICA DE SANIDAD AGROPECUARIA, y de igual manera se deberá realizar los respectivos estudios de factibilidad así como de los proyectos de dotación de servicios básicos, queda restringido los asentamientos humanos alrededor de esa infraestructura en un radio de 1 km, las descargas que en esta se establezcan no podrán ser en ningún motivo directo a los ríos cercanos. </w:t>
      </w:r>
      <w:r w:rsidR="00DD6DF7" w:rsidRPr="00B24A80">
        <w:rPr>
          <w:rFonts w:asciiTheme="majorHAnsi" w:hAnsiTheme="majorHAnsi" w:cstheme="majorHAnsi"/>
          <w:szCs w:val="22"/>
        </w:rPr>
        <w:t xml:space="preserve">Lo no previsto en la </w:t>
      </w:r>
      <w:r w:rsidR="00A52A22" w:rsidRPr="00B24A80">
        <w:rPr>
          <w:rFonts w:asciiTheme="majorHAnsi" w:hAnsiTheme="majorHAnsi" w:cstheme="majorHAnsi"/>
          <w:szCs w:val="22"/>
        </w:rPr>
        <w:t>presente se ceñirá</w:t>
      </w:r>
      <w:r w:rsidR="00DD6DF7" w:rsidRPr="00B24A80">
        <w:rPr>
          <w:rFonts w:asciiTheme="majorHAnsi" w:hAnsiTheme="majorHAnsi" w:cstheme="majorHAnsi"/>
          <w:szCs w:val="22"/>
        </w:rPr>
        <w:t xml:space="preserve"> a la </w:t>
      </w:r>
      <w:r w:rsidR="00A52A22" w:rsidRPr="00B24A80">
        <w:rPr>
          <w:rFonts w:asciiTheme="majorHAnsi" w:hAnsiTheme="majorHAnsi" w:cstheme="majorHAnsi"/>
          <w:szCs w:val="22"/>
        </w:rPr>
        <w:t>regulación</w:t>
      </w:r>
      <w:r w:rsidR="00DD6DF7" w:rsidRPr="00B24A80">
        <w:rPr>
          <w:rFonts w:asciiTheme="majorHAnsi" w:hAnsiTheme="majorHAnsi" w:cstheme="majorHAnsi"/>
          <w:szCs w:val="22"/>
        </w:rPr>
        <w:t xml:space="preserve"> </w:t>
      </w:r>
      <w:r w:rsidR="00B04B00" w:rsidRPr="00B24A80">
        <w:rPr>
          <w:rFonts w:asciiTheme="majorHAnsi" w:hAnsiTheme="majorHAnsi" w:cstheme="majorHAnsi"/>
          <w:szCs w:val="22"/>
        </w:rPr>
        <w:t>de La Agencia Ecuatoriana de Aseguramiento de Calidad del Agro -AGROCALIDAD.</w:t>
      </w:r>
    </w:p>
    <w:p w14:paraId="29B341F5" w14:textId="49A5941D" w:rsidR="00DC27E8" w:rsidRPr="00B24A80" w:rsidRDefault="00EB5C24" w:rsidP="00EB5C24">
      <w:pPr>
        <w:pStyle w:val="Ttulo4"/>
        <w:rPr>
          <w:rFonts w:cstheme="majorHAnsi"/>
          <w:sz w:val="22"/>
          <w:szCs w:val="22"/>
        </w:rPr>
      </w:pPr>
      <w:bookmarkStart w:id="300" w:name="_heading=h.4iylrwe" w:colFirst="0" w:colLast="0"/>
      <w:bookmarkStart w:id="301" w:name="_Toc81085677"/>
      <w:bookmarkStart w:id="302" w:name="_Toc181374117"/>
      <w:bookmarkEnd w:id="300"/>
      <w:r w:rsidRPr="00B24A80">
        <w:rPr>
          <w:rFonts w:cstheme="majorHAnsi"/>
          <w:sz w:val="22"/>
          <w:szCs w:val="22"/>
        </w:rPr>
        <w:t>SECCIÓN</w:t>
      </w:r>
      <w:r w:rsidR="007F5505" w:rsidRPr="00B24A80">
        <w:rPr>
          <w:rFonts w:cstheme="majorHAnsi"/>
          <w:sz w:val="22"/>
          <w:szCs w:val="22"/>
        </w:rPr>
        <w:t xml:space="preserve"> X</w:t>
      </w:r>
      <w:bookmarkStart w:id="303" w:name="_heading=h.2y3w247" w:colFirst="0" w:colLast="0"/>
      <w:bookmarkEnd w:id="303"/>
      <w:r w:rsidRPr="00B24A80">
        <w:rPr>
          <w:rFonts w:cstheme="majorHAnsi"/>
          <w:sz w:val="22"/>
          <w:szCs w:val="22"/>
        </w:rPr>
        <w:br/>
      </w:r>
      <w:r w:rsidR="007F5505" w:rsidRPr="00B24A80">
        <w:rPr>
          <w:rFonts w:cstheme="majorHAnsi"/>
          <w:sz w:val="22"/>
          <w:szCs w:val="22"/>
        </w:rPr>
        <w:t>Explotación de Áridos y Pétreos</w:t>
      </w:r>
      <w:bookmarkEnd w:id="301"/>
      <w:bookmarkEnd w:id="302"/>
    </w:p>
    <w:p w14:paraId="675B7667" w14:textId="0C60464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Competencia. -</w:t>
      </w:r>
      <w:r w:rsidRPr="00B24A80">
        <w:rPr>
          <w:rFonts w:asciiTheme="majorHAnsi" w:eastAsia="Calibri" w:hAnsiTheme="majorHAnsi" w:cstheme="majorHAnsi"/>
          <w:color w:val="000000"/>
          <w:szCs w:val="22"/>
        </w:rPr>
        <w:t xml:space="preserve"> El control y autorización de explotación de material pétreo se sujetará a las Leyes de la materia y la ordenanza respectiva.</w:t>
      </w:r>
    </w:p>
    <w:p w14:paraId="617F39D9" w14:textId="23C5257C" w:rsidR="00DC27E8" w:rsidRPr="00B24A80" w:rsidRDefault="00EB5C24" w:rsidP="00EB5C24">
      <w:pPr>
        <w:pStyle w:val="Ttulo4"/>
        <w:rPr>
          <w:rFonts w:cstheme="majorHAnsi"/>
          <w:sz w:val="22"/>
          <w:szCs w:val="22"/>
        </w:rPr>
      </w:pPr>
      <w:bookmarkStart w:id="304" w:name="_heading=h.1d96cc0" w:colFirst="0" w:colLast="0"/>
      <w:bookmarkStart w:id="305" w:name="_Toc81085678"/>
      <w:bookmarkStart w:id="306" w:name="_Toc181374118"/>
      <w:bookmarkEnd w:id="304"/>
      <w:r w:rsidRPr="00B24A80">
        <w:rPr>
          <w:rFonts w:cstheme="majorHAnsi"/>
          <w:sz w:val="22"/>
          <w:szCs w:val="22"/>
        </w:rPr>
        <w:t>SECCIÓN</w:t>
      </w:r>
      <w:r w:rsidR="007F5505" w:rsidRPr="00B24A80">
        <w:rPr>
          <w:rFonts w:cstheme="majorHAnsi"/>
          <w:sz w:val="22"/>
          <w:szCs w:val="22"/>
        </w:rPr>
        <w:t xml:space="preserve"> X</w:t>
      </w:r>
      <w:r w:rsidR="005A5B95" w:rsidRPr="00B24A80">
        <w:rPr>
          <w:rFonts w:cstheme="majorHAnsi"/>
          <w:sz w:val="22"/>
          <w:szCs w:val="22"/>
        </w:rPr>
        <w:t>I</w:t>
      </w:r>
      <w:bookmarkStart w:id="307" w:name="_heading=h.3x8tuzt" w:colFirst="0" w:colLast="0"/>
      <w:bookmarkEnd w:id="307"/>
      <w:r w:rsidRPr="00B24A80">
        <w:rPr>
          <w:rFonts w:cstheme="majorHAnsi"/>
          <w:sz w:val="22"/>
          <w:szCs w:val="22"/>
        </w:rPr>
        <w:br/>
      </w:r>
      <w:r w:rsidR="007F5505" w:rsidRPr="00B24A80">
        <w:rPr>
          <w:rFonts w:cstheme="majorHAnsi"/>
          <w:sz w:val="22"/>
          <w:szCs w:val="22"/>
        </w:rPr>
        <w:t>De los Organismos de Regulación y Control</w:t>
      </w:r>
      <w:bookmarkEnd w:id="305"/>
      <w:bookmarkEnd w:id="306"/>
    </w:p>
    <w:p w14:paraId="68DB30E4" w14:textId="4993741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Constituyen instancias de regulación y control urbano las siguientes:</w:t>
      </w:r>
    </w:p>
    <w:p w14:paraId="6FF64C47" w14:textId="31A7FEE3" w:rsidR="00DC27E8" w:rsidRPr="00B24A80" w:rsidRDefault="00A35476" w:rsidP="009F132D">
      <w:pPr>
        <w:numPr>
          <w:ilvl w:val="0"/>
          <w:numId w:val="24"/>
        </w:numPr>
        <w:pBdr>
          <w:top w:val="nil"/>
          <w:left w:val="nil"/>
          <w:bottom w:val="nil"/>
          <w:right w:val="nil"/>
          <w:between w:val="nil"/>
        </w:pBdr>
        <w:tabs>
          <w:tab w:val="left" w:pos="784"/>
        </w:tabs>
        <w:spacing w:line="276" w:lineRule="auto"/>
        <w:ind w:right="-100"/>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 xml:space="preserve">El </w:t>
      </w:r>
      <w:r w:rsidR="007F5505" w:rsidRPr="00B24A80">
        <w:rPr>
          <w:rFonts w:asciiTheme="majorHAnsi" w:eastAsia="Calibri" w:hAnsiTheme="majorHAnsi" w:cstheme="majorHAnsi"/>
          <w:color w:val="000000"/>
          <w:sz w:val="22"/>
          <w:szCs w:val="22"/>
        </w:rPr>
        <w:t xml:space="preserve">Concejo </w:t>
      </w:r>
      <w:r>
        <w:rPr>
          <w:rFonts w:asciiTheme="majorHAnsi" w:eastAsia="Calibri" w:hAnsiTheme="majorHAnsi" w:cstheme="majorHAnsi"/>
          <w:color w:val="000000"/>
          <w:sz w:val="22"/>
          <w:szCs w:val="22"/>
        </w:rPr>
        <w:t xml:space="preserve">del GAD </w:t>
      </w:r>
      <w:r w:rsidR="007F5505" w:rsidRPr="00B24A80">
        <w:rPr>
          <w:rFonts w:asciiTheme="majorHAnsi" w:eastAsia="Calibri" w:hAnsiTheme="majorHAnsi" w:cstheme="majorHAnsi"/>
          <w:color w:val="000000"/>
          <w:sz w:val="22"/>
          <w:szCs w:val="22"/>
        </w:rPr>
        <w:t>Municipal de</w:t>
      </w:r>
      <w:r>
        <w:rPr>
          <w:rFonts w:asciiTheme="majorHAnsi" w:eastAsia="Calibri" w:hAnsiTheme="majorHAnsi" w:cstheme="majorHAnsi"/>
          <w:color w:val="000000"/>
          <w:sz w:val="22"/>
          <w:szCs w:val="22"/>
        </w:rPr>
        <w:t xml:space="preserve"> La Joya de los Sachas.</w:t>
      </w:r>
    </w:p>
    <w:p w14:paraId="18D966E9" w14:textId="07D8A763" w:rsidR="00560718" w:rsidRPr="00B24A80" w:rsidRDefault="007F5505" w:rsidP="009F132D">
      <w:pPr>
        <w:numPr>
          <w:ilvl w:val="0"/>
          <w:numId w:val="24"/>
        </w:numPr>
        <w:pBdr>
          <w:top w:val="nil"/>
          <w:left w:val="nil"/>
          <w:bottom w:val="nil"/>
          <w:right w:val="nil"/>
          <w:between w:val="nil"/>
        </w:pBdr>
        <w:tabs>
          <w:tab w:val="left" w:pos="784"/>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La </w:t>
      </w:r>
      <w:r w:rsidR="00776A43">
        <w:rPr>
          <w:rFonts w:asciiTheme="majorHAnsi" w:eastAsia="Calibri" w:hAnsiTheme="majorHAnsi" w:cstheme="majorHAnsi"/>
          <w:color w:val="000000"/>
          <w:sz w:val="22"/>
          <w:szCs w:val="22"/>
        </w:rPr>
        <w:t xml:space="preserve">Unidad de </w:t>
      </w:r>
      <w:r w:rsidR="000C1DEA">
        <w:rPr>
          <w:rFonts w:asciiTheme="majorHAnsi" w:eastAsia="Calibri" w:hAnsiTheme="majorHAnsi" w:cstheme="majorHAnsi"/>
          <w:color w:val="000000"/>
          <w:sz w:val="22"/>
          <w:szCs w:val="22"/>
        </w:rPr>
        <w:t>C</w:t>
      </w:r>
      <w:r w:rsidR="00776A43">
        <w:rPr>
          <w:rFonts w:asciiTheme="majorHAnsi" w:eastAsia="Calibri" w:hAnsiTheme="majorHAnsi" w:cstheme="majorHAnsi"/>
          <w:color w:val="000000"/>
          <w:sz w:val="22"/>
          <w:szCs w:val="22"/>
        </w:rPr>
        <w:t xml:space="preserve">ontrol </w:t>
      </w:r>
      <w:r w:rsidR="000C1DEA">
        <w:rPr>
          <w:rFonts w:asciiTheme="majorHAnsi" w:eastAsia="Calibri" w:hAnsiTheme="majorHAnsi" w:cstheme="majorHAnsi"/>
          <w:color w:val="000000"/>
          <w:sz w:val="22"/>
          <w:szCs w:val="22"/>
        </w:rPr>
        <w:t>y Juzgamiento</w:t>
      </w:r>
    </w:p>
    <w:p w14:paraId="56D92D0A" w14:textId="2744A34C" w:rsidR="00DC27E8" w:rsidRPr="00B24A80" w:rsidRDefault="00A52A22" w:rsidP="009F132D">
      <w:pPr>
        <w:numPr>
          <w:ilvl w:val="0"/>
          <w:numId w:val="24"/>
        </w:numPr>
        <w:pBdr>
          <w:top w:val="nil"/>
          <w:left w:val="nil"/>
          <w:bottom w:val="nil"/>
          <w:right w:val="nil"/>
          <w:between w:val="nil"/>
        </w:pBdr>
        <w:tabs>
          <w:tab w:val="left" w:pos="784"/>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La </w:t>
      </w:r>
      <w:r w:rsidR="00217328">
        <w:rPr>
          <w:rFonts w:asciiTheme="majorHAnsi" w:eastAsia="Calibri" w:hAnsiTheme="majorHAnsi" w:cstheme="majorHAnsi"/>
          <w:color w:val="000000"/>
          <w:sz w:val="22"/>
          <w:szCs w:val="22"/>
        </w:rPr>
        <w:t>Dirección</w:t>
      </w:r>
      <w:r w:rsidR="00560718" w:rsidRPr="00B24A80">
        <w:rPr>
          <w:rFonts w:asciiTheme="majorHAnsi" w:eastAsia="Calibri" w:hAnsiTheme="majorHAnsi" w:cstheme="majorHAnsi"/>
          <w:color w:val="000000"/>
          <w:sz w:val="22"/>
          <w:szCs w:val="22"/>
        </w:rPr>
        <w:t xml:space="preserve"> de </w:t>
      </w:r>
      <w:r w:rsidR="00217328">
        <w:rPr>
          <w:rFonts w:asciiTheme="majorHAnsi" w:eastAsia="Calibri" w:hAnsiTheme="majorHAnsi" w:cstheme="majorHAnsi"/>
          <w:color w:val="000000"/>
          <w:sz w:val="22"/>
          <w:szCs w:val="22"/>
        </w:rPr>
        <w:t>Gestión Ambiental</w:t>
      </w:r>
      <w:r w:rsidR="00D22CD2">
        <w:rPr>
          <w:rFonts w:asciiTheme="majorHAnsi" w:eastAsia="Calibri" w:hAnsiTheme="majorHAnsi" w:cstheme="majorHAnsi"/>
          <w:color w:val="000000"/>
          <w:sz w:val="22"/>
          <w:szCs w:val="22"/>
        </w:rPr>
        <w:t>.</w:t>
      </w:r>
    </w:p>
    <w:p w14:paraId="3718E84B" w14:textId="77777777" w:rsidR="00B04B00" w:rsidRPr="00B24A80" w:rsidRDefault="00B04B00" w:rsidP="00B04B0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957287E" w14:textId="1440C74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 xml:space="preserve">Son deberes y atribuciones de la Comisión de Planificación del </w:t>
      </w:r>
      <w:r w:rsidR="006E0959" w:rsidRPr="00B24A80">
        <w:rPr>
          <w:rFonts w:asciiTheme="majorHAnsi" w:eastAsia="Calibri" w:hAnsiTheme="majorHAnsi" w:cstheme="majorHAnsi"/>
          <w:b/>
          <w:color w:val="000000"/>
          <w:szCs w:val="22"/>
        </w:rPr>
        <w:t>GADM del cantón La Joya de los Sachas</w:t>
      </w:r>
      <w:r w:rsidRPr="00B24A80">
        <w:rPr>
          <w:rFonts w:asciiTheme="majorHAnsi" w:eastAsia="Calibri" w:hAnsiTheme="majorHAnsi" w:cstheme="majorHAnsi"/>
          <w:b/>
          <w:color w:val="000000"/>
          <w:szCs w:val="22"/>
        </w:rPr>
        <w:t xml:space="preserve">, </w:t>
      </w:r>
      <w:r w:rsidRPr="00B24A80">
        <w:rPr>
          <w:rFonts w:asciiTheme="majorHAnsi" w:eastAsia="Calibri" w:hAnsiTheme="majorHAnsi" w:cstheme="majorHAnsi"/>
          <w:color w:val="000000"/>
          <w:szCs w:val="22"/>
        </w:rPr>
        <w:t>a más de las establecidas en la Ordenanza de funcionamiento del Concejo Municipal las siguientes:</w:t>
      </w:r>
    </w:p>
    <w:p w14:paraId="0FB94411" w14:textId="77777777" w:rsidR="00DC27E8" w:rsidRPr="00B24A80" w:rsidRDefault="007F5505" w:rsidP="009F132D">
      <w:pPr>
        <w:numPr>
          <w:ilvl w:val="0"/>
          <w:numId w:val="23"/>
        </w:numPr>
        <w:pBdr>
          <w:top w:val="nil"/>
          <w:left w:val="nil"/>
          <w:bottom w:val="nil"/>
          <w:right w:val="nil"/>
          <w:between w:val="nil"/>
        </w:pBdr>
        <w:tabs>
          <w:tab w:val="left" w:pos="770"/>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Velar por la debida observancia de las disposiciones de esta ordenanza;</w:t>
      </w:r>
    </w:p>
    <w:p w14:paraId="0BCF16E3" w14:textId="77777777" w:rsidR="00DC27E8" w:rsidRPr="00B24A80" w:rsidRDefault="007F5505" w:rsidP="009F132D">
      <w:pPr>
        <w:numPr>
          <w:ilvl w:val="0"/>
          <w:numId w:val="23"/>
        </w:numPr>
        <w:pBdr>
          <w:top w:val="nil"/>
          <w:left w:val="nil"/>
          <w:bottom w:val="nil"/>
          <w:right w:val="nil"/>
          <w:between w:val="nil"/>
        </w:pBdr>
        <w:tabs>
          <w:tab w:val="left" w:pos="777"/>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Establecer lineamientos para la formulación y/o actualización del Plan de Desarrollo y Ordenamiento Territorial, el Plan de Uso y Gestión del Suelo y sus planes complementarios.</w:t>
      </w:r>
    </w:p>
    <w:p w14:paraId="22ADB917" w14:textId="7A47B259" w:rsidR="00DC27E8" w:rsidRPr="00B24A80" w:rsidRDefault="007F5505" w:rsidP="009F132D">
      <w:pPr>
        <w:numPr>
          <w:ilvl w:val="0"/>
          <w:numId w:val="23"/>
        </w:numPr>
        <w:pBdr>
          <w:top w:val="nil"/>
          <w:left w:val="nil"/>
          <w:bottom w:val="nil"/>
          <w:right w:val="nil"/>
          <w:between w:val="nil"/>
        </w:pBdr>
        <w:tabs>
          <w:tab w:val="left" w:pos="777"/>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Emitir </w:t>
      </w:r>
      <w:r w:rsidR="00CA5CA8">
        <w:rPr>
          <w:rFonts w:asciiTheme="majorHAnsi" w:eastAsia="Calibri" w:hAnsiTheme="majorHAnsi" w:cstheme="majorHAnsi"/>
          <w:color w:val="000000"/>
          <w:sz w:val="22"/>
          <w:szCs w:val="22"/>
        </w:rPr>
        <w:t>dictámenes sobre los asuntos que requieran resolución del Concejo Municipal referentes a la explotación de áridos y pétreos</w:t>
      </w:r>
      <w:r w:rsidRPr="00B24A80">
        <w:rPr>
          <w:rFonts w:asciiTheme="majorHAnsi" w:eastAsia="Calibri" w:hAnsiTheme="majorHAnsi" w:cstheme="majorHAnsi"/>
          <w:color w:val="000000"/>
          <w:sz w:val="22"/>
          <w:szCs w:val="22"/>
        </w:rPr>
        <w:t>;</w:t>
      </w:r>
    </w:p>
    <w:p w14:paraId="5AE7B381" w14:textId="0D9C8D47" w:rsidR="00DC27E8" w:rsidRPr="00B24A80" w:rsidRDefault="007F5505" w:rsidP="009F132D">
      <w:pPr>
        <w:numPr>
          <w:ilvl w:val="0"/>
          <w:numId w:val="23"/>
        </w:numPr>
        <w:pBdr>
          <w:top w:val="nil"/>
          <w:left w:val="nil"/>
          <w:bottom w:val="nil"/>
          <w:right w:val="nil"/>
          <w:between w:val="nil"/>
        </w:pBdr>
        <w:tabs>
          <w:tab w:val="left" w:pos="777"/>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Las demás previstas </w:t>
      </w:r>
      <w:r w:rsidR="00EE1AEC">
        <w:rPr>
          <w:rFonts w:asciiTheme="majorHAnsi" w:eastAsia="Calibri" w:hAnsiTheme="majorHAnsi" w:cstheme="majorHAnsi"/>
          <w:color w:val="000000"/>
          <w:sz w:val="22"/>
          <w:szCs w:val="22"/>
        </w:rPr>
        <w:t>en otros cuerpos normativos.</w:t>
      </w:r>
      <w:r w:rsidRPr="00B24A80">
        <w:rPr>
          <w:rFonts w:asciiTheme="majorHAnsi" w:eastAsia="Calibri" w:hAnsiTheme="majorHAnsi" w:cstheme="majorHAnsi"/>
          <w:color w:val="000000"/>
          <w:sz w:val="22"/>
          <w:szCs w:val="22"/>
        </w:rPr>
        <w:t xml:space="preserve"> </w:t>
      </w:r>
    </w:p>
    <w:p w14:paraId="396004D2" w14:textId="0033607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La Comisión de Planificación y Presupuesto del Concejo Municipal del </w:t>
      </w:r>
      <w:r w:rsidR="006E0959" w:rsidRPr="00B24A80">
        <w:rPr>
          <w:rFonts w:asciiTheme="majorHAnsi" w:eastAsia="Calibri" w:hAnsiTheme="majorHAnsi" w:cstheme="majorHAnsi"/>
          <w:b/>
          <w:color w:val="000000"/>
          <w:szCs w:val="22"/>
        </w:rPr>
        <w:t>GADM del cantón La Joya de los Sachas</w:t>
      </w:r>
      <w:r w:rsidRPr="00B24A80">
        <w:rPr>
          <w:rFonts w:asciiTheme="majorHAnsi" w:eastAsia="Calibri" w:hAnsiTheme="majorHAnsi" w:cstheme="majorHAnsi"/>
          <w:b/>
          <w:color w:val="000000"/>
          <w:szCs w:val="22"/>
        </w:rPr>
        <w:t>,</w:t>
      </w:r>
      <w:r w:rsidRPr="00B24A80">
        <w:rPr>
          <w:rFonts w:asciiTheme="majorHAnsi" w:eastAsia="Calibri" w:hAnsiTheme="majorHAnsi" w:cstheme="majorHAnsi"/>
          <w:color w:val="000000"/>
          <w:szCs w:val="22"/>
        </w:rPr>
        <w:t xml:space="preserve"> propondrá normas especiales para la conservación, ordenamiento, restauración y mejora de los edificios y elementos naturales y urbanísticos de zonas de gran valor artístico paisajístico y urbanístico, no contemplado en la presente ordenanza, al pleno del Concejo Municipal.</w:t>
      </w:r>
    </w:p>
    <w:p w14:paraId="4E0798B4" w14:textId="77777777" w:rsidR="00493CE4" w:rsidRPr="00B24A80" w:rsidRDefault="00493CE4" w:rsidP="00493CE4">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0D396F59" w14:textId="3B3E19EF" w:rsidR="00DC27E8" w:rsidRPr="00B24A80" w:rsidRDefault="007F5505" w:rsidP="00EB5C24">
      <w:pPr>
        <w:pStyle w:val="Ttulo3"/>
        <w:rPr>
          <w:rFonts w:cstheme="majorHAnsi"/>
          <w:sz w:val="22"/>
          <w:szCs w:val="22"/>
        </w:rPr>
      </w:pPr>
      <w:bookmarkStart w:id="308" w:name="_heading=h.2ce457m" w:colFirst="0" w:colLast="0"/>
      <w:bookmarkStart w:id="309" w:name="_Toc65711706"/>
      <w:bookmarkStart w:id="310" w:name="_Toc81085679"/>
      <w:bookmarkStart w:id="311" w:name="_Toc181374119"/>
      <w:bookmarkEnd w:id="308"/>
      <w:r w:rsidRPr="00B24A80">
        <w:rPr>
          <w:rFonts w:cstheme="majorHAnsi"/>
          <w:sz w:val="22"/>
          <w:szCs w:val="22"/>
        </w:rPr>
        <w:lastRenderedPageBreak/>
        <w:t xml:space="preserve">CAPÍTULO </w:t>
      </w:r>
      <w:bookmarkStart w:id="312" w:name="_heading=h.rjefff" w:colFirst="0" w:colLast="0"/>
      <w:bookmarkEnd w:id="312"/>
      <w:r w:rsidR="00F87698">
        <w:rPr>
          <w:rFonts w:cstheme="majorHAnsi"/>
          <w:sz w:val="22"/>
          <w:szCs w:val="22"/>
        </w:rPr>
        <w:t>IX</w:t>
      </w:r>
      <w:r w:rsidR="00EB5C24" w:rsidRPr="00B24A80">
        <w:rPr>
          <w:rFonts w:cstheme="majorHAnsi"/>
          <w:sz w:val="22"/>
          <w:szCs w:val="22"/>
        </w:rPr>
        <w:br/>
      </w:r>
      <w:r w:rsidRPr="00B24A80">
        <w:rPr>
          <w:rFonts w:cstheme="majorHAnsi"/>
          <w:sz w:val="22"/>
          <w:szCs w:val="22"/>
        </w:rPr>
        <w:t>Reglas Relativas a la Transferencia de Inmuebles</w:t>
      </w:r>
      <w:bookmarkEnd w:id="309"/>
      <w:bookmarkEnd w:id="310"/>
      <w:bookmarkEnd w:id="311"/>
      <w:r w:rsidRPr="00B24A80">
        <w:rPr>
          <w:rFonts w:cstheme="majorHAnsi"/>
          <w:sz w:val="22"/>
          <w:szCs w:val="22"/>
        </w:rPr>
        <w:t xml:space="preserve"> </w:t>
      </w:r>
    </w:p>
    <w:p w14:paraId="6B4CFF82" w14:textId="4C362E30" w:rsidR="00DC27E8" w:rsidRPr="00B24A80" w:rsidRDefault="00EB5C24" w:rsidP="00EB5C24">
      <w:pPr>
        <w:pStyle w:val="Ttulo4"/>
        <w:rPr>
          <w:rFonts w:cstheme="majorHAnsi"/>
          <w:sz w:val="22"/>
          <w:szCs w:val="22"/>
        </w:rPr>
      </w:pPr>
      <w:bookmarkStart w:id="313" w:name="_heading=h.3bj1y38" w:colFirst="0" w:colLast="0"/>
      <w:bookmarkStart w:id="314" w:name="_Toc81085680"/>
      <w:bookmarkStart w:id="315" w:name="_Toc181374120"/>
      <w:bookmarkEnd w:id="313"/>
      <w:r w:rsidRPr="00B24A80">
        <w:rPr>
          <w:rFonts w:cstheme="majorHAnsi"/>
          <w:sz w:val="22"/>
          <w:szCs w:val="22"/>
        </w:rPr>
        <w:t>SECCIÓN</w:t>
      </w:r>
      <w:r w:rsidR="007F5505" w:rsidRPr="00B24A80">
        <w:rPr>
          <w:rFonts w:cstheme="majorHAnsi"/>
          <w:sz w:val="22"/>
          <w:szCs w:val="22"/>
        </w:rPr>
        <w:t xml:space="preserve"> I</w:t>
      </w:r>
      <w:bookmarkStart w:id="316" w:name="_heading=h.1qoc8b1" w:colFirst="0" w:colLast="0"/>
      <w:bookmarkEnd w:id="316"/>
      <w:r w:rsidRPr="00B24A80">
        <w:rPr>
          <w:rFonts w:cstheme="majorHAnsi"/>
          <w:sz w:val="22"/>
          <w:szCs w:val="22"/>
        </w:rPr>
        <w:br/>
      </w:r>
      <w:r w:rsidR="007F5505" w:rsidRPr="00B24A80">
        <w:rPr>
          <w:rFonts w:cstheme="majorHAnsi"/>
          <w:sz w:val="22"/>
          <w:szCs w:val="22"/>
        </w:rPr>
        <w:t>De la Transferencia</w:t>
      </w:r>
      <w:r w:rsidR="005954A4" w:rsidRPr="00B24A80">
        <w:rPr>
          <w:rFonts w:cstheme="majorHAnsi"/>
          <w:sz w:val="22"/>
          <w:szCs w:val="22"/>
        </w:rPr>
        <w:t xml:space="preserve"> de domino</w:t>
      </w:r>
      <w:r w:rsidR="007F5505" w:rsidRPr="00B24A80">
        <w:rPr>
          <w:rFonts w:cstheme="majorHAnsi"/>
          <w:sz w:val="22"/>
          <w:szCs w:val="22"/>
        </w:rPr>
        <w:t xml:space="preserve"> de Lotes Urbanos</w:t>
      </w:r>
      <w:bookmarkEnd w:id="314"/>
      <w:bookmarkEnd w:id="315"/>
    </w:p>
    <w:p w14:paraId="03F2FF90" w14:textId="4AD8D96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Los interesados en transferir lotes urbanos habilitados, deben seguir el siguiente procedimiento;</w:t>
      </w:r>
    </w:p>
    <w:p w14:paraId="3F1A9567" w14:textId="10E21904" w:rsidR="00090B24" w:rsidRPr="00B24A80" w:rsidRDefault="007F5505" w:rsidP="009F132D">
      <w:pPr>
        <w:numPr>
          <w:ilvl w:val="0"/>
          <w:numId w:val="25"/>
        </w:numPr>
        <w:pBdr>
          <w:top w:val="nil"/>
          <w:left w:val="nil"/>
          <w:bottom w:val="nil"/>
          <w:right w:val="nil"/>
          <w:between w:val="nil"/>
        </w:pBdr>
        <w:tabs>
          <w:tab w:val="left" w:pos="394"/>
        </w:tabs>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 xml:space="preserve">Solicitud dirigida al </w:t>
      </w:r>
      <w:r w:rsidR="00A7169A" w:rsidRPr="00B24A80">
        <w:rPr>
          <w:rFonts w:asciiTheme="majorHAnsi" w:eastAsia="Calibri" w:hAnsiTheme="majorHAnsi" w:cstheme="majorHAnsi"/>
          <w:color w:val="000000"/>
          <w:sz w:val="22"/>
          <w:szCs w:val="22"/>
        </w:rPr>
        <w:t>Dirección de Gestión Planificación y Ordenamiento Territorial</w:t>
      </w:r>
      <w:r w:rsidR="00493CE4" w:rsidRPr="00B24A80">
        <w:rPr>
          <w:rFonts w:asciiTheme="majorHAnsi" w:eastAsia="Calibri" w:hAnsiTheme="majorHAnsi" w:cstheme="majorHAnsi"/>
          <w:color w:val="000000"/>
          <w:sz w:val="22"/>
          <w:szCs w:val="22"/>
        </w:rPr>
        <w:t xml:space="preserve"> </w:t>
      </w:r>
      <w:r w:rsidR="00AB3020" w:rsidRPr="00B24A80">
        <w:rPr>
          <w:rFonts w:asciiTheme="majorHAnsi" w:eastAsia="Calibri" w:hAnsiTheme="majorHAnsi" w:cstheme="majorHAnsi"/>
          <w:color w:val="000000"/>
          <w:sz w:val="22"/>
          <w:szCs w:val="22"/>
        </w:rPr>
        <w:t xml:space="preserve">del </w:t>
      </w:r>
      <w:r w:rsidR="006E0959" w:rsidRPr="00B24A80">
        <w:rPr>
          <w:rFonts w:asciiTheme="majorHAnsi" w:eastAsia="Calibri" w:hAnsiTheme="majorHAnsi" w:cstheme="majorHAnsi"/>
          <w:color w:val="000000"/>
          <w:sz w:val="22"/>
          <w:szCs w:val="22"/>
        </w:rPr>
        <w:t>GADM del cantón La Joya de los Sachas</w:t>
      </w:r>
      <w:r w:rsidR="00AB3020" w:rsidRPr="00B24A80">
        <w:rPr>
          <w:rFonts w:asciiTheme="majorHAnsi" w:eastAsia="Calibri" w:hAnsiTheme="majorHAnsi" w:cstheme="majorHAnsi"/>
          <w:color w:val="000000"/>
          <w:sz w:val="22"/>
          <w:szCs w:val="22"/>
        </w:rPr>
        <w:t xml:space="preserve">, solicitando autorización de </w:t>
      </w:r>
      <w:r w:rsidRPr="00B24A80">
        <w:rPr>
          <w:rFonts w:asciiTheme="majorHAnsi" w:eastAsia="Calibri" w:hAnsiTheme="majorHAnsi" w:cstheme="majorHAnsi"/>
          <w:color w:val="000000"/>
          <w:sz w:val="22"/>
          <w:szCs w:val="22"/>
        </w:rPr>
        <w:t>transferencia de dominio</w:t>
      </w:r>
      <w:r w:rsidR="00AB3020" w:rsidRPr="00B24A80">
        <w:rPr>
          <w:rFonts w:asciiTheme="majorHAnsi" w:eastAsia="Calibri" w:hAnsiTheme="majorHAnsi" w:cstheme="majorHAnsi"/>
          <w:color w:val="000000"/>
          <w:sz w:val="22"/>
          <w:szCs w:val="22"/>
        </w:rPr>
        <w:t xml:space="preserve"> del terreno</w:t>
      </w:r>
      <w:r w:rsidR="00397F4A" w:rsidRPr="00B24A80">
        <w:rPr>
          <w:rFonts w:asciiTheme="majorHAnsi" w:eastAsia="Calibri" w:hAnsiTheme="majorHAnsi" w:cstheme="majorHAnsi"/>
          <w:color w:val="000000"/>
          <w:sz w:val="22"/>
          <w:szCs w:val="22"/>
        </w:rPr>
        <w:t>.</w:t>
      </w:r>
    </w:p>
    <w:p w14:paraId="4DF11C28" w14:textId="72018364" w:rsidR="00DC27E8" w:rsidRPr="00B24A80" w:rsidRDefault="007F5505" w:rsidP="009F132D">
      <w:pPr>
        <w:numPr>
          <w:ilvl w:val="0"/>
          <w:numId w:val="25"/>
        </w:numPr>
        <w:pBdr>
          <w:top w:val="nil"/>
          <w:left w:val="nil"/>
          <w:bottom w:val="nil"/>
          <w:right w:val="nil"/>
          <w:between w:val="nil"/>
        </w:pBdr>
        <w:tabs>
          <w:tab w:val="left" w:pos="394"/>
        </w:tabs>
        <w:spacing w:after="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Copia de la Escritura Pública;</w:t>
      </w:r>
    </w:p>
    <w:p w14:paraId="35D21A1A" w14:textId="4EC680EB" w:rsidR="00DC27E8" w:rsidRPr="00B24A80" w:rsidRDefault="007F5505" w:rsidP="009F132D">
      <w:pPr>
        <w:numPr>
          <w:ilvl w:val="0"/>
          <w:numId w:val="25"/>
        </w:numPr>
        <w:pBdr>
          <w:top w:val="nil"/>
          <w:left w:val="nil"/>
          <w:bottom w:val="nil"/>
          <w:right w:val="nil"/>
          <w:between w:val="nil"/>
        </w:pBdr>
        <w:tabs>
          <w:tab w:val="left" w:pos="394"/>
        </w:tabs>
        <w:spacing w:after="240"/>
        <w:ind w:right="-100"/>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Certificado d</w:t>
      </w:r>
      <w:r w:rsidR="00AB3020" w:rsidRPr="00B24A80">
        <w:rPr>
          <w:rFonts w:asciiTheme="majorHAnsi" w:eastAsia="Calibri" w:hAnsiTheme="majorHAnsi" w:cstheme="majorHAnsi"/>
          <w:color w:val="000000"/>
          <w:sz w:val="22"/>
          <w:szCs w:val="22"/>
        </w:rPr>
        <w:t xml:space="preserve">e </w:t>
      </w:r>
      <w:r w:rsidR="00932FE4">
        <w:rPr>
          <w:rFonts w:asciiTheme="majorHAnsi" w:eastAsia="Calibri" w:hAnsiTheme="majorHAnsi" w:cstheme="majorHAnsi"/>
          <w:color w:val="000000"/>
          <w:sz w:val="22"/>
          <w:szCs w:val="22"/>
        </w:rPr>
        <w:t>A</w:t>
      </w:r>
      <w:r w:rsidR="00AB3020" w:rsidRPr="00B24A80">
        <w:rPr>
          <w:rFonts w:asciiTheme="majorHAnsi" w:eastAsia="Calibri" w:hAnsiTheme="majorHAnsi" w:cstheme="majorHAnsi"/>
          <w:color w:val="000000"/>
          <w:sz w:val="22"/>
          <w:szCs w:val="22"/>
        </w:rPr>
        <w:t xml:space="preserve">valúos y </w:t>
      </w:r>
      <w:r w:rsidR="00932FE4">
        <w:rPr>
          <w:rFonts w:asciiTheme="majorHAnsi" w:eastAsia="Calibri" w:hAnsiTheme="majorHAnsi" w:cstheme="majorHAnsi"/>
          <w:color w:val="000000"/>
          <w:sz w:val="22"/>
          <w:szCs w:val="22"/>
        </w:rPr>
        <w:t>C</w:t>
      </w:r>
      <w:r w:rsidR="00AB3020" w:rsidRPr="00B24A80">
        <w:rPr>
          <w:rFonts w:asciiTheme="majorHAnsi" w:eastAsia="Calibri" w:hAnsiTheme="majorHAnsi" w:cstheme="majorHAnsi"/>
          <w:color w:val="000000"/>
          <w:sz w:val="22"/>
          <w:szCs w:val="22"/>
        </w:rPr>
        <w:t>atastros</w:t>
      </w:r>
      <w:r w:rsidRPr="00B24A80">
        <w:rPr>
          <w:rFonts w:asciiTheme="majorHAnsi" w:eastAsia="Calibri" w:hAnsiTheme="majorHAnsi" w:cstheme="majorHAnsi"/>
          <w:color w:val="000000"/>
          <w:sz w:val="22"/>
          <w:szCs w:val="22"/>
        </w:rPr>
        <w:t>;</w:t>
      </w:r>
    </w:p>
    <w:p w14:paraId="0115F58F" w14:textId="646A22DF" w:rsidR="00AB3020" w:rsidRPr="00B24A80" w:rsidRDefault="00AB3020" w:rsidP="009F132D">
      <w:pPr>
        <w:numPr>
          <w:ilvl w:val="0"/>
          <w:numId w:val="25"/>
        </w:numPr>
        <w:pBdr>
          <w:top w:val="nil"/>
          <w:left w:val="nil"/>
          <w:bottom w:val="nil"/>
          <w:right w:val="nil"/>
          <w:between w:val="nil"/>
        </w:pBdr>
        <w:tabs>
          <w:tab w:val="left" w:pos="394"/>
        </w:tabs>
        <w:spacing w:after="240"/>
        <w:ind w:right="-100"/>
        <w:rPr>
          <w:rFonts w:asciiTheme="majorHAnsi" w:eastAsia="Calibri" w:hAnsiTheme="majorHAnsi" w:cstheme="majorHAnsi"/>
          <w:sz w:val="22"/>
          <w:szCs w:val="22"/>
        </w:rPr>
      </w:pPr>
      <w:r w:rsidRPr="00B24A80">
        <w:rPr>
          <w:rFonts w:asciiTheme="majorHAnsi" w:eastAsia="Calibri" w:hAnsiTheme="majorHAnsi" w:cstheme="majorHAnsi"/>
          <w:color w:val="000000"/>
          <w:sz w:val="22"/>
          <w:szCs w:val="22"/>
        </w:rPr>
        <w:t xml:space="preserve">Certificado del </w:t>
      </w:r>
      <w:r w:rsidR="00932FE4">
        <w:rPr>
          <w:rFonts w:asciiTheme="majorHAnsi" w:eastAsia="Calibri" w:hAnsiTheme="majorHAnsi" w:cstheme="majorHAnsi"/>
          <w:color w:val="000000"/>
          <w:sz w:val="22"/>
          <w:szCs w:val="22"/>
        </w:rPr>
        <w:t>R</w:t>
      </w:r>
      <w:r w:rsidRPr="00B24A80">
        <w:rPr>
          <w:rFonts w:asciiTheme="majorHAnsi" w:eastAsia="Calibri" w:hAnsiTheme="majorHAnsi" w:cstheme="majorHAnsi"/>
          <w:color w:val="000000"/>
          <w:sz w:val="22"/>
          <w:szCs w:val="22"/>
        </w:rPr>
        <w:t xml:space="preserve">egistro de la </w:t>
      </w:r>
      <w:r w:rsidR="00932FE4">
        <w:rPr>
          <w:rFonts w:asciiTheme="majorHAnsi" w:eastAsia="Calibri" w:hAnsiTheme="majorHAnsi" w:cstheme="majorHAnsi"/>
          <w:color w:val="000000"/>
          <w:sz w:val="22"/>
          <w:szCs w:val="22"/>
        </w:rPr>
        <w:t>P</w:t>
      </w:r>
      <w:r w:rsidRPr="00B24A80">
        <w:rPr>
          <w:rFonts w:asciiTheme="majorHAnsi" w:eastAsia="Calibri" w:hAnsiTheme="majorHAnsi" w:cstheme="majorHAnsi"/>
          <w:color w:val="000000"/>
          <w:sz w:val="22"/>
          <w:szCs w:val="22"/>
        </w:rPr>
        <w:t>ropiedad;</w:t>
      </w:r>
    </w:p>
    <w:p w14:paraId="78077B81" w14:textId="2B4756C3" w:rsidR="00F24275" w:rsidRPr="00B24A80" w:rsidRDefault="00F24275" w:rsidP="009F132D">
      <w:pPr>
        <w:numPr>
          <w:ilvl w:val="0"/>
          <w:numId w:val="25"/>
        </w:numPr>
        <w:pBdr>
          <w:top w:val="nil"/>
          <w:left w:val="nil"/>
          <w:bottom w:val="nil"/>
          <w:right w:val="nil"/>
          <w:between w:val="nil"/>
        </w:pBdr>
        <w:tabs>
          <w:tab w:val="left" w:pos="402"/>
        </w:tabs>
        <w:spacing w:after="240"/>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Informe de predial de regulación urbana. (línea de fábrica)</w:t>
      </w:r>
    </w:p>
    <w:p w14:paraId="6AD838D9" w14:textId="7B0AA1A8" w:rsidR="00F24275" w:rsidRPr="00B24A80" w:rsidRDefault="00F24275" w:rsidP="009F132D">
      <w:pPr>
        <w:numPr>
          <w:ilvl w:val="0"/>
          <w:numId w:val="25"/>
        </w:numPr>
        <w:pBdr>
          <w:top w:val="nil"/>
          <w:left w:val="nil"/>
          <w:bottom w:val="nil"/>
          <w:right w:val="nil"/>
          <w:between w:val="nil"/>
        </w:pBdr>
        <w:tabs>
          <w:tab w:val="left" w:pos="402"/>
        </w:tabs>
        <w:spacing w:after="240"/>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Certificado de no adeudar al municipio (comprador y vendedor);</w:t>
      </w:r>
    </w:p>
    <w:p w14:paraId="61E89746" w14:textId="6D4426AB" w:rsidR="00F24275" w:rsidRDefault="00F24275" w:rsidP="009F132D">
      <w:pPr>
        <w:numPr>
          <w:ilvl w:val="0"/>
          <w:numId w:val="25"/>
        </w:numPr>
        <w:pBdr>
          <w:top w:val="nil"/>
          <w:left w:val="nil"/>
          <w:bottom w:val="nil"/>
          <w:right w:val="nil"/>
          <w:between w:val="nil"/>
        </w:pBdr>
        <w:tabs>
          <w:tab w:val="left" w:pos="402"/>
        </w:tabs>
        <w:spacing w:after="240"/>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Copias de Documentos personales (comprador y vendedor);</w:t>
      </w:r>
      <w:r w:rsidR="00C27664">
        <w:rPr>
          <w:rFonts w:asciiTheme="majorHAnsi" w:eastAsia="Calibri" w:hAnsiTheme="majorHAnsi" w:cstheme="majorHAnsi"/>
          <w:sz w:val="22"/>
          <w:szCs w:val="22"/>
        </w:rPr>
        <w:t xml:space="preserve"> y</w:t>
      </w:r>
      <w:r w:rsidR="00876B0C">
        <w:rPr>
          <w:rFonts w:asciiTheme="majorHAnsi" w:eastAsia="Calibri" w:hAnsiTheme="majorHAnsi" w:cstheme="majorHAnsi"/>
          <w:sz w:val="22"/>
          <w:szCs w:val="22"/>
        </w:rPr>
        <w:t>,</w:t>
      </w:r>
    </w:p>
    <w:p w14:paraId="23CB2D71" w14:textId="2296F28A" w:rsidR="00876B0C" w:rsidRDefault="00374E6E" w:rsidP="009F132D">
      <w:pPr>
        <w:numPr>
          <w:ilvl w:val="0"/>
          <w:numId w:val="25"/>
        </w:numPr>
        <w:pBdr>
          <w:top w:val="nil"/>
          <w:left w:val="nil"/>
          <w:bottom w:val="nil"/>
          <w:right w:val="nil"/>
          <w:between w:val="nil"/>
        </w:pBdr>
        <w:tabs>
          <w:tab w:val="left" w:pos="402"/>
        </w:tabs>
        <w:spacing w:after="240"/>
        <w:ind w:right="-100"/>
        <w:rPr>
          <w:rFonts w:asciiTheme="majorHAnsi" w:eastAsia="Calibri" w:hAnsiTheme="majorHAnsi" w:cstheme="majorHAnsi"/>
          <w:sz w:val="22"/>
          <w:szCs w:val="22"/>
        </w:rPr>
      </w:pPr>
      <w:r>
        <w:rPr>
          <w:rFonts w:asciiTheme="majorHAnsi" w:eastAsia="Calibri" w:hAnsiTheme="majorHAnsi" w:cstheme="majorHAnsi"/>
          <w:sz w:val="22"/>
          <w:szCs w:val="22"/>
        </w:rPr>
        <w:t>Los demás determinados en otras ordenanzas.</w:t>
      </w:r>
    </w:p>
    <w:p w14:paraId="48851A8A" w14:textId="77777777" w:rsidR="00C27664" w:rsidRPr="00B24A80" w:rsidRDefault="00C27664" w:rsidP="00C27664">
      <w:pPr>
        <w:pBdr>
          <w:top w:val="nil"/>
          <w:left w:val="nil"/>
          <w:bottom w:val="nil"/>
          <w:right w:val="nil"/>
          <w:between w:val="nil"/>
        </w:pBdr>
        <w:tabs>
          <w:tab w:val="left" w:pos="402"/>
        </w:tabs>
        <w:spacing w:after="240"/>
        <w:ind w:left="720" w:right="-100"/>
        <w:rPr>
          <w:rFonts w:asciiTheme="majorHAnsi" w:eastAsia="Calibri" w:hAnsiTheme="majorHAnsi" w:cstheme="majorHAnsi"/>
          <w:sz w:val="22"/>
          <w:szCs w:val="22"/>
        </w:rPr>
      </w:pPr>
    </w:p>
    <w:p w14:paraId="07698FD3" w14:textId="643F9CA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Recibida la documentación y si cumple con todos los requisitos exigidos, se remitirá a la </w:t>
      </w:r>
      <w:r w:rsidR="00A7169A" w:rsidRPr="00B24A80">
        <w:rPr>
          <w:rFonts w:asciiTheme="majorHAnsi" w:eastAsia="Calibri" w:hAnsiTheme="majorHAnsi" w:cstheme="majorHAnsi"/>
          <w:color w:val="000000"/>
          <w:szCs w:val="22"/>
        </w:rPr>
        <w:t>Unidad de Ordenamiento Territorial</w:t>
      </w:r>
      <w:r w:rsidRPr="00B24A80">
        <w:rPr>
          <w:rFonts w:asciiTheme="majorHAnsi" w:eastAsia="Calibri" w:hAnsiTheme="majorHAnsi" w:cstheme="majorHAnsi"/>
          <w:color w:val="000000"/>
          <w:szCs w:val="22"/>
        </w:rPr>
        <w:t xml:space="preserve"> quien emitirá e</w:t>
      </w:r>
      <w:r w:rsidR="005954A4" w:rsidRPr="00B24A80">
        <w:rPr>
          <w:rFonts w:asciiTheme="majorHAnsi" w:eastAsia="Calibri" w:hAnsiTheme="majorHAnsi" w:cstheme="majorHAnsi"/>
          <w:color w:val="000000"/>
          <w:szCs w:val="22"/>
        </w:rPr>
        <w:t>l</w:t>
      </w:r>
      <w:r w:rsidRPr="00B24A80">
        <w:rPr>
          <w:rFonts w:asciiTheme="majorHAnsi" w:eastAsia="Calibri" w:hAnsiTheme="majorHAnsi" w:cstheme="majorHAnsi"/>
          <w:color w:val="000000"/>
          <w:szCs w:val="22"/>
        </w:rPr>
        <w:t xml:space="preserve"> informe favorable sobr</w:t>
      </w:r>
      <w:r w:rsidR="005954A4" w:rsidRPr="00B24A80">
        <w:rPr>
          <w:rFonts w:asciiTheme="majorHAnsi" w:eastAsia="Calibri" w:hAnsiTheme="majorHAnsi" w:cstheme="majorHAnsi"/>
          <w:color w:val="000000"/>
          <w:szCs w:val="22"/>
        </w:rPr>
        <w:t>e la transferencia y remitirá para</w:t>
      </w:r>
      <w:r w:rsidRPr="00B24A80">
        <w:rPr>
          <w:rFonts w:asciiTheme="majorHAnsi" w:eastAsia="Calibri" w:hAnsiTheme="majorHAnsi" w:cstheme="majorHAnsi"/>
          <w:color w:val="000000"/>
          <w:szCs w:val="22"/>
        </w:rPr>
        <w:t xml:space="preserve"> la autorización respectiva.</w:t>
      </w:r>
    </w:p>
    <w:p w14:paraId="1A12FDB1" w14:textId="4349A087" w:rsidR="00DC27E8" w:rsidRPr="00B24A80" w:rsidRDefault="00EB5C24" w:rsidP="00EB5C24">
      <w:pPr>
        <w:pStyle w:val="Ttulo4"/>
        <w:rPr>
          <w:rFonts w:cstheme="majorHAnsi"/>
          <w:sz w:val="22"/>
          <w:szCs w:val="22"/>
        </w:rPr>
      </w:pPr>
      <w:bookmarkStart w:id="317" w:name="_heading=h.4anzqyu" w:colFirst="0" w:colLast="0"/>
      <w:bookmarkStart w:id="318" w:name="_Toc81085681"/>
      <w:bookmarkStart w:id="319" w:name="_Toc181374121"/>
      <w:bookmarkEnd w:id="317"/>
      <w:r w:rsidRPr="00B24A80">
        <w:rPr>
          <w:rFonts w:cstheme="majorHAnsi"/>
          <w:sz w:val="22"/>
          <w:szCs w:val="22"/>
        </w:rPr>
        <w:t>SECCIÓN</w:t>
      </w:r>
      <w:r w:rsidR="007F5505" w:rsidRPr="00B24A80">
        <w:rPr>
          <w:rFonts w:cstheme="majorHAnsi"/>
          <w:sz w:val="22"/>
          <w:szCs w:val="22"/>
        </w:rPr>
        <w:t xml:space="preserve"> II</w:t>
      </w:r>
      <w:bookmarkStart w:id="320" w:name="_heading=h.2pta16n" w:colFirst="0" w:colLast="0"/>
      <w:bookmarkEnd w:id="320"/>
      <w:r w:rsidRPr="00B24A80">
        <w:rPr>
          <w:rFonts w:cstheme="majorHAnsi"/>
          <w:sz w:val="22"/>
          <w:szCs w:val="22"/>
        </w:rPr>
        <w:br/>
      </w:r>
      <w:r w:rsidR="007F5505" w:rsidRPr="00B24A80">
        <w:rPr>
          <w:rFonts w:cstheme="majorHAnsi"/>
          <w:sz w:val="22"/>
          <w:szCs w:val="22"/>
        </w:rPr>
        <w:t>De la Transferencia de</w:t>
      </w:r>
      <w:r w:rsidR="005954A4" w:rsidRPr="00B24A80">
        <w:rPr>
          <w:rFonts w:cstheme="majorHAnsi"/>
          <w:sz w:val="22"/>
          <w:szCs w:val="22"/>
        </w:rPr>
        <w:t xml:space="preserve"> dominio de l</w:t>
      </w:r>
      <w:r w:rsidR="007F5505" w:rsidRPr="00B24A80">
        <w:rPr>
          <w:rFonts w:cstheme="majorHAnsi"/>
          <w:sz w:val="22"/>
          <w:szCs w:val="22"/>
        </w:rPr>
        <w:t>otes Rurales</w:t>
      </w:r>
      <w:bookmarkEnd w:id="318"/>
      <w:bookmarkEnd w:id="319"/>
    </w:p>
    <w:p w14:paraId="659B40AC" w14:textId="400921B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Los interesados en transferir lotes rurales habilitados, deben seguir el siguiente procedimiento:</w:t>
      </w:r>
    </w:p>
    <w:p w14:paraId="100D015F" w14:textId="407AF446" w:rsidR="00DC27E8" w:rsidRPr="00B24A80" w:rsidRDefault="007F5505"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Solicitud dirigida al </w:t>
      </w:r>
      <w:r w:rsidR="00A7169A" w:rsidRPr="00B24A80">
        <w:rPr>
          <w:rFonts w:asciiTheme="majorHAnsi" w:eastAsia="Calibri" w:hAnsiTheme="majorHAnsi" w:cstheme="majorHAnsi"/>
          <w:color w:val="000000"/>
          <w:sz w:val="22"/>
          <w:szCs w:val="22"/>
        </w:rPr>
        <w:t>Dirección de Gestión Planificación y Ordenamiento Territorial</w:t>
      </w:r>
      <w:r w:rsidR="00493CE4" w:rsidRPr="00B24A80">
        <w:rPr>
          <w:rFonts w:asciiTheme="majorHAnsi" w:eastAsia="Calibri" w:hAnsiTheme="majorHAnsi" w:cstheme="majorHAnsi"/>
          <w:color w:val="000000"/>
          <w:sz w:val="22"/>
          <w:szCs w:val="22"/>
        </w:rPr>
        <w:t xml:space="preserve"> </w:t>
      </w:r>
      <w:r w:rsidR="005954A4" w:rsidRPr="00B24A80">
        <w:rPr>
          <w:rFonts w:asciiTheme="majorHAnsi" w:eastAsia="Calibri" w:hAnsiTheme="majorHAnsi" w:cstheme="majorHAnsi"/>
          <w:color w:val="000000"/>
          <w:sz w:val="22"/>
          <w:szCs w:val="22"/>
        </w:rPr>
        <w:t xml:space="preserve">del </w:t>
      </w:r>
      <w:r w:rsidR="006E0959" w:rsidRPr="00B24A80">
        <w:rPr>
          <w:rFonts w:asciiTheme="majorHAnsi" w:eastAsia="Calibri" w:hAnsiTheme="majorHAnsi" w:cstheme="majorHAnsi"/>
          <w:color w:val="000000"/>
          <w:sz w:val="22"/>
          <w:szCs w:val="22"/>
        </w:rPr>
        <w:t>GADM del cantón La Joya de los Sachas</w:t>
      </w:r>
      <w:r w:rsidR="005954A4" w:rsidRPr="00B24A80">
        <w:rPr>
          <w:rFonts w:asciiTheme="majorHAnsi" w:eastAsia="Calibri" w:hAnsiTheme="majorHAnsi" w:cstheme="majorHAnsi"/>
          <w:color w:val="000000"/>
          <w:sz w:val="22"/>
          <w:szCs w:val="22"/>
        </w:rPr>
        <w:t xml:space="preserve"> para autorización de</w:t>
      </w:r>
      <w:r w:rsidRPr="00B24A80">
        <w:rPr>
          <w:rFonts w:asciiTheme="majorHAnsi" w:eastAsia="Calibri" w:hAnsiTheme="majorHAnsi" w:cstheme="majorHAnsi"/>
          <w:color w:val="000000"/>
          <w:sz w:val="22"/>
          <w:szCs w:val="22"/>
        </w:rPr>
        <w:t xml:space="preserve"> transferencia de dominio</w:t>
      </w:r>
      <w:r w:rsidR="005954A4" w:rsidRPr="00B24A80">
        <w:rPr>
          <w:rFonts w:asciiTheme="majorHAnsi" w:eastAsia="Calibri" w:hAnsiTheme="majorHAnsi" w:cstheme="majorHAnsi"/>
          <w:color w:val="000000"/>
          <w:sz w:val="22"/>
          <w:szCs w:val="22"/>
        </w:rPr>
        <w:t xml:space="preserve"> del terreno</w:t>
      </w:r>
      <w:r w:rsidRPr="00B24A80">
        <w:rPr>
          <w:rFonts w:asciiTheme="majorHAnsi" w:eastAsia="Calibri" w:hAnsiTheme="majorHAnsi" w:cstheme="majorHAnsi"/>
          <w:color w:val="000000"/>
          <w:sz w:val="22"/>
          <w:szCs w:val="22"/>
        </w:rPr>
        <w:t>;</w:t>
      </w:r>
    </w:p>
    <w:p w14:paraId="5DFA48CA" w14:textId="2AFA8985" w:rsidR="00DC27E8" w:rsidRPr="00B24A80" w:rsidRDefault="007F5505"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Copia de la Escritura Pública;</w:t>
      </w:r>
    </w:p>
    <w:p w14:paraId="687A6A16" w14:textId="10C3D975" w:rsidR="00E5713E" w:rsidRPr="00B24A80" w:rsidRDefault="00E5713E"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Cuando sea primera venta la autorización de la subsecretaria de tierras esto corresponde a escrituras otorgadas por el estado (INDA –</w:t>
      </w:r>
      <w:r w:rsidR="00493CE4" w:rsidRPr="00B24A80">
        <w:rPr>
          <w:rFonts w:asciiTheme="majorHAnsi" w:eastAsia="Calibri" w:hAnsiTheme="majorHAnsi" w:cstheme="majorHAnsi"/>
          <w:color w:val="000000"/>
          <w:sz w:val="22"/>
          <w:szCs w:val="22"/>
        </w:rPr>
        <w:t>I</w:t>
      </w:r>
      <w:r w:rsidRPr="00B24A80">
        <w:rPr>
          <w:rFonts w:asciiTheme="majorHAnsi" w:eastAsia="Calibri" w:hAnsiTheme="majorHAnsi" w:cstheme="majorHAnsi"/>
          <w:color w:val="000000"/>
          <w:sz w:val="22"/>
          <w:szCs w:val="22"/>
        </w:rPr>
        <w:t>ERAC- MAGAP)</w:t>
      </w:r>
    </w:p>
    <w:p w14:paraId="65C75ED2" w14:textId="6E872C77" w:rsidR="00DC27E8" w:rsidRPr="00B24A80" w:rsidRDefault="007F5505"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Certificado de Gravámenes otorgado por el Registrador de la Propiedad;</w:t>
      </w:r>
    </w:p>
    <w:p w14:paraId="22A1AA64" w14:textId="11179773" w:rsidR="00E5713E" w:rsidRPr="00B24A80" w:rsidRDefault="00E5713E"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lastRenderedPageBreak/>
        <w:t xml:space="preserve">Copias de Documentos personales (comprador y vendedor); </w:t>
      </w:r>
    </w:p>
    <w:p w14:paraId="5119C5D5" w14:textId="4123B650" w:rsidR="00254097" w:rsidRPr="00B24A80" w:rsidRDefault="00254097"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Certificado Catastral de Bienes Raíces.</w:t>
      </w:r>
    </w:p>
    <w:p w14:paraId="73064D99" w14:textId="1A349444" w:rsidR="00E5713E" w:rsidRPr="00B24A80" w:rsidRDefault="00E5713E"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Informe Predial de Regulaciones de Uso del Suelo - IPRUS</w:t>
      </w:r>
    </w:p>
    <w:p w14:paraId="52C1D34E" w14:textId="582B8226" w:rsidR="00E5713E" w:rsidRPr="00B24A80" w:rsidRDefault="00E5713E"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Certificados de no adeudar al Municipio del comprador y vendedor.</w:t>
      </w:r>
    </w:p>
    <w:p w14:paraId="66B91473" w14:textId="4F9C7267" w:rsidR="00DC27E8" w:rsidRPr="00B24A80" w:rsidRDefault="00254097" w:rsidP="009F132D">
      <w:pPr>
        <w:numPr>
          <w:ilvl w:val="0"/>
          <w:numId w:val="27"/>
        </w:numPr>
        <w:pBdr>
          <w:top w:val="nil"/>
          <w:left w:val="nil"/>
          <w:bottom w:val="nil"/>
          <w:right w:val="nil"/>
          <w:between w:val="nil"/>
        </w:pBdr>
        <w:tabs>
          <w:tab w:val="left" w:pos="492"/>
        </w:tabs>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     Dos</w:t>
      </w:r>
      <w:r w:rsidR="009A49E5"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p</w:t>
      </w:r>
      <w:r w:rsidR="007F5505" w:rsidRPr="00B24A80">
        <w:rPr>
          <w:rFonts w:asciiTheme="majorHAnsi" w:eastAsia="Calibri" w:hAnsiTheme="majorHAnsi" w:cstheme="majorHAnsi"/>
          <w:color w:val="000000"/>
          <w:sz w:val="22"/>
          <w:szCs w:val="22"/>
        </w:rPr>
        <w:t>lano</w:t>
      </w:r>
      <w:r w:rsidR="009A49E5" w:rsidRPr="00B24A80">
        <w:rPr>
          <w:rFonts w:asciiTheme="majorHAnsi" w:eastAsia="Calibri" w:hAnsiTheme="majorHAnsi" w:cstheme="majorHAnsi"/>
          <w:color w:val="000000"/>
          <w:sz w:val="22"/>
          <w:szCs w:val="22"/>
        </w:rPr>
        <w:t>s</w:t>
      </w:r>
      <w:r w:rsidR="007F5505" w:rsidRPr="00B24A80">
        <w:rPr>
          <w:rFonts w:asciiTheme="majorHAnsi" w:eastAsia="Calibri" w:hAnsiTheme="majorHAnsi" w:cstheme="majorHAnsi"/>
          <w:color w:val="000000"/>
          <w:sz w:val="22"/>
          <w:szCs w:val="22"/>
        </w:rPr>
        <w:t xml:space="preserve"> del lote </w:t>
      </w:r>
      <w:r w:rsidR="00E5713E" w:rsidRPr="00B24A80">
        <w:rPr>
          <w:rFonts w:asciiTheme="majorHAnsi" w:eastAsia="Calibri" w:hAnsiTheme="majorHAnsi" w:cstheme="majorHAnsi"/>
          <w:color w:val="000000"/>
          <w:sz w:val="22"/>
          <w:szCs w:val="22"/>
        </w:rPr>
        <w:t>suscritor por un profesional que elaboro la planimetría adjuntando la copia de la cedula y certificado del SENECYT. (pueden firmar los planos los profesionales que constan en la resolución del MAGAP 009 de fecha</w:t>
      </w:r>
      <w:r w:rsidR="00E3720D" w:rsidRPr="00B24A80">
        <w:rPr>
          <w:rFonts w:asciiTheme="majorHAnsi" w:eastAsia="Calibri" w:hAnsiTheme="majorHAnsi" w:cstheme="majorHAnsi"/>
          <w:color w:val="000000"/>
          <w:sz w:val="22"/>
          <w:szCs w:val="22"/>
        </w:rPr>
        <w:t xml:space="preserve"> </w:t>
      </w:r>
      <w:r w:rsidR="00E5713E" w:rsidRPr="00B24A80">
        <w:rPr>
          <w:rFonts w:asciiTheme="majorHAnsi" w:eastAsia="Calibri" w:hAnsiTheme="majorHAnsi" w:cstheme="majorHAnsi"/>
          <w:color w:val="000000"/>
          <w:sz w:val="22"/>
          <w:szCs w:val="22"/>
        </w:rPr>
        <w:t>27/12/2012)</w:t>
      </w:r>
      <w:r w:rsidR="007F5505" w:rsidRPr="00B24A80">
        <w:rPr>
          <w:rFonts w:asciiTheme="majorHAnsi" w:eastAsia="Calibri" w:hAnsiTheme="majorHAnsi" w:cstheme="majorHAnsi"/>
          <w:color w:val="000000"/>
          <w:sz w:val="22"/>
          <w:szCs w:val="22"/>
        </w:rPr>
        <w:t>;</w:t>
      </w:r>
      <w:bookmarkStart w:id="321" w:name="_heading=h.14ykbeg" w:colFirst="0" w:colLast="0"/>
      <w:bookmarkEnd w:id="321"/>
    </w:p>
    <w:p w14:paraId="289A36A4" w14:textId="2B4DA653" w:rsidR="00DC27E8" w:rsidRPr="00B24A80" w:rsidRDefault="007F5505" w:rsidP="00EB5C24">
      <w:pPr>
        <w:pStyle w:val="Ttulo4"/>
        <w:rPr>
          <w:rFonts w:cstheme="majorHAnsi"/>
          <w:sz w:val="22"/>
          <w:szCs w:val="22"/>
        </w:rPr>
      </w:pPr>
      <w:bookmarkStart w:id="322" w:name="_Toc81085682"/>
      <w:bookmarkStart w:id="323" w:name="_Toc181374122"/>
      <w:r w:rsidRPr="00B24A80">
        <w:rPr>
          <w:rFonts w:cstheme="majorHAnsi"/>
          <w:sz w:val="22"/>
          <w:szCs w:val="22"/>
        </w:rPr>
        <w:t>SECCIÓN III</w:t>
      </w:r>
      <w:bookmarkStart w:id="324" w:name="_heading=h.3oy7u29" w:colFirst="0" w:colLast="0"/>
      <w:bookmarkEnd w:id="324"/>
      <w:r w:rsidR="00EB5C24" w:rsidRPr="00B24A80">
        <w:rPr>
          <w:rFonts w:cstheme="majorHAnsi"/>
          <w:sz w:val="22"/>
          <w:szCs w:val="22"/>
        </w:rPr>
        <w:br/>
      </w:r>
      <w:r w:rsidRPr="00B24A80">
        <w:rPr>
          <w:rFonts w:cstheme="majorHAnsi"/>
          <w:sz w:val="22"/>
          <w:szCs w:val="22"/>
        </w:rPr>
        <w:t>De la reestructuración o reajuste de terrenos</w:t>
      </w:r>
      <w:r w:rsidR="00560718" w:rsidRPr="00B24A80">
        <w:rPr>
          <w:rFonts w:cstheme="majorHAnsi"/>
          <w:sz w:val="22"/>
          <w:szCs w:val="22"/>
        </w:rPr>
        <w:t xml:space="preserve"> </w:t>
      </w:r>
      <w:r w:rsidR="00E3720D" w:rsidRPr="00B24A80">
        <w:rPr>
          <w:rFonts w:cstheme="majorHAnsi"/>
          <w:sz w:val="22"/>
          <w:szCs w:val="22"/>
        </w:rPr>
        <w:t>(excedentes</w:t>
      </w:r>
      <w:r w:rsidR="00560718" w:rsidRPr="00B24A80">
        <w:rPr>
          <w:rFonts w:cstheme="majorHAnsi"/>
          <w:sz w:val="22"/>
          <w:szCs w:val="22"/>
        </w:rPr>
        <w:t xml:space="preserve"> o diferencia de áreas,)</w:t>
      </w:r>
      <w:bookmarkEnd w:id="322"/>
      <w:bookmarkEnd w:id="323"/>
    </w:p>
    <w:p w14:paraId="4F7FE15B" w14:textId="13020715" w:rsidR="004B0B64" w:rsidRPr="00B24A80" w:rsidRDefault="004B0B6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Previo a inspección técnica de verificación de linderos para el reajuste de terrenos. -</w:t>
      </w:r>
      <w:r w:rsidRPr="00B24A80">
        <w:rPr>
          <w:rFonts w:asciiTheme="majorHAnsi" w:eastAsia="Calibri" w:hAnsiTheme="majorHAnsi" w:cstheme="majorHAnsi"/>
          <w:color w:val="000000"/>
          <w:szCs w:val="22"/>
        </w:rPr>
        <w:t>  Se deberá realizar una inspección técnica en conjunto con la Dirección de Gestión de Planificación y la U</w:t>
      </w:r>
      <w:r w:rsidR="003E3D7A">
        <w:rPr>
          <w:rFonts w:asciiTheme="majorHAnsi" w:eastAsia="Calibri" w:hAnsiTheme="majorHAnsi" w:cstheme="majorHAnsi"/>
          <w:color w:val="000000"/>
          <w:szCs w:val="22"/>
        </w:rPr>
        <w:t xml:space="preserve">nidad de </w:t>
      </w:r>
      <w:r w:rsidRPr="00B24A80">
        <w:rPr>
          <w:rFonts w:asciiTheme="majorHAnsi" w:eastAsia="Calibri" w:hAnsiTheme="majorHAnsi" w:cstheme="majorHAnsi"/>
          <w:color w:val="000000"/>
          <w:szCs w:val="22"/>
        </w:rPr>
        <w:t>G</w:t>
      </w:r>
      <w:r w:rsidR="003E3D7A">
        <w:rPr>
          <w:rFonts w:asciiTheme="majorHAnsi" w:eastAsia="Calibri" w:hAnsiTheme="majorHAnsi" w:cstheme="majorHAnsi"/>
          <w:color w:val="000000"/>
          <w:szCs w:val="22"/>
        </w:rPr>
        <w:t xml:space="preserve">estión de </w:t>
      </w:r>
      <w:r w:rsidRPr="00B24A80">
        <w:rPr>
          <w:rFonts w:asciiTheme="majorHAnsi" w:eastAsia="Calibri" w:hAnsiTheme="majorHAnsi" w:cstheme="majorHAnsi"/>
          <w:color w:val="000000"/>
          <w:szCs w:val="22"/>
        </w:rPr>
        <w:t>R</w:t>
      </w:r>
      <w:r w:rsidR="003E3D7A">
        <w:rPr>
          <w:rFonts w:asciiTheme="majorHAnsi" w:eastAsia="Calibri" w:hAnsiTheme="majorHAnsi" w:cstheme="majorHAnsi"/>
          <w:color w:val="000000"/>
          <w:szCs w:val="22"/>
        </w:rPr>
        <w:t>iesgo</w:t>
      </w:r>
      <w:r w:rsidRPr="00B24A80">
        <w:rPr>
          <w:rFonts w:asciiTheme="majorHAnsi" w:eastAsia="Calibri" w:hAnsiTheme="majorHAnsi" w:cstheme="majorHAnsi"/>
          <w:color w:val="000000"/>
          <w:szCs w:val="22"/>
        </w:rPr>
        <w:t xml:space="preserve"> para la verificación de linderos y emisión de informe favorable.</w:t>
      </w:r>
    </w:p>
    <w:p w14:paraId="3A951AB8" w14:textId="77777777" w:rsidR="004B0B64" w:rsidRPr="00B24A80" w:rsidRDefault="004B0B64" w:rsidP="004B0B64">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48E270F6" w14:textId="1B356C09" w:rsidR="00493CE4" w:rsidRPr="00B24A80" w:rsidRDefault="004B0B6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De la reestructuración o reajuste de terrenos. -</w:t>
      </w:r>
      <w:r w:rsidRPr="00B24A80">
        <w:rPr>
          <w:rFonts w:asciiTheme="majorHAnsi" w:eastAsia="Calibri" w:hAnsiTheme="majorHAnsi" w:cstheme="majorHAnsi"/>
          <w:color w:val="000000"/>
          <w:szCs w:val="22"/>
        </w:rPr>
        <w:t xml:space="preserve"> Permitirá la modificación o la intervención en la estructura predial para ajustarla a lo previsto en los instrumentos de planificación y establecer una nueva estructura urbana mediante la reestructuración o reajuste de terrenos, no se entenderá como una nueva </w:t>
      </w:r>
      <w:r w:rsidR="008B008E">
        <w:rPr>
          <w:rFonts w:asciiTheme="majorHAnsi" w:eastAsia="Calibri" w:hAnsiTheme="majorHAnsi" w:cstheme="majorHAnsi"/>
          <w:color w:val="000000"/>
          <w:szCs w:val="22"/>
        </w:rPr>
        <w:t>urbanización</w:t>
      </w:r>
      <w:r w:rsidRPr="00B24A80">
        <w:rPr>
          <w:rFonts w:asciiTheme="majorHAnsi" w:eastAsia="Calibri" w:hAnsiTheme="majorHAnsi" w:cstheme="majorHAnsi"/>
          <w:color w:val="000000"/>
          <w:szCs w:val="22"/>
        </w:rPr>
        <w:t xml:space="preserve"> y se deberá realizar de acuerdo al instrumento de gestión para intervenir la morfología urbana y estructura predial.</w:t>
      </w:r>
    </w:p>
    <w:p w14:paraId="0A9F3C01" w14:textId="50BA7596" w:rsidR="00DC27E8"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La </w:t>
      </w:r>
      <w:r w:rsidR="006E0959" w:rsidRPr="00B24A80">
        <w:rPr>
          <w:rFonts w:asciiTheme="majorHAnsi" w:eastAsia="Calibri" w:hAnsiTheme="majorHAnsi" w:cstheme="majorHAnsi"/>
          <w:color w:val="000000"/>
          <w:szCs w:val="22"/>
        </w:rPr>
        <w:t xml:space="preserve">Dirección de Gestión Planificación y Ordenamiento Territorial </w:t>
      </w:r>
      <w:r w:rsidRPr="00B24A80">
        <w:rPr>
          <w:rFonts w:asciiTheme="majorHAnsi" w:eastAsia="Calibri" w:hAnsiTheme="majorHAnsi" w:cstheme="majorHAnsi"/>
          <w:color w:val="000000"/>
          <w:szCs w:val="22"/>
        </w:rPr>
        <w:t xml:space="preserve">del Gobierno Autónomo Descentralizado Municipal </w:t>
      </w:r>
      <w:r w:rsidR="005F087E" w:rsidRPr="00B24A80">
        <w:rPr>
          <w:rFonts w:asciiTheme="majorHAnsi" w:eastAsia="Calibri" w:hAnsiTheme="majorHAnsi" w:cstheme="majorHAnsi"/>
          <w:color w:val="000000"/>
          <w:szCs w:val="22"/>
        </w:rPr>
        <w:t xml:space="preserve">del </w:t>
      </w:r>
      <w:r w:rsidR="00CD4F27" w:rsidRPr="00B24A80">
        <w:rPr>
          <w:rFonts w:asciiTheme="majorHAnsi" w:eastAsia="Calibri" w:hAnsiTheme="majorHAnsi" w:cstheme="majorHAnsi"/>
          <w:color w:val="000000"/>
          <w:szCs w:val="22"/>
        </w:rPr>
        <w:t>cantón La Joya de los Sachas</w:t>
      </w:r>
      <w:r w:rsidRPr="00B24A80">
        <w:rPr>
          <w:rFonts w:asciiTheme="majorHAnsi" w:eastAsia="Calibri" w:hAnsiTheme="majorHAnsi" w:cstheme="majorHAnsi"/>
          <w:color w:val="000000"/>
          <w:szCs w:val="22"/>
        </w:rPr>
        <w:t>, es competente para recibir toda solicitud encaminada a corregir errores en la medición de la superficie de los predios y/o reestructuración o reajuste de terrenos.</w:t>
      </w:r>
    </w:p>
    <w:p w14:paraId="17333DB4" w14:textId="77777777" w:rsidR="00C95190" w:rsidRDefault="00C95190" w:rsidP="00C95190">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23ED4CC" w14:textId="72CE149D" w:rsidR="00C95190" w:rsidRDefault="00C95190"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C95190">
        <w:rPr>
          <w:rFonts w:asciiTheme="majorHAnsi" w:eastAsia="Calibri" w:hAnsiTheme="majorHAnsi" w:cstheme="majorHAnsi"/>
          <w:b/>
          <w:bCs/>
          <w:color w:val="000000"/>
          <w:szCs w:val="22"/>
        </w:rPr>
        <w:t>Error técnico aceptable de medición</w:t>
      </w:r>
      <w:r w:rsidRPr="00C95190">
        <w:rPr>
          <w:rFonts w:asciiTheme="majorHAnsi" w:eastAsia="Calibri" w:hAnsiTheme="majorHAnsi" w:cstheme="majorHAnsi"/>
          <w:color w:val="000000"/>
          <w:szCs w:val="22"/>
        </w:rPr>
        <w:t>. -Para regularizar terrenos cuando existe diferencia o excedente de área de terreno entre escritura y nuevo levantamiento planimétrico, es decir,</w:t>
      </w:r>
      <w:r>
        <w:rPr>
          <w:rFonts w:asciiTheme="majorHAnsi" w:eastAsia="Calibri" w:hAnsiTheme="majorHAnsi" w:cstheme="majorHAnsi"/>
          <w:color w:val="000000"/>
          <w:szCs w:val="22"/>
        </w:rPr>
        <w:t xml:space="preserve"> q</w:t>
      </w:r>
      <w:r w:rsidRPr="00C95190">
        <w:rPr>
          <w:rFonts w:asciiTheme="majorHAnsi" w:eastAsia="Calibri" w:hAnsiTheme="majorHAnsi" w:cstheme="majorHAnsi"/>
          <w:color w:val="000000"/>
          <w:szCs w:val="22"/>
        </w:rPr>
        <w:t>ue sobrepase en más o en menos el error técnico aceptable de medición (ETAM) conforme se detalla a continuación.</w:t>
      </w:r>
    </w:p>
    <w:p w14:paraId="0FCA145E" w14:textId="77777777" w:rsidR="00B5410A" w:rsidRPr="00B5410A" w:rsidRDefault="00B5410A" w:rsidP="00B5410A">
      <w:pPr>
        <w:pStyle w:val="Prrafodelista"/>
        <w:rPr>
          <w:rFonts w:asciiTheme="majorHAnsi" w:eastAsia="Calibri" w:hAnsiTheme="majorHAnsi" w:cstheme="majorHAnsi"/>
          <w:color w:val="000000"/>
          <w:szCs w:val="22"/>
        </w:rPr>
      </w:pPr>
    </w:p>
    <w:tbl>
      <w:tblPr>
        <w:tblStyle w:val="Tablaconcuadrcula"/>
        <w:tblW w:w="0" w:type="auto"/>
        <w:jc w:val="center"/>
        <w:tblLook w:val="04A0" w:firstRow="1" w:lastRow="0" w:firstColumn="1" w:lastColumn="0" w:noHBand="0" w:noVBand="1"/>
      </w:tblPr>
      <w:tblGrid>
        <w:gridCol w:w="1134"/>
        <w:gridCol w:w="1276"/>
        <w:gridCol w:w="1559"/>
      </w:tblGrid>
      <w:tr w:rsidR="00C34F7E" w14:paraId="41AD0947" w14:textId="77777777" w:rsidTr="003133C6">
        <w:trPr>
          <w:jc w:val="center"/>
        </w:trPr>
        <w:tc>
          <w:tcPr>
            <w:tcW w:w="3969" w:type="dxa"/>
            <w:gridSpan w:val="3"/>
          </w:tcPr>
          <w:p w14:paraId="7182CADA" w14:textId="7D3D24CE"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En zonas urbanas</w:t>
            </w:r>
          </w:p>
        </w:tc>
      </w:tr>
      <w:tr w:rsidR="00B5410A" w14:paraId="03A130F2" w14:textId="77777777" w:rsidTr="00850BE9">
        <w:trPr>
          <w:jc w:val="center"/>
        </w:trPr>
        <w:tc>
          <w:tcPr>
            <w:tcW w:w="1134" w:type="dxa"/>
          </w:tcPr>
          <w:p w14:paraId="52CF4AF2" w14:textId="5EEAB168"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De (m2)</w:t>
            </w:r>
          </w:p>
        </w:tc>
        <w:tc>
          <w:tcPr>
            <w:tcW w:w="1276" w:type="dxa"/>
          </w:tcPr>
          <w:p w14:paraId="757B0FEF" w14:textId="27F16A93"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Hasta (m2)</w:t>
            </w:r>
          </w:p>
        </w:tc>
        <w:tc>
          <w:tcPr>
            <w:tcW w:w="1559" w:type="dxa"/>
          </w:tcPr>
          <w:p w14:paraId="0D1F44DB" w14:textId="1355725A"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Porcentaje (%)</w:t>
            </w:r>
          </w:p>
        </w:tc>
      </w:tr>
      <w:tr w:rsidR="00B5410A" w14:paraId="26ABA232" w14:textId="77777777" w:rsidTr="00850BE9">
        <w:trPr>
          <w:jc w:val="center"/>
        </w:trPr>
        <w:tc>
          <w:tcPr>
            <w:tcW w:w="1134" w:type="dxa"/>
          </w:tcPr>
          <w:p w14:paraId="59DF6DE8" w14:textId="5010B239"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1</w:t>
            </w:r>
          </w:p>
        </w:tc>
        <w:tc>
          <w:tcPr>
            <w:tcW w:w="1276" w:type="dxa"/>
          </w:tcPr>
          <w:p w14:paraId="6B884DBF" w14:textId="23E72F8D"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200</w:t>
            </w:r>
          </w:p>
        </w:tc>
        <w:tc>
          <w:tcPr>
            <w:tcW w:w="1559" w:type="dxa"/>
          </w:tcPr>
          <w:p w14:paraId="671B8AE0" w14:textId="148CB202"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2</w:t>
            </w:r>
          </w:p>
        </w:tc>
      </w:tr>
      <w:tr w:rsidR="00B5410A" w14:paraId="627F48EB" w14:textId="77777777" w:rsidTr="00850BE9">
        <w:trPr>
          <w:jc w:val="center"/>
        </w:trPr>
        <w:tc>
          <w:tcPr>
            <w:tcW w:w="1134" w:type="dxa"/>
          </w:tcPr>
          <w:p w14:paraId="217A2471" w14:textId="7896C832"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201</w:t>
            </w:r>
          </w:p>
        </w:tc>
        <w:tc>
          <w:tcPr>
            <w:tcW w:w="1276" w:type="dxa"/>
          </w:tcPr>
          <w:p w14:paraId="65D4D971" w14:textId="16D8BABC"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500</w:t>
            </w:r>
          </w:p>
        </w:tc>
        <w:tc>
          <w:tcPr>
            <w:tcW w:w="1559" w:type="dxa"/>
          </w:tcPr>
          <w:p w14:paraId="31A6AE73" w14:textId="7495B2D1"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3</w:t>
            </w:r>
          </w:p>
        </w:tc>
      </w:tr>
      <w:tr w:rsidR="00B5410A" w14:paraId="65CF5367" w14:textId="77777777" w:rsidTr="00850BE9">
        <w:trPr>
          <w:jc w:val="center"/>
        </w:trPr>
        <w:tc>
          <w:tcPr>
            <w:tcW w:w="1134" w:type="dxa"/>
          </w:tcPr>
          <w:p w14:paraId="481D42BA" w14:textId="1AC1AB3F"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501</w:t>
            </w:r>
          </w:p>
        </w:tc>
        <w:tc>
          <w:tcPr>
            <w:tcW w:w="1276" w:type="dxa"/>
          </w:tcPr>
          <w:p w14:paraId="2595ADDE" w14:textId="0492F34E"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En adelante</w:t>
            </w:r>
          </w:p>
        </w:tc>
        <w:tc>
          <w:tcPr>
            <w:tcW w:w="1559" w:type="dxa"/>
          </w:tcPr>
          <w:p w14:paraId="7A3BDE62" w14:textId="2DF9EFB1" w:rsidR="00B5410A" w:rsidRDefault="00B5410A"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w:t>
            </w:r>
          </w:p>
        </w:tc>
      </w:tr>
    </w:tbl>
    <w:p w14:paraId="003F19B6" w14:textId="77777777" w:rsidR="00B5410A" w:rsidRDefault="00B5410A" w:rsidP="00B5410A">
      <w:pPr>
        <w:widowControl/>
        <w:tabs>
          <w:tab w:val="left" w:pos="851"/>
        </w:tabs>
        <w:spacing w:after="240" w:line="276" w:lineRule="auto"/>
        <w:ind w:right="-100"/>
        <w:rPr>
          <w:rFonts w:asciiTheme="majorHAnsi" w:eastAsia="Calibri" w:hAnsiTheme="majorHAnsi" w:cstheme="majorHAnsi"/>
          <w:color w:val="000000"/>
          <w:szCs w:val="22"/>
        </w:rPr>
      </w:pPr>
    </w:p>
    <w:tbl>
      <w:tblPr>
        <w:tblStyle w:val="Tablaconcuadrcula"/>
        <w:tblW w:w="0" w:type="auto"/>
        <w:jc w:val="center"/>
        <w:tblLook w:val="04A0" w:firstRow="1" w:lastRow="0" w:firstColumn="1" w:lastColumn="0" w:noHBand="0" w:noVBand="1"/>
      </w:tblPr>
      <w:tblGrid>
        <w:gridCol w:w="1134"/>
        <w:gridCol w:w="1276"/>
        <w:gridCol w:w="1559"/>
      </w:tblGrid>
      <w:tr w:rsidR="00C34F7E" w14:paraId="2509F9AB" w14:textId="77777777" w:rsidTr="00AE3C5A">
        <w:trPr>
          <w:jc w:val="center"/>
        </w:trPr>
        <w:tc>
          <w:tcPr>
            <w:tcW w:w="3969" w:type="dxa"/>
            <w:gridSpan w:val="3"/>
          </w:tcPr>
          <w:p w14:paraId="55B53DA0" w14:textId="176901FE"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lastRenderedPageBreak/>
              <w:t xml:space="preserve">En zonas </w:t>
            </w:r>
            <w:r>
              <w:rPr>
                <w:rFonts w:asciiTheme="majorHAnsi" w:eastAsia="Calibri" w:hAnsiTheme="majorHAnsi" w:cstheme="majorHAnsi"/>
                <w:color w:val="000000"/>
              </w:rPr>
              <w:t>rurales</w:t>
            </w:r>
          </w:p>
        </w:tc>
      </w:tr>
      <w:tr w:rsidR="00C34F7E" w14:paraId="00FE311E" w14:textId="77777777" w:rsidTr="00AE3C5A">
        <w:trPr>
          <w:jc w:val="center"/>
        </w:trPr>
        <w:tc>
          <w:tcPr>
            <w:tcW w:w="1134" w:type="dxa"/>
          </w:tcPr>
          <w:p w14:paraId="0ABBE719" w14:textId="7777777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De (m2)</w:t>
            </w:r>
          </w:p>
        </w:tc>
        <w:tc>
          <w:tcPr>
            <w:tcW w:w="1276" w:type="dxa"/>
          </w:tcPr>
          <w:p w14:paraId="659D529E" w14:textId="7777777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Hasta (m2)</w:t>
            </w:r>
          </w:p>
        </w:tc>
        <w:tc>
          <w:tcPr>
            <w:tcW w:w="1559" w:type="dxa"/>
          </w:tcPr>
          <w:p w14:paraId="5F775B80" w14:textId="7777777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Porcentaje (%)</w:t>
            </w:r>
          </w:p>
        </w:tc>
      </w:tr>
      <w:tr w:rsidR="00C34F7E" w14:paraId="536400CF" w14:textId="77777777" w:rsidTr="00AE3C5A">
        <w:trPr>
          <w:jc w:val="center"/>
        </w:trPr>
        <w:tc>
          <w:tcPr>
            <w:tcW w:w="1134" w:type="dxa"/>
          </w:tcPr>
          <w:p w14:paraId="32AF09CA" w14:textId="7777777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1</w:t>
            </w:r>
          </w:p>
        </w:tc>
        <w:tc>
          <w:tcPr>
            <w:tcW w:w="1276" w:type="dxa"/>
          </w:tcPr>
          <w:p w14:paraId="00176593" w14:textId="4E0DB7BF"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200</w:t>
            </w:r>
            <w:r>
              <w:rPr>
                <w:rFonts w:asciiTheme="majorHAnsi" w:eastAsia="Calibri" w:hAnsiTheme="majorHAnsi" w:cstheme="majorHAnsi"/>
                <w:color w:val="000000"/>
              </w:rPr>
              <w:t>0</w:t>
            </w:r>
          </w:p>
        </w:tc>
        <w:tc>
          <w:tcPr>
            <w:tcW w:w="1559" w:type="dxa"/>
          </w:tcPr>
          <w:p w14:paraId="1CA0798E" w14:textId="7777777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2</w:t>
            </w:r>
          </w:p>
        </w:tc>
      </w:tr>
      <w:tr w:rsidR="00C34F7E" w14:paraId="5F0B92B0" w14:textId="77777777" w:rsidTr="00AE3C5A">
        <w:trPr>
          <w:jc w:val="center"/>
        </w:trPr>
        <w:tc>
          <w:tcPr>
            <w:tcW w:w="1134" w:type="dxa"/>
          </w:tcPr>
          <w:p w14:paraId="3E7FE838" w14:textId="7F4EEFBA"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20</w:t>
            </w:r>
            <w:r>
              <w:rPr>
                <w:rFonts w:asciiTheme="majorHAnsi" w:eastAsia="Calibri" w:hAnsiTheme="majorHAnsi" w:cstheme="majorHAnsi"/>
                <w:color w:val="000000"/>
              </w:rPr>
              <w:t>0</w:t>
            </w:r>
            <w:r>
              <w:rPr>
                <w:rFonts w:asciiTheme="majorHAnsi" w:eastAsia="Calibri" w:hAnsiTheme="majorHAnsi" w:cstheme="majorHAnsi"/>
                <w:color w:val="000000"/>
              </w:rPr>
              <w:t>1</w:t>
            </w:r>
          </w:p>
        </w:tc>
        <w:tc>
          <w:tcPr>
            <w:tcW w:w="1276" w:type="dxa"/>
          </w:tcPr>
          <w:p w14:paraId="4BFC746D" w14:textId="124FAE81"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500</w:t>
            </w:r>
            <w:r>
              <w:rPr>
                <w:rFonts w:asciiTheme="majorHAnsi" w:eastAsia="Calibri" w:hAnsiTheme="majorHAnsi" w:cstheme="majorHAnsi"/>
                <w:color w:val="000000"/>
              </w:rPr>
              <w:t>0</w:t>
            </w:r>
          </w:p>
        </w:tc>
        <w:tc>
          <w:tcPr>
            <w:tcW w:w="1559" w:type="dxa"/>
          </w:tcPr>
          <w:p w14:paraId="2F0B4966" w14:textId="7777777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3</w:t>
            </w:r>
          </w:p>
        </w:tc>
      </w:tr>
      <w:tr w:rsidR="00C34F7E" w14:paraId="7CB76E3A" w14:textId="77777777" w:rsidTr="00AE3C5A">
        <w:trPr>
          <w:jc w:val="center"/>
        </w:trPr>
        <w:tc>
          <w:tcPr>
            <w:tcW w:w="1134" w:type="dxa"/>
          </w:tcPr>
          <w:p w14:paraId="5A075276" w14:textId="15E64F20"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50</w:t>
            </w:r>
            <w:r>
              <w:rPr>
                <w:rFonts w:asciiTheme="majorHAnsi" w:eastAsia="Calibri" w:hAnsiTheme="majorHAnsi" w:cstheme="majorHAnsi"/>
                <w:color w:val="000000"/>
              </w:rPr>
              <w:t>0</w:t>
            </w:r>
            <w:r>
              <w:rPr>
                <w:rFonts w:asciiTheme="majorHAnsi" w:eastAsia="Calibri" w:hAnsiTheme="majorHAnsi" w:cstheme="majorHAnsi"/>
                <w:color w:val="000000"/>
              </w:rPr>
              <w:t>1</w:t>
            </w:r>
          </w:p>
        </w:tc>
        <w:tc>
          <w:tcPr>
            <w:tcW w:w="1276" w:type="dxa"/>
          </w:tcPr>
          <w:p w14:paraId="65F3619D" w14:textId="4B53D136"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10000</w:t>
            </w:r>
          </w:p>
        </w:tc>
        <w:tc>
          <w:tcPr>
            <w:tcW w:w="1559" w:type="dxa"/>
          </w:tcPr>
          <w:p w14:paraId="44F4C1B1" w14:textId="6D72183D"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4</w:t>
            </w:r>
          </w:p>
        </w:tc>
      </w:tr>
      <w:tr w:rsidR="00C34F7E" w14:paraId="3735461D" w14:textId="77777777" w:rsidTr="00AE3C5A">
        <w:trPr>
          <w:jc w:val="center"/>
        </w:trPr>
        <w:tc>
          <w:tcPr>
            <w:tcW w:w="1134" w:type="dxa"/>
          </w:tcPr>
          <w:p w14:paraId="75F1981F" w14:textId="1BEED927"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10001</w:t>
            </w:r>
          </w:p>
        </w:tc>
        <w:tc>
          <w:tcPr>
            <w:tcW w:w="1276" w:type="dxa"/>
          </w:tcPr>
          <w:p w14:paraId="5065DAC4" w14:textId="0720B1D3"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50000</w:t>
            </w:r>
          </w:p>
        </w:tc>
        <w:tc>
          <w:tcPr>
            <w:tcW w:w="1559" w:type="dxa"/>
          </w:tcPr>
          <w:p w14:paraId="6E8674A1" w14:textId="4D18D2C5"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6</w:t>
            </w:r>
          </w:p>
        </w:tc>
      </w:tr>
      <w:tr w:rsidR="00C34F7E" w14:paraId="0B54C4C7" w14:textId="77777777" w:rsidTr="00AE3C5A">
        <w:trPr>
          <w:jc w:val="center"/>
        </w:trPr>
        <w:tc>
          <w:tcPr>
            <w:tcW w:w="1134" w:type="dxa"/>
          </w:tcPr>
          <w:p w14:paraId="2C9D369F" w14:textId="618A5AD3"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50001</w:t>
            </w:r>
          </w:p>
        </w:tc>
        <w:tc>
          <w:tcPr>
            <w:tcW w:w="1276" w:type="dxa"/>
          </w:tcPr>
          <w:p w14:paraId="26452ED5" w14:textId="31FD72E6"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En adelante</w:t>
            </w:r>
          </w:p>
        </w:tc>
        <w:tc>
          <w:tcPr>
            <w:tcW w:w="1559" w:type="dxa"/>
          </w:tcPr>
          <w:p w14:paraId="47225647" w14:textId="4C5ABE16" w:rsidR="00C34F7E" w:rsidRDefault="00C34F7E" w:rsidP="003A1DFE">
            <w:pPr>
              <w:tabs>
                <w:tab w:val="left" w:pos="851"/>
              </w:tabs>
              <w:spacing w:after="240" w:line="276" w:lineRule="auto"/>
              <w:ind w:right="-100"/>
              <w:jc w:val="center"/>
              <w:rPr>
                <w:rFonts w:asciiTheme="majorHAnsi" w:eastAsia="Calibri" w:hAnsiTheme="majorHAnsi" w:cstheme="majorHAnsi"/>
                <w:color w:val="000000"/>
              </w:rPr>
            </w:pPr>
            <w:r>
              <w:rPr>
                <w:rFonts w:asciiTheme="majorHAnsi" w:eastAsia="Calibri" w:hAnsiTheme="majorHAnsi" w:cstheme="majorHAnsi"/>
                <w:color w:val="000000"/>
              </w:rPr>
              <w:t>7</w:t>
            </w:r>
          </w:p>
        </w:tc>
      </w:tr>
    </w:tbl>
    <w:p w14:paraId="61FFB54F" w14:textId="503B28C2" w:rsidR="00493CE4" w:rsidRPr="00B24A80" w:rsidRDefault="00493CE4" w:rsidP="00C95190">
      <w:pPr>
        <w:widowControl/>
        <w:tabs>
          <w:tab w:val="left" w:pos="851"/>
        </w:tabs>
        <w:spacing w:after="240" w:line="276" w:lineRule="auto"/>
        <w:ind w:right="-100"/>
        <w:rPr>
          <w:rFonts w:asciiTheme="majorHAnsi" w:eastAsia="Calibri" w:hAnsiTheme="majorHAnsi" w:cstheme="majorHAnsi"/>
          <w:color w:val="000000"/>
          <w:szCs w:val="22"/>
        </w:rPr>
      </w:pPr>
    </w:p>
    <w:p w14:paraId="5CD0FA06" w14:textId="0D59D36A" w:rsidR="00DC27E8" w:rsidRPr="00B24A80" w:rsidRDefault="007F5505" w:rsidP="00EB5C24">
      <w:pPr>
        <w:pStyle w:val="Ttulo2"/>
        <w:rPr>
          <w:rFonts w:cstheme="majorHAnsi"/>
          <w:sz w:val="22"/>
          <w:szCs w:val="22"/>
        </w:rPr>
      </w:pPr>
      <w:bookmarkStart w:id="325" w:name="_heading=h.243i4a2" w:colFirst="0" w:colLast="0"/>
      <w:bookmarkStart w:id="326" w:name="_Toc65711707"/>
      <w:bookmarkStart w:id="327" w:name="_Toc81085683"/>
      <w:bookmarkStart w:id="328" w:name="_Toc181374123"/>
      <w:bookmarkEnd w:id="325"/>
      <w:r w:rsidRPr="00B24A80">
        <w:rPr>
          <w:rFonts w:cstheme="majorHAnsi"/>
          <w:sz w:val="22"/>
          <w:szCs w:val="22"/>
        </w:rPr>
        <w:t>TÍTULO VI</w:t>
      </w:r>
      <w:bookmarkStart w:id="329" w:name="_heading=h.j8sehv" w:colFirst="0" w:colLast="0"/>
      <w:bookmarkEnd w:id="329"/>
      <w:r w:rsidR="006F12D0" w:rsidRPr="00B24A80">
        <w:rPr>
          <w:rFonts w:cstheme="majorHAnsi"/>
          <w:sz w:val="22"/>
          <w:szCs w:val="22"/>
        </w:rPr>
        <w:t>I</w:t>
      </w:r>
      <w:r w:rsidR="00EB5C24" w:rsidRPr="00B24A80">
        <w:rPr>
          <w:rFonts w:cstheme="majorHAnsi"/>
          <w:sz w:val="22"/>
          <w:szCs w:val="22"/>
        </w:rPr>
        <w:br/>
      </w:r>
      <w:r w:rsidRPr="00B24A80">
        <w:rPr>
          <w:rFonts w:cstheme="majorHAnsi"/>
          <w:sz w:val="22"/>
          <w:szCs w:val="22"/>
        </w:rPr>
        <w:t>GESTIÓN DEL SUELO</w:t>
      </w:r>
      <w:bookmarkEnd w:id="326"/>
      <w:bookmarkEnd w:id="327"/>
      <w:bookmarkEnd w:id="328"/>
    </w:p>
    <w:p w14:paraId="2C20AE3A" w14:textId="6046D90A" w:rsidR="00DC27E8" w:rsidRPr="00B24A80" w:rsidRDefault="00EB5C24" w:rsidP="00EB5C24">
      <w:pPr>
        <w:pStyle w:val="Ttulo3"/>
        <w:rPr>
          <w:rFonts w:cstheme="majorHAnsi"/>
          <w:sz w:val="22"/>
          <w:szCs w:val="22"/>
        </w:rPr>
      </w:pPr>
      <w:bookmarkStart w:id="330" w:name="_heading=h.338fx5o" w:colFirst="0" w:colLast="0"/>
      <w:bookmarkStart w:id="331" w:name="_Toc65711708"/>
      <w:bookmarkStart w:id="332" w:name="_Toc81085684"/>
      <w:bookmarkStart w:id="333" w:name="_Toc181374124"/>
      <w:bookmarkEnd w:id="330"/>
      <w:r w:rsidRPr="00B24A80">
        <w:rPr>
          <w:rFonts w:cstheme="majorHAnsi"/>
          <w:sz w:val="22"/>
          <w:szCs w:val="22"/>
        </w:rPr>
        <w:t>CAPÍTULO</w:t>
      </w:r>
      <w:r w:rsidR="007F5505" w:rsidRPr="00B24A80">
        <w:rPr>
          <w:rFonts w:cstheme="majorHAnsi"/>
          <w:sz w:val="22"/>
          <w:szCs w:val="22"/>
        </w:rPr>
        <w:t xml:space="preserve"> I</w:t>
      </w:r>
      <w:bookmarkStart w:id="334" w:name="_heading=h.1idq7dh" w:colFirst="0" w:colLast="0"/>
      <w:bookmarkEnd w:id="334"/>
      <w:r w:rsidRPr="00B24A80">
        <w:rPr>
          <w:rFonts w:cstheme="majorHAnsi"/>
          <w:sz w:val="22"/>
          <w:szCs w:val="22"/>
        </w:rPr>
        <w:br/>
      </w:r>
      <w:r w:rsidR="007F5505" w:rsidRPr="00B24A80">
        <w:rPr>
          <w:rFonts w:cstheme="majorHAnsi"/>
          <w:sz w:val="22"/>
          <w:szCs w:val="22"/>
        </w:rPr>
        <w:t>Vivienda y Hábitat</w:t>
      </w:r>
      <w:bookmarkEnd w:id="331"/>
      <w:bookmarkEnd w:id="332"/>
      <w:bookmarkEnd w:id="333"/>
    </w:p>
    <w:p w14:paraId="7CC8A987" w14:textId="5C3605F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color w:val="000000"/>
          <w:szCs w:val="22"/>
        </w:rPr>
        <w:t xml:space="preserve">En el </w:t>
      </w:r>
      <w:r w:rsidR="00F54D43">
        <w:rPr>
          <w:rFonts w:asciiTheme="majorHAnsi" w:eastAsia="Calibri" w:hAnsiTheme="majorHAnsi" w:cstheme="majorHAnsi"/>
          <w:color w:val="000000"/>
          <w:szCs w:val="22"/>
        </w:rPr>
        <w:t>C</w:t>
      </w:r>
      <w:r w:rsidRPr="00B24A80">
        <w:rPr>
          <w:rFonts w:asciiTheme="majorHAnsi" w:eastAsia="Calibri" w:hAnsiTheme="majorHAnsi" w:cstheme="majorHAnsi"/>
          <w:color w:val="000000"/>
          <w:szCs w:val="22"/>
        </w:rPr>
        <w:t xml:space="preserve">antón </w:t>
      </w:r>
      <w:r w:rsidR="00E30701" w:rsidRPr="00B24A80">
        <w:rPr>
          <w:rFonts w:asciiTheme="majorHAnsi" w:eastAsia="Arial" w:hAnsiTheme="majorHAnsi" w:cstheme="majorHAnsi"/>
          <w:color w:val="25282C"/>
          <w:szCs w:val="22"/>
        </w:rPr>
        <w:t>La Joya de los Sachas</w:t>
      </w:r>
      <w:r w:rsidR="00916ED1" w:rsidRPr="00B24A80">
        <w:rPr>
          <w:rFonts w:asciiTheme="majorHAnsi" w:eastAsia="Calibri" w:hAnsiTheme="majorHAnsi" w:cstheme="majorHAnsi"/>
          <w:color w:val="000000"/>
          <w:szCs w:val="22"/>
        </w:rPr>
        <w:t xml:space="preserve"> </w:t>
      </w:r>
      <w:r w:rsidRPr="00B24A80">
        <w:rPr>
          <w:rFonts w:asciiTheme="majorHAnsi" w:eastAsia="Calibri" w:hAnsiTheme="majorHAnsi" w:cstheme="majorHAnsi"/>
          <w:color w:val="000000"/>
          <w:szCs w:val="22"/>
        </w:rPr>
        <w:t>se determina en su propuesta el Programa de Hábitat y Vivienda el proyecto de Construcción de viviendas de interés social en los sectores vulnerables del cantón, cuyos lineamientos se ajustarán a los siguientes objetivos en el PUGS</w:t>
      </w:r>
      <w:r w:rsidR="004E75A8" w:rsidRPr="00B24A80">
        <w:rPr>
          <w:rFonts w:asciiTheme="majorHAnsi" w:eastAsia="Calibri" w:hAnsiTheme="majorHAnsi" w:cstheme="majorHAnsi"/>
          <w:color w:val="000000"/>
          <w:szCs w:val="22"/>
        </w:rPr>
        <w:t xml:space="preserve"> en coordinación con el ente rector nacional de vivienda</w:t>
      </w:r>
      <w:r w:rsidRPr="00B24A80">
        <w:rPr>
          <w:rFonts w:asciiTheme="majorHAnsi" w:eastAsia="Calibri" w:hAnsiTheme="majorHAnsi" w:cstheme="majorHAnsi"/>
          <w:color w:val="000000"/>
          <w:szCs w:val="22"/>
        </w:rPr>
        <w:t>.</w:t>
      </w:r>
    </w:p>
    <w:p w14:paraId="1DF6369C" w14:textId="77777777" w:rsidR="0037140D" w:rsidRPr="00B24A80" w:rsidRDefault="0037140D" w:rsidP="0037140D">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91CA4AB" w14:textId="136FDB6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Vivienda de Interés Social. -</w:t>
      </w:r>
      <w:r w:rsidRPr="00B24A80">
        <w:rPr>
          <w:rFonts w:asciiTheme="majorHAnsi" w:eastAsia="Calibri" w:hAnsiTheme="majorHAnsi" w:cstheme="majorHAnsi"/>
          <w:color w:val="000000"/>
          <w:szCs w:val="22"/>
        </w:rPr>
        <w:t xml:space="preserve"> De acuerdo a la LOOTUGS, “…es la vivienda adecuada y digna destinada a los grupos de atención prioritaria y a la población en situación de pobreza o vulnerabilidad…”. El ente rector de vivienda y hábitat a nivel nacional, en cumplimiento de lo dispuesto en la ley ha generado los parámetros y procedimientos para regular el acceso, financiamiento y construcción, tanto en Vivienda de Interés Social como Vivienda de Interés Público, recogidos en los distintos acuerdos ministeriales.</w:t>
      </w:r>
    </w:p>
    <w:p w14:paraId="5F5702A4" w14:textId="77777777" w:rsidR="0037140D" w:rsidRPr="00B24A80" w:rsidRDefault="0037140D" w:rsidP="0037140D">
      <w:pPr>
        <w:pStyle w:val="Prrafodelista"/>
        <w:rPr>
          <w:rFonts w:asciiTheme="majorHAnsi" w:eastAsia="Calibri" w:hAnsiTheme="majorHAnsi" w:cstheme="majorHAnsi"/>
          <w:color w:val="000000"/>
          <w:szCs w:val="22"/>
        </w:rPr>
      </w:pPr>
    </w:p>
    <w:p w14:paraId="03DE08A2" w14:textId="6C5D9497" w:rsidR="00DC27E8" w:rsidRPr="00B24A80" w:rsidRDefault="0037140D"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t>T</w:t>
      </w:r>
      <w:r w:rsidR="007F5505" w:rsidRPr="00B24A80">
        <w:rPr>
          <w:rFonts w:asciiTheme="majorHAnsi" w:eastAsia="Calibri" w:hAnsiTheme="majorHAnsi" w:cstheme="majorHAnsi"/>
          <w:b/>
          <w:szCs w:val="22"/>
        </w:rPr>
        <w:t xml:space="preserve">amaño de la Vivienda. - </w:t>
      </w:r>
      <w:r w:rsidR="007F5505" w:rsidRPr="00B24A80">
        <w:rPr>
          <w:rFonts w:asciiTheme="majorHAnsi" w:eastAsia="Calibri" w:hAnsiTheme="majorHAnsi" w:cstheme="majorHAnsi"/>
          <w:szCs w:val="22"/>
        </w:rPr>
        <w:t xml:space="preserve">Para definir la unidad mínima de vivienda se tomarán en cuenta varios razonamientos, como son el número de personas, dimensiones mínimas por ambientes, condiciones de habitabilidad, confort en la vivienda y bibliografía especializada. </w:t>
      </w:r>
      <w:r w:rsidR="005F489F" w:rsidRPr="00B24A80">
        <w:rPr>
          <w:rFonts w:asciiTheme="majorHAnsi" w:eastAsia="Calibri" w:hAnsiTheme="majorHAnsi" w:cstheme="majorHAnsi"/>
          <w:szCs w:val="22"/>
        </w:rPr>
        <w:t xml:space="preserve">Los Planes de Uso y Gestión del Suelo </w:t>
      </w:r>
      <w:r w:rsidR="007F5505" w:rsidRPr="00B24A80">
        <w:rPr>
          <w:rFonts w:asciiTheme="majorHAnsi" w:eastAsia="Calibri" w:hAnsiTheme="majorHAnsi" w:cstheme="majorHAnsi"/>
          <w:szCs w:val="22"/>
        </w:rPr>
        <w:t>ha</w:t>
      </w:r>
      <w:r w:rsidR="005F489F" w:rsidRPr="00B24A80">
        <w:rPr>
          <w:rFonts w:asciiTheme="majorHAnsi" w:eastAsia="Calibri" w:hAnsiTheme="majorHAnsi" w:cstheme="majorHAnsi"/>
          <w:szCs w:val="22"/>
        </w:rPr>
        <w:t>n</w:t>
      </w:r>
      <w:r w:rsidR="007F5505" w:rsidRPr="00B24A80">
        <w:rPr>
          <w:rFonts w:asciiTheme="majorHAnsi" w:eastAsia="Calibri" w:hAnsiTheme="majorHAnsi" w:cstheme="majorHAnsi"/>
          <w:szCs w:val="22"/>
        </w:rPr>
        <w:t xml:space="preserve"> conllevado </w:t>
      </w:r>
      <w:r w:rsidR="005F489F" w:rsidRPr="00B24A80">
        <w:rPr>
          <w:rFonts w:asciiTheme="majorHAnsi" w:eastAsia="Calibri" w:hAnsiTheme="majorHAnsi" w:cstheme="majorHAnsi"/>
          <w:szCs w:val="22"/>
        </w:rPr>
        <w:t xml:space="preserve">ha </w:t>
      </w:r>
      <w:r w:rsidR="007F5505" w:rsidRPr="00B24A80">
        <w:rPr>
          <w:rFonts w:asciiTheme="majorHAnsi" w:eastAsia="Calibri" w:hAnsiTheme="majorHAnsi" w:cstheme="majorHAnsi"/>
          <w:szCs w:val="22"/>
        </w:rPr>
        <w:t xml:space="preserve">reflexiones sobre la calidad de la vivienda y el confort, la necesidad de espacios iluminados de forma natural, con corrientes de ventilación y de dimensiones apropiadas, mejora la calidad de vida. </w:t>
      </w:r>
    </w:p>
    <w:p w14:paraId="77FDE492" w14:textId="77777777" w:rsidR="00DC27E8" w:rsidRPr="00B24A80" w:rsidRDefault="007F5505">
      <w:pPr>
        <w:widowControl/>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Es indispensable enfocar a la vivienda como el espacio de estudio y de trabajo, considerando que se ha dado un cambio tecnológico y posiblemente muchos de estos cambios se mantendrán en el futuro.</w:t>
      </w:r>
    </w:p>
    <w:p w14:paraId="6236BE4E" w14:textId="0C4D84AC" w:rsidR="00DC27E8" w:rsidRPr="00B24A80" w:rsidRDefault="007F5505">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De acuerdo a los lineamientos del MIDUVI, el segmento 1 de VIS, tiene una tipología de vivienda </w:t>
      </w:r>
      <w:r w:rsidRPr="00B24A80">
        <w:rPr>
          <w:rFonts w:asciiTheme="majorHAnsi" w:eastAsia="Calibri" w:hAnsiTheme="majorHAnsi" w:cstheme="majorHAnsi"/>
          <w:sz w:val="22"/>
          <w:szCs w:val="22"/>
        </w:rPr>
        <w:lastRenderedPageBreak/>
        <w:t>general obligatoria, pero para los segmentos 2 y 3, el promotor podrá proponer tipologías que cumplan con los parámetros establecidos, pero que podrán optar por materiales y diseños acordes al territorio y al clima donde se emplazará el proyecto.</w:t>
      </w:r>
    </w:p>
    <w:p w14:paraId="58031E58" w14:textId="0189820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Tipologías. – </w:t>
      </w:r>
      <w:r w:rsidRPr="00B24A80">
        <w:rPr>
          <w:rFonts w:asciiTheme="majorHAnsi" w:eastAsia="Calibri" w:hAnsiTheme="majorHAnsi" w:cstheme="majorHAnsi"/>
          <w:szCs w:val="22"/>
        </w:rPr>
        <w:t>Se muestra el detalle de las unidades habitacionales propuesto:</w:t>
      </w:r>
    </w:p>
    <w:p w14:paraId="0AB003F8" w14:textId="77777777" w:rsidR="00DC27E8" w:rsidRPr="00B24A80" w:rsidRDefault="007F5505" w:rsidP="009F132D">
      <w:pPr>
        <w:numPr>
          <w:ilvl w:val="0"/>
          <w:numId w:val="10"/>
        </w:numPr>
        <w:pBdr>
          <w:top w:val="nil"/>
          <w:left w:val="nil"/>
          <w:bottom w:val="nil"/>
          <w:right w:val="nil"/>
          <w:between w:val="nil"/>
        </w:pBdr>
        <w:tabs>
          <w:tab w:val="left" w:pos="5954"/>
        </w:tabs>
        <w:spacing w:after="223"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Unifamiliares</w:t>
      </w:r>
    </w:p>
    <w:p w14:paraId="6D40F6CA" w14:textId="4D822EDA" w:rsidR="00EB5C24" w:rsidRPr="00B24A80" w:rsidRDefault="00EB5C24" w:rsidP="00EB5C24">
      <w:pPr>
        <w:pStyle w:val="Descripcin"/>
        <w:rPr>
          <w:rFonts w:cstheme="majorHAnsi"/>
          <w:sz w:val="22"/>
          <w:szCs w:val="22"/>
        </w:rPr>
      </w:pPr>
      <w:bookmarkStart w:id="335" w:name="_heading=h.42ddq1a" w:colFirst="0" w:colLast="0"/>
      <w:bookmarkStart w:id="336" w:name="_Toc81085733"/>
      <w:bookmarkEnd w:id="335"/>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20</w:t>
      </w:r>
      <w:r w:rsidR="00203216" w:rsidRPr="00B24A80">
        <w:rPr>
          <w:rFonts w:cstheme="majorHAnsi"/>
          <w:noProof/>
          <w:sz w:val="22"/>
          <w:szCs w:val="22"/>
        </w:rPr>
        <w:fldChar w:fldCharType="end"/>
      </w:r>
      <w:r w:rsidRPr="00B24A80">
        <w:rPr>
          <w:rFonts w:cstheme="majorHAnsi"/>
          <w:sz w:val="22"/>
          <w:szCs w:val="22"/>
        </w:rPr>
        <w:t xml:space="preserve">. Tipología de viviendas, PUGS </w:t>
      </w:r>
      <w:r w:rsidR="00E30701" w:rsidRPr="00B24A80">
        <w:rPr>
          <w:rFonts w:eastAsia="Arial" w:cstheme="majorHAnsi"/>
          <w:color w:val="25282C"/>
          <w:sz w:val="22"/>
          <w:szCs w:val="22"/>
        </w:rPr>
        <w:t>La Joya de los Sachas</w:t>
      </w:r>
      <w:bookmarkEnd w:id="336"/>
    </w:p>
    <w:tbl>
      <w:tblPr>
        <w:tblStyle w:val="affffff"/>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2662"/>
      </w:tblGrid>
      <w:tr w:rsidR="00DC27E8" w:rsidRPr="00B24A80" w14:paraId="51C3E930" w14:textId="77777777" w:rsidTr="009E73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auto"/>
            <w:vAlign w:val="center"/>
          </w:tcPr>
          <w:p w14:paraId="7471EDFD"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PB DPT. 1</w:t>
            </w:r>
          </w:p>
        </w:tc>
      </w:tr>
      <w:tr w:rsidR="00DC27E8" w:rsidRPr="00B24A80" w14:paraId="7778F6E6"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63D5AE07"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 </w:t>
            </w:r>
          </w:p>
        </w:tc>
        <w:tc>
          <w:tcPr>
            <w:tcW w:w="1568" w:type="pct"/>
            <w:shd w:val="clear" w:color="auto" w:fill="auto"/>
            <w:vAlign w:val="center"/>
          </w:tcPr>
          <w:p w14:paraId="17822959"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ÁREA</w:t>
            </w:r>
          </w:p>
        </w:tc>
      </w:tr>
      <w:tr w:rsidR="00DC27E8" w:rsidRPr="00B24A80" w14:paraId="12F0335C"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76A4BEE7"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Hall Ingreso</w:t>
            </w:r>
          </w:p>
        </w:tc>
        <w:tc>
          <w:tcPr>
            <w:tcW w:w="1568" w:type="pct"/>
            <w:shd w:val="clear" w:color="auto" w:fill="auto"/>
            <w:vAlign w:val="center"/>
          </w:tcPr>
          <w:p w14:paraId="293C8CBF"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3,85</w:t>
            </w:r>
          </w:p>
        </w:tc>
      </w:tr>
      <w:tr w:rsidR="00DC27E8" w:rsidRPr="00B24A80" w14:paraId="1B849A16"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23EF1E33"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 xml:space="preserve">Sala / Comedor </w:t>
            </w:r>
          </w:p>
        </w:tc>
        <w:tc>
          <w:tcPr>
            <w:tcW w:w="1568" w:type="pct"/>
            <w:shd w:val="clear" w:color="auto" w:fill="auto"/>
            <w:vAlign w:val="center"/>
          </w:tcPr>
          <w:p w14:paraId="276652D6"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14,46</w:t>
            </w:r>
          </w:p>
        </w:tc>
      </w:tr>
      <w:tr w:rsidR="00DC27E8" w:rsidRPr="00B24A80" w14:paraId="79093518"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4917F643"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Cocina</w:t>
            </w:r>
          </w:p>
        </w:tc>
        <w:tc>
          <w:tcPr>
            <w:tcW w:w="1568" w:type="pct"/>
            <w:shd w:val="clear" w:color="auto" w:fill="auto"/>
            <w:vAlign w:val="center"/>
          </w:tcPr>
          <w:p w14:paraId="374F51FD"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8,73</w:t>
            </w:r>
          </w:p>
        </w:tc>
      </w:tr>
      <w:tr w:rsidR="00DC27E8" w:rsidRPr="00B24A80" w14:paraId="4EFB5B2F"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7146BFEB"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Dormitorio 1</w:t>
            </w:r>
          </w:p>
        </w:tc>
        <w:tc>
          <w:tcPr>
            <w:tcW w:w="1568" w:type="pct"/>
            <w:shd w:val="clear" w:color="auto" w:fill="auto"/>
            <w:vAlign w:val="center"/>
          </w:tcPr>
          <w:p w14:paraId="423D9148"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9,61</w:t>
            </w:r>
          </w:p>
        </w:tc>
      </w:tr>
      <w:tr w:rsidR="00DC27E8" w:rsidRPr="00B24A80" w14:paraId="2F14A428"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1BE606B9"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Dormitorio 2</w:t>
            </w:r>
          </w:p>
        </w:tc>
        <w:tc>
          <w:tcPr>
            <w:tcW w:w="1568" w:type="pct"/>
            <w:shd w:val="clear" w:color="auto" w:fill="auto"/>
            <w:vAlign w:val="center"/>
          </w:tcPr>
          <w:p w14:paraId="629CA938"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7,88</w:t>
            </w:r>
          </w:p>
        </w:tc>
      </w:tr>
      <w:tr w:rsidR="00DC27E8" w:rsidRPr="00B24A80" w14:paraId="3FAE3628"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45EA7211"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Dormitorio 3</w:t>
            </w:r>
          </w:p>
        </w:tc>
        <w:tc>
          <w:tcPr>
            <w:tcW w:w="1568" w:type="pct"/>
            <w:shd w:val="clear" w:color="auto" w:fill="auto"/>
            <w:vAlign w:val="center"/>
          </w:tcPr>
          <w:p w14:paraId="4E26C05B"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8,10</w:t>
            </w:r>
          </w:p>
        </w:tc>
      </w:tr>
      <w:tr w:rsidR="00DC27E8" w:rsidRPr="00B24A80" w14:paraId="04E5E9D9"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196060DE"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Baño</w:t>
            </w:r>
          </w:p>
        </w:tc>
        <w:tc>
          <w:tcPr>
            <w:tcW w:w="1568" w:type="pct"/>
            <w:shd w:val="clear" w:color="auto" w:fill="auto"/>
            <w:vAlign w:val="center"/>
          </w:tcPr>
          <w:p w14:paraId="2170F14D"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5,67</w:t>
            </w:r>
          </w:p>
        </w:tc>
      </w:tr>
      <w:tr w:rsidR="00DC27E8" w:rsidRPr="00B24A80" w14:paraId="1B844CCF"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vAlign w:val="center"/>
          </w:tcPr>
          <w:p w14:paraId="0348D944"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TOTAL</w:t>
            </w:r>
          </w:p>
        </w:tc>
        <w:tc>
          <w:tcPr>
            <w:tcW w:w="1568" w:type="pct"/>
            <w:shd w:val="clear" w:color="auto" w:fill="auto"/>
            <w:vAlign w:val="center"/>
          </w:tcPr>
          <w:p w14:paraId="1CC3B85B"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58,30</w:t>
            </w:r>
          </w:p>
        </w:tc>
      </w:tr>
    </w:tbl>
    <w:p w14:paraId="726617B2" w14:textId="18F41B44" w:rsidR="00EB5C24" w:rsidRPr="00B24A80" w:rsidRDefault="00EB5C24" w:rsidP="00EB5C24">
      <w:pPr>
        <w:spacing w:line="276" w:lineRule="auto"/>
        <w:rPr>
          <w:rFonts w:asciiTheme="majorHAnsi" w:eastAsia="Calibri" w:hAnsiTheme="majorHAnsi" w:cstheme="majorHAnsi"/>
          <w:i/>
          <w:sz w:val="22"/>
          <w:szCs w:val="22"/>
        </w:rPr>
      </w:pPr>
      <w:r w:rsidRPr="00B24A80">
        <w:rPr>
          <w:rFonts w:asciiTheme="majorHAnsi" w:eastAsia="Calibri" w:hAnsiTheme="majorHAnsi" w:cstheme="majorHAnsi"/>
          <w:b/>
          <w:i/>
          <w:sz w:val="22"/>
          <w:szCs w:val="22"/>
        </w:rPr>
        <w:t>Fuente y Elaboración:</w:t>
      </w:r>
      <w:r w:rsidRPr="00B24A80">
        <w:rPr>
          <w:rFonts w:asciiTheme="majorHAnsi" w:eastAsia="Calibri" w:hAnsiTheme="majorHAnsi" w:cstheme="majorHAnsi"/>
          <w:i/>
          <w:sz w:val="22"/>
          <w:szCs w:val="22"/>
        </w:rPr>
        <w:t xml:space="preserve"> Consultora TEAM SERCONSU S.A.</w:t>
      </w:r>
    </w:p>
    <w:p w14:paraId="67C6C0D0" w14:textId="1EF6B4A9" w:rsidR="00A934A7" w:rsidRPr="00B24A80" w:rsidRDefault="00A934A7" w:rsidP="00EB5C24">
      <w:pPr>
        <w:spacing w:line="276" w:lineRule="auto"/>
        <w:rPr>
          <w:rFonts w:asciiTheme="majorHAnsi" w:eastAsia="Calibri" w:hAnsiTheme="majorHAnsi" w:cstheme="majorHAnsi"/>
          <w:i/>
          <w:sz w:val="22"/>
          <w:szCs w:val="22"/>
        </w:rPr>
      </w:pPr>
      <w:r w:rsidRPr="00B24A80">
        <w:rPr>
          <w:rFonts w:asciiTheme="majorHAnsi" w:eastAsia="Calibri" w:hAnsiTheme="majorHAnsi" w:cstheme="majorHAnsi"/>
          <w:i/>
          <w:noProof/>
          <w:sz w:val="22"/>
          <w:szCs w:val="22"/>
          <w:lang w:val="es-EC" w:eastAsia="es-EC"/>
        </w:rPr>
        <w:drawing>
          <wp:inline distT="0" distB="0" distL="0" distR="0" wp14:anchorId="797D6852" wp14:editId="69221792">
            <wp:extent cx="5560539" cy="322729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2883" cy="3240262"/>
                    </a:xfrm>
                    <a:prstGeom prst="rect">
                      <a:avLst/>
                    </a:prstGeom>
                  </pic:spPr>
                </pic:pic>
              </a:graphicData>
            </a:graphic>
          </wp:inline>
        </w:drawing>
      </w:r>
    </w:p>
    <w:p w14:paraId="4FA3073D" w14:textId="5443310F" w:rsidR="006F12D0" w:rsidRDefault="006F12D0" w:rsidP="004F7488">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b/>
          <w:i/>
          <w:sz w:val="22"/>
          <w:szCs w:val="22"/>
        </w:rPr>
        <w:t xml:space="preserve">Fuente y Elaboración: </w:t>
      </w:r>
      <w:r w:rsidRPr="00B24A80">
        <w:rPr>
          <w:rFonts w:asciiTheme="majorHAnsi" w:eastAsia="Calibri" w:hAnsiTheme="majorHAnsi" w:cstheme="majorHAnsi"/>
          <w:sz w:val="22"/>
          <w:szCs w:val="22"/>
        </w:rPr>
        <w:t>Manual C</w:t>
      </w:r>
      <w:r w:rsidR="0037140D" w:rsidRPr="00B24A80">
        <w:rPr>
          <w:rFonts w:asciiTheme="majorHAnsi" w:eastAsia="Calibri" w:hAnsiTheme="majorHAnsi" w:cstheme="majorHAnsi"/>
          <w:sz w:val="22"/>
          <w:szCs w:val="22"/>
        </w:rPr>
        <w:t>onstructivo para casa, MIDUVI.</w:t>
      </w:r>
    </w:p>
    <w:p w14:paraId="2599D72E" w14:textId="77777777" w:rsidR="009E73C4" w:rsidRPr="00B24A80" w:rsidRDefault="009E73C4" w:rsidP="004F7488">
      <w:pPr>
        <w:spacing w:after="240" w:line="276" w:lineRule="auto"/>
        <w:rPr>
          <w:rFonts w:asciiTheme="majorHAnsi" w:eastAsia="Calibri" w:hAnsiTheme="majorHAnsi" w:cstheme="majorHAnsi"/>
          <w:sz w:val="22"/>
          <w:szCs w:val="22"/>
        </w:rPr>
      </w:pPr>
    </w:p>
    <w:p w14:paraId="5DE7BAA0" w14:textId="62E8DDE3" w:rsidR="00DC27E8" w:rsidRPr="00B24A80" w:rsidRDefault="007F5505" w:rsidP="009F132D">
      <w:pPr>
        <w:numPr>
          <w:ilvl w:val="0"/>
          <w:numId w:val="10"/>
        </w:numPr>
        <w:pBdr>
          <w:top w:val="nil"/>
          <w:left w:val="nil"/>
          <w:bottom w:val="nil"/>
          <w:right w:val="nil"/>
          <w:between w:val="nil"/>
        </w:pBdr>
        <w:tabs>
          <w:tab w:val="left" w:pos="5954"/>
        </w:tabs>
        <w:spacing w:after="223"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Cuatro Departamentos de tres dormitorios</w:t>
      </w:r>
    </w:p>
    <w:p w14:paraId="68C8C4E3" w14:textId="5FF550B4" w:rsidR="009013C1" w:rsidRPr="00B24A80" w:rsidRDefault="009013C1" w:rsidP="009013C1">
      <w:pPr>
        <w:pStyle w:val="Descripcin"/>
        <w:rPr>
          <w:rFonts w:cstheme="majorHAnsi"/>
          <w:sz w:val="22"/>
          <w:szCs w:val="22"/>
        </w:rPr>
      </w:pPr>
      <w:bookmarkStart w:id="337" w:name="_heading=h.2hio093" w:colFirst="0" w:colLast="0"/>
      <w:bookmarkStart w:id="338" w:name="_Toc81085734"/>
      <w:bookmarkEnd w:id="337"/>
      <w:r w:rsidRPr="00B24A80">
        <w:rPr>
          <w:rFonts w:cstheme="majorHAnsi"/>
          <w:sz w:val="22"/>
          <w:szCs w:val="22"/>
        </w:rPr>
        <w:lastRenderedPageBreak/>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21</w:t>
      </w:r>
      <w:r w:rsidR="00203216" w:rsidRPr="00B24A80">
        <w:rPr>
          <w:rFonts w:cstheme="majorHAnsi"/>
          <w:noProof/>
          <w:sz w:val="22"/>
          <w:szCs w:val="22"/>
        </w:rPr>
        <w:fldChar w:fldCharType="end"/>
      </w:r>
      <w:r w:rsidRPr="00B24A80">
        <w:rPr>
          <w:rFonts w:cstheme="majorHAnsi"/>
          <w:sz w:val="22"/>
          <w:szCs w:val="22"/>
        </w:rPr>
        <w:t xml:space="preserve">. Tipología de viviendas, PUGS </w:t>
      </w:r>
      <w:r w:rsidR="00E30701" w:rsidRPr="00B24A80">
        <w:rPr>
          <w:rFonts w:eastAsia="Arial" w:cstheme="majorHAnsi"/>
          <w:color w:val="25282C"/>
          <w:sz w:val="22"/>
          <w:szCs w:val="22"/>
        </w:rPr>
        <w:t>La Joya de los Sachas</w:t>
      </w:r>
      <w:r w:rsidRPr="00B24A80">
        <w:rPr>
          <w:rFonts w:cstheme="majorHAnsi"/>
          <w:sz w:val="22"/>
          <w:szCs w:val="22"/>
        </w:rPr>
        <w:t>.</w:t>
      </w:r>
      <w:bookmarkEnd w:id="338"/>
    </w:p>
    <w:tbl>
      <w:tblPr>
        <w:tblStyle w:val="affffff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998"/>
        <w:gridCol w:w="3293"/>
        <w:gridCol w:w="986"/>
      </w:tblGrid>
      <w:tr w:rsidR="00DC27E8" w:rsidRPr="00B24A80" w14:paraId="2D8FEA33" w14:textId="77777777" w:rsidTr="009E73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8" w:type="pct"/>
            <w:gridSpan w:val="2"/>
            <w:tcBorders>
              <w:top w:val="none" w:sz="0" w:space="0" w:color="auto"/>
              <w:left w:val="none" w:sz="0" w:space="0" w:color="auto"/>
              <w:bottom w:val="none" w:sz="0" w:space="0" w:color="auto"/>
              <w:right w:val="none" w:sz="0" w:space="0" w:color="auto"/>
            </w:tcBorders>
            <w:shd w:val="clear" w:color="auto" w:fill="auto"/>
            <w:vAlign w:val="center"/>
          </w:tcPr>
          <w:p w14:paraId="074C6232"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PB DPT. 1 y 2</w:t>
            </w:r>
          </w:p>
        </w:tc>
        <w:tc>
          <w:tcPr>
            <w:tcW w:w="2522" w:type="pct"/>
            <w:gridSpan w:val="2"/>
            <w:tcBorders>
              <w:top w:val="none" w:sz="0" w:space="0" w:color="auto"/>
              <w:left w:val="none" w:sz="0" w:space="0" w:color="auto"/>
              <w:bottom w:val="none" w:sz="0" w:space="0" w:color="auto"/>
              <w:right w:val="none" w:sz="0" w:space="0" w:color="auto"/>
            </w:tcBorders>
            <w:shd w:val="clear" w:color="auto" w:fill="auto"/>
            <w:vAlign w:val="center"/>
          </w:tcPr>
          <w:p w14:paraId="185FC832" w14:textId="1E311335" w:rsidR="00DC27E8" w:rsidRPr="00B24A80" w:rsidRDefault="007F5505" w:rsidP="009E73C4">
            <w:pPr>
              <w:pBdr>
                <w:top w:val="nil"/>
                <w:left w:val="nil"/>
                <w:bottom w:val="nil"/>
                <w:right w:val="nil"/>
                <w:between w:val="nil"/>
              </w:pBdr>
              <w:spacing w:after="0" w:line="276"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b w:val="0"/>
                <w:color w:val="000000"/>
              </w:rPr>
              <w:t>PA DPT. 3 y 4</w:t>
            </w:r>
          </w:p>
        </w:tc>
      </w:tr>
      <w:tr w:rsidR="00DC27E8" w:rsidRPr="00B24A80" w14:paraId="411CA428"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05187DAC"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 </w:t>
            </w:r>
          </w:p>
        </w:tc>
        <w:tc>
          <w:tcPr>
            <w:tcW w:w="588" w:type="pct"/>
            <w:shd w:val="clear" w:color="auto" w:fill="auto"/>
            <w:vAlign w:val="center"/>
          </w:tcPr>
          <w:p w14:paraId="1799EC7B"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ÁREA</w:t>
            </w:r>
          </w:p>
        </w:tc>
        <w:tc>
          <w:tcPr>
            <w:tcW w:w="1940" w:type="pct"/>
            <w:shd w:val="clear" w:color="auto" w:fill="auto"/>
            <w:vAlign w:val="center"/>
          </w:tcPr>
          <w:p w14:paraId="0711D89E" w14:textId="16EB8BB5"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 </w:t>
            </w:r>
          </w:p>
        </w:tc>
        <w:tc>
          <w:tcPr>
            <w:tcW w:w="582" w:type="pct"/>
            <w:shd w:val="clear" w:color="auto" w:fill="auto"/>
            <w:vAlign w:val="center"/>
          </w:tcPr>
          <w:p w14:paraId="52AFE623"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ÁREA</w:t>
            </w:r>
          </w:p>
        </w:tc>
      </w:tr>
      <w:tr w:rsidR="00DC27E8" w:rsidRPr="00B24A80" w14:paraId="686089C1"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02D26B66"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Hall Ingreso</w:t>
            </w:r>
          </w:p>
        </w:tc>
        <w:tc>
          <w:tcPr>
            <w:tcW w:w="588" w:type="pct"/>
            <w:shd w:val="clear" w:color="auto" w:fill="auto"/>
            <w:vAlign w:val="center"/>
          </w:tcPr>
          <w:p w14:paraId="5D6EEBDD"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3,74</w:t>
            </w:r>
          </w:p>
        </w:tc>
        <w:tc>
          <w:tcPr>
            <w:tcW w:w="1940" w:type="pct"/>
            <w:shd w:val="clear" w:color="auto" w:fill="auto"/>
            <w:vAlign w:val="center"/>
          </w:tcPr>
          <w:p w14:paraId="035B65E4" w14:textId="3E0D885B"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Balcón</w:t>
            </w:r>
          </w:p>
        </w:tc>
        <w:tc>
          <w:tcPr>
            <w:tcW w:w="582" w:type="pct"/>
            <w:shd w:val="clear" w:color="auto" w:fill="auto"/>
            <w:vAlign w:val="center"/>
          </w:tcPr>
          <w:p w14:paraId="646095D2"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3,88</w:t>
            </w:r>
          </w:p>
        </w:tc>
      </w:tr>
      <w:tr w:rsidR="00DC27E8" w:rsidRPr="00B24A80" w14:paraId="5D43B44D"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5A91A39A"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Sala</w:t>
            </w:r>
          </w:p>
        </w:tc>
        <w:tc>
          <w:tcPr>
            <w:tcW w:w="588" w:type="pct"/>
            <w:shd w:val="clear" w:color="auto" w:fill="auto"/>
            <w:vAlign w:val="center"/>
          </w:tcPr>
          <w:p w14:paraId="203E39C4"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8,10</w:t>
            </w:r>
          </w:p>
        </w:tc>
        <w:tc>
          <w:tcPr>
            <w:tcW w:w="1940" w:type="pct"/>
            <w:shd w:val="clear" w:color="auto" w:fill="auto"/>
            <w:vAlign w:val="center"/>
          </w:tcPr>
          <w:p w14:paraId="0E3AE07C" w14:textId="58323268"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Sala</w:t>
            </w:r>
          </w:p>
        </w:tc>
        <w:tc>
          <w:tcPr>
            <w:tcW w:w="582" w:type="pct"/>
            <w:shd w:val="clear" w:color="auto" w:fill="auto"/>
            <w:vAlign w:val="center"/>
          </w:tcPr>
          <w:p w14:paraId="03C2A514"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11,40</w:t>
            </w:r>
          </w:p>
        </w:tc>
      </w:tr>
      <w:tr w:rsidR="00DC27E8" w:rsidRPr="00B24A80" w14:paraId="6AA5D639"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0968C51E"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Comedor / Cocina</w:t>
            </w:r>
          </w:p>
        </w:tc>
        <w:tc>
          <w:tcPr>
            <w:tcW w:w="588" w:type="pct"/>
            <w:shd w:val="clear" w:color="auto" w:fill="auto"/>
            <w:vAlign w:val="center"/>
          </w:tcPr>
          <w:p w14:paraId="135ECCE5"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14,69</w:t>
            </w:r>
          </w:p>
        </w:tc>
        <w:tc>
          <w:tcPr>
            <w:tcW w:w="1940" w:type="pct"/>
            <w:shd w:val="clear" w:color="auto" w:fill="auto"/>
            <w:vAlign w:val="center"/>
          </w:tcPr>
          <w:p w14:paraId="36E71B20" w14:textId="599BD7C5"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Comedor / Cocina</w:t>
            </w:r>
          </w:p>
        </w:tc>
        <w:tc>
          <w:tcPr>
            <w:tcW w:w="582" w:type="pct"/>
            <w:shd w:val="clear" w:color="auto" w:fill="auto"/>
            <w:vAlign w:val="center"/>
          </w:tcPr>
          <w:p w14:paraId="5B085B5D"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10,38</w:t>
            </w:r>
          </w:p>
        </w:tc>
      </w:tr>
      <w:tr w:rsidR="00DC27E8" w:rsidRPr="00B24A80" w14:paraId="223BEDE3"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771847EF"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Dormitorio 1</w:t>
            </w:r>
          </w:p>
        </w:tc>
        <w:tc>
          <w:tcPr>
            <w:tcW w:w="588" w:type="pct"/>
            <w:shd w:val="clear" w:color="auto" w:fill="auto"/>
            <w:vAlign w:val="center"/>
          </w:tcPr>
          <w:p w14:paraId="798C85FF" w14:textId="57C2D689"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9,23</w:t>
            </w:r>
          </w:p>
        </w:tc>
        <w:tc>
          <w:tcPr>
            <w:tcW w:w="1940" w:type="pct"/>
            <w:shd w:val="clear" w:color="auto" w:fill="auto"/>
            <w:vAlign w:val="center"/>
          </w:tcPr>
          <w:p w14:paraId="1EFD7050"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Dormitorio 1</w:t>
            </w:r>
          </w:p>
        </w:tc>
        <w:tc>
          <w:tcPr>
            <w:tcW w:w="582" w:type="pct"/>
            <w:shd w:val="clear" w:color="auto" w:fill="auto"/>
            <w:vAlign w:val="center"/>
          </w:tcPr>
          <w:p w14:paraId="7BCA7D75"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9,23</w:t>
            </w:r>
          </w:p>
        </w:tc>
      </w:tr>
      <w:tr w:rsidR="00DC27E8" w:rsidRPr="00B24A80" w14:paraId="428F2520"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7021E505" w14:textId="49086CC4"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Dormitorio 2</w:t>
            </w:r>
          </w:p>
        </w:tc>
        <w:tc>
          <w:tcPr>
            <w:tcW w:w="588" w:type="pct"/>
            <w:shd w:val="clear" w:color="auto" w:fill="auto"/>
            <w:vAlign w:val="center"/>
          </w:tcPr>
          <w:p w14:paraId="5F5BDC90"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7,59</w:t>
            </w:r>
          </w:p>
        </w:tc>
        <w:tc>
          <w:tcPr>
            <w:tcW w:w="1940" w:type="pct"/>
            <w:shd w:val="clear" w:color="auto" w:fill="auto"/>
            <w:vAlign w:val="center"/>
          </w:tcPr>
          <w:p w14:paraId="622961F1"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Dormitorio 2</w:t>
            </w:r>
          </w:p>
        </w:tc>
        <w:tc>
          <w:tcPr>
            <w:tcW w:w="582" w:type="pct"/>
            <w:shd w:val="clear" w:color="auto" w:fill="auto"/>
            <w:vAlign w:val="center"/>
          </w:tcPr>
          <w:p w14:paraId="689F4E63"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7,59</w:t>
            </w:r>
          </w:p>
        </w:tc>
      </w:tr>
      <w:tr w:rsidR="00DC27E8" w:rsidRPr="00B24A80" w14:paraId="7B04DB9B"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08900B74"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Dormitorio 3</w:t>
            </w:r>
          </w:p>
        </w:tc>
        <w:tc>
          <w:tcPr>
            <w:tcW w:w="588" w:type="pct"/>
            <w:shd w:val="clear" w:color="auto" w:fill="auto"/>
            <w:vAlign w:val="center"/>
          </w:tcPr>
          <w:p w14:paraId="191417EA"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7,78</w:t>
            </w:r>
          </w:p>
        </w:tc>
        <w:tc>
          <w:tcPr>
            <w:tcW w:w="1940" w:type="pct"/>
            <w:shd w:val="clear" w:color="auto" w:fill="auto"/>
            <w:vAlign w:val="center"/>
          </w:tcPr>
          <w:p w14:paraId="32E63D62"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Dormitorio 3</w:t>
            </w:r>
          </w:p>
        </w:tc>
        <w:tc>
          <w:tcPr>
            <w:tcW w:w="582" w:type="pct"/>
            <w:shd w:val="clear" w:color="auto" w:fill="auto"/>
            <w:vAlign w:val="center"/>
          </w:tcPr>
          <w:p w14:paraId="45CD961E"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7,78</w:t>
            </w:r>
          </w:p>
        </w:tc>
      </w:tr>
      <w:tr w:rsidR="00DC27E8" w:rsidRPr="00B24A80" w14:paraId="2542DB1A"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0469B9EE"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Baño</w:t>
            </w:r>
          </w:p>
        </w:tc>
        <w:tc>
          <w:tcPr>
            <w:tcW w:w="588" w:type="pct"/>
            <w:shd w:val="clear" w:color="auto" w:fill="auto"/>
            <w:vAlign w:val="center"/>
          </w:tcPr>
          <w:p w14:paraId="670E933C"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5,64</w:t>
            </w:r>
          </w:p>
        </w:tc>
        <w:tc>
          <w:tcPr>
            <w:tcW w:w="1940" w:type="pct"/>
            <w:shd w:val="clear" w:color="auto" w:fill="auto"/>
            <w:vAlign w:val="center"/>
          </w:tcPr>
          <w:p w14:paraId="35335258"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Baño</w:t>
            </w:r>
          </w:p>
        </w:tc>
        <w:tc>
          <w:tcPr>
            <w:tcW w:w="582" w:type="pct"/>
            <w:shd w:val="clear" w:color="auto" w:fill="auto"/>
            <w:vAlign w:val="center"/>
          </w:tcPr>
          <w:p w14:paraId="0CEAC2E1"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5,64</w:t>
            </w:r>
          </w:p>
        </w:tc>
      </w:tr>
      <w:tr w:rsidR="00DC27E8" w:rsidRPr="00B24A80" w14:paraId="1113448E" w14:textId="77777777" w:rsidTr="009E73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10DC321D"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Lavado y Secado</w:t>
            </w:r>
          </w:p>
        </w:tc>
        <w:tc>
          <w:tcPr>
            <w:tcW w:w="588" w:type="pct"/>
            <w:shd w:val="clear" w:color="auto" w:fill="auto"/>
            <w:vAlign w:val="center"/>
          </w:tcPr>
          <w:p w14:paraId="6A7B48D1"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6,36</w:t>
            </w:r>
          </w:p>
        </w:tc>
        <w:tc>
          <w:tcPr>
            <w:tcW w:w="1940" w:type="pct"/>
            <w:shd w:val="clear" w:color="auto" w:fill="auto"/>
            <w:vAlign w:val="center"/>
          </w:tcPr>
          <w:p w14:paraId="16A5624E"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Lavado y Secado</w:t>
            </w:r>
          </w:p>
        </w:tc>
        <w:tc>
          <w:tcPr>
            <w:tcW w:w="582" w:type="pct"/>
            <w:shd w:val="clear" w:color="auto" w:fill="auto"/>
            <w:vAlign w:val="center"/>
          </w:tcPr>
          <w:p w14:paraId="61B8FEC9" w14:textId="77777777" w:rsidR="00DC27E8" w:rsidRPr="00B24A80" w:rsidRDefault="007F5505" w:rsidP="009E73C4">
            <w:pPr>
              <w:pBdr>
                <w:top w:val="nil"/>
                <w:left w:val="nil"/>
                <w:bottom w:val="nil"/>
                <w:right w:val="nil"/>
                <w:between w:val="nil"/>
              </w:pBd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rPr>
            </w:pPr>
            <w:r w:rsidRPr="00B24A80">
              <w:rPr>
                <w:rFonts w:asciiTheme="majorHAnsi" w:eastAsia="Calibri" w:hAnsiTheme="majorHAnsi" w:cstheme="majorHAnsi"/>
                <w:color w:val="000000"/>
              </w:rPr>
              <w:t>6,36</w:t>
            </w:r>
          </w:p>
        </w:tc>
      </w:tr>
      <w:tr w:rsidR="00DC27E8" w:rsidRPr="00B24A80" w14:paraId="623A9390" w14:textId="77777777" w:rsidTr="009E73C4">
        <w:trPr>
          <w:trHeight w:val="300"/>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auto"/>
            <w:vAlign w:val="center"/>
          </w:tcPr>
          <w:p w14:paraId="2B39C5C4" w14:textId="77777777" w:rsidR="00DC27E8" w:rsidRPr="00B24A80" w:rsidRDefault="007F5505" w:rsidP="009E73C4">
            <w:pPr>
              <w:pBdr>
                <w:top w:val="nil"/>
                <w:left w:val="nil"/>
                <w:bottom w:val="nil"/>
                <w:right w:val="nil"/>
                <w:between w:val="nil"/>
              </w:pBdr>
              <w:spacing w:after="0" w:line="276" w:lineRule="auto"/>
              <w:rPr>
                <w:rFonts w:asciiTheme="majorHAnsi" w:eastAsia="Calibri" w:hAnsiTheme="majorHAnsi" w:cstheme="majorHAnsi"/>
                <w:color w:val="000000"/>
              </w:rPr>
            </w:pPr>
            <w:r w:rsidRPr="00B24A80">
              <w:rPr>
                <w:rFonts w:asciiTheme="majorHAnsi" w:eastAsia="Calibri" w:hAnsiTheme="majorHAnsi" w:cstheme="majorHAnsi"/>
                <w:b w:val="0"/>
                <w:color w:val="000000"/>
              </w:rPr>
              <w:t>TOTAL</w:t>
            </w:r>
          </w:p>
        </w:tc>
        <w:tc>
          <w:tcPr>
            <w:tcW w:w="588" w:type="pct"/>
            <w:shd w:val="clear" w:color="auto" w:fill="auto"/>
            <w:vAlign w:val="center"/>
          </w:tcPr>
          <w:p w14:paraId="6264C34C"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63,13</w:t>
            </w:r>
          </w:p>
        </w:tc>
        <w:tc>
          <w:tcPr>
            <w:tcW w:w="1940" w:type="pct"/>
            <w:shd w:val="clear" w:color="auto" w:fill="auto"/>
            <w:vAlign w:val="center"/>
          </w:tcPr>
          <w:p w14:paraId="4EA5254F"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TOTAL</w:t>
            </w:r>
          </w:p>
        </w:tc>
        <w:tc>
          <w:tcPr>
            <w:tcW w:w="582" w:type="pct"/>
            <w:shd w:val="clear" w:color="auto" w:fill="auto"/>
            <w:vAlign w:val="center"/>
          </w:tcPr>
          <w:p w14:paraId="3095145A" w14:textId="77777777" w:rsidR="00DC27E8" w:rsidRPr="00B24A80" w:rsidRDefault="007F5505" w:rsidP="009E73C4">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000000"/>
              </w:rPr>
            </w:pPr>
            <w:r w:rsidRPr="00B24A80">
              <w:rPr>
                <w:rFonts w:asciiTheme="majorHAnsi" w:eastAsia="Calibri" w:hAnsiTheme="majorHAnsi" w:cstheme="majorHAnsi"/>
                <w:b/>
                <w:color w:val="000000"/>
              </w:rPr>
              <w:t>62,26</w:t>
            </w:r>
          </w:p>
        </w:tc>
      </w:tr>
    </w:tbl>
    <w:p w14:paraId="7C3BF777" w14:textId="1688BD1B" w:rsidR="00DC27E8" w:rsidRPr="00B24A80" w:rsidRDefault="007F5505">
      <w:pPr>
        <w:spacing w:line="276" w:lineRule="auto"/>
        <w:rPr>
          <w:rFonts w:asciiTheme="majorHAnsi" w:eastAsia="Calibri" w:hAnsiTheme="majorHAnsi" w:cstheme="majorHAnsi"/>
          <w:i/>
          <w:sz w:val="22"/>
          <w:szCs w:val="22"/>
        </w:rPr>
      </w:pPr>
      <w:r w:rsidRPr="00B24A80">
        <w:rPr>
          <w:rFonts w:asciiTheme="majorHAnsi" w:eastAsia="Calibri" w:hAnsiTheme="majorHAnsi" w:cstheme="majorHAnsi"/>
          <w:b/>
          <w:i/>
          <w:sz w:val="22"/>
          <w:szCs w:val="22"/>
        </w:rPr>
        <w:t>Fuente y Elaboración:</w:t>
      </w:r>
      <w:r w:rsidRPr="00B24A80">
        <w:rPr>
          <w:rFonts w:asciiTheme="majorHAnsi" w:eastAsia="Calibri" w:hAnsiTheme="majorHAnsi" w:cstheme="majorHAnsi"/>
          <w:i/>
          <w:sz w:val="22"/>
          <w:szCs w:val="22"/>
        </w:rPr>
        <w:t xml:space="preserve"> Consultora TEAM SERCONSU S.A.</w:t>
      </w:r>
    </w:p>
    <w:p w14:paraId="16CB8270" w14:textId="77777777" w:rsidR="0037140D" w:rsidRPr="00B24A80" w:rsidRDefault="0037140D">
      <w:pPr>
        <w:spacing w:line="276" w:lineRule="auto"/>
        <w:rPr>
          <w:rFonts w:asciiTheme="majorHAnsi" w:eastAsia="Calibri" w:hAnsiTheme="majorHAnsi" w:cstheme="majorHAnsi"/>
          <w:i/>
          <w:sz w:val="22"/>
          <w:szCs w:val="22"/>
        </w:rPr>
      </w:pPr>
    </w:p>
    <w:p w14:paraId="42BE3647" w14:textId="17FAD8F0" w:rsidR="00A934A7" w:rsidRPr="00B24A80" w:rsidRDefault="00A934A7">
      <w:pPr>
        <w:spacing w:line="276" w:lineRule="auto"/>
        <w:rPr>
          <w:rFonts w:asciiTheme="majorHAnsi" w:eastAsia="Calibri" w:hAnsiTheme="majorHAnsi" w:cstheme="majorHAnsi"/>
          <w:i/>
          <w:sz w:val="22"/>
          <w:szCs w:val="22"/>
        </w:rPr>
      </w:pPr>
      <w:r w:rsidRPr="00B24A80">
        <w:rPr>
          <w:rFonts w:asciiTheme="majorHAnsi" w:eastAsia="Calibri" w:hAnsiTheme="majorHAnsi" w:cstheme="majorHAnsi"/>
          <w:i/>
          <w:noProof/>
          <w:sz w:val="22"/>
          <w:szCs w:val="22"/>
          <w:lang w:val="es-EC" w:eastAsia="es-EC"/>
        </w:rPr>
        <w:drawing>
          <wp:inline distT="0" distB="0" distL="0" distR="0" wp14:anchorId="370F70F7" wp14:editId="2B57DCB7">
            <wp:extent cx="2672633" cy="2503335"/>
            <wp:effectExtent l="8255"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2698738" cy="2527787"/>
                    </a:xfrm>
                    <a:prstGeom prst="rect">
                      <a:avLst/>
                    </a:prstGeom>
                  </pic:spPr>
                </pic:pic>
              </a:graphicData>
            </a:graphic>
          </wp:inline>
        </w:drawing>
      </w:r>
      <w:r w:rsidRPr="00B24A80">
        <w:rPr>
          <w:rFonts w:asciiTheme="majorHAnsi" w:eastAsia="Calibri" w:hAnsiTheme="majorHAnsi" w:cstheme="majorHAnsi"/>
          <w:i/>
          <w:sz w:val="22"/>
          <w:szCs w:val="22"/>
        </w:rPr>
        <w:t xml:space="preserve"> </w:t>
      </w:r>
      <w:r w:rsidR="004F7488" w:rsidRPr="00B24A80">
        <w:rPr>
          <w:rFonts w:asciiTheme="majorHAnsi" w:eastAsia="Calibri" w:hAnsiTheme="majorHAnsi" w:cstheme="majorHAnsi"/>
          <w:i/>
          <w:sz w:val="22"/>
          <w:szCs w:val="22"/>
        </w:rPr>
        <w:t xml:space="preserve"> </w:t>
      </w:r>
      <w:r w:rsidR="004F7488" w:rsidRPr="00B24A80">
        <w:rPr>
          <w:rFonts w:asciiTheme="majorHAnsi" w:eastAsia="Calibri" w:hAnsiTheme="majorHAnsi" w:cstheme="majorHAnsi"/>
          <w:i/>
          <w:noProof/>
          <w:sz w:val="22"/>
          <w:szCs w:val="22"/>
          <w:lang w:val="es-EC" w:eastAsia="es-EC"/>
        </w:rPr>
        <w:drawing>
          <wp:inline distT="0" distB="0" distL="0" distR="0" wp14:anchorId="59624A38" wp14:editId="65BC96F0">
            <wp:extent cx="2649426" cy="2476980"/>
            <wp:effectExtent l="0" t="889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4363"/>
                    <a:stretch/>
                  </pic:blipFill>
                  <pic:spPr bwMode="auto">
                    <a:xfrm rot="16200000">
                      <a:off x="0" y="0"/>
                      <a:ext cx="2657268" cy="2484311"/>
                    </a:xfrm>
                    <a:prstGeom prst="rect">
                      <a:avLst/>
                    </a:prstGeom>
                    <a:ln>
                      <a:noFill/>
                    </a:ln>
                    <a:extLst>
                      <a:ext uri="{53640926-AAD7-44D8-BBD7-CCE9431645EC}">
                        <a14:shadowObscured xmlns:a14="http://schemas.microsoft.com/office/drawing/2010/main"/>
                      </a:ext>
                    </a:extLst>
                  </pic:spPr>
                </pic:pic>
              </a:graphicData>
            </a:graphic>
          </wp:inline>
        </w:drawing>
      </w:r>
    </w:p>
    <w:p w14:paraId="0FE86CB4" w14:textId="2A41227D" w:rsidR="004F7488" w:rsidRPr="00B24A80" w:rsidRDefault="004F7488" w:rsidP="004F7488">
      <w:pPr>
        <w:spacing w:after="240" w:line="276" w:lineRule="auto"/>
        <w:rPr>
          <w:rFonts w:asciiTheme="majorHAnsi" w:eastAsia="Calibri" w:hAnsiTheme="majorHAnsi" w:cstheme="majorHAnsi"/>
          <w:sz w:val="22"/>
          <w:szCs w:val="22"/>
        </w:rPr>
      </w:pPr>
      <w:r w:rsidRPr="00B24A80">
        <w:rPr>
          <w:rFonts w:asciiTheme="majorHAnsi" w:eastAsia="Calibri" w:hAnsiTheme="majorHAnsi" w:cstheme="majorHAnsi"/>
          <w:b/>
          <w:i/>
          <w:sz w:val="22"/>
          <w:szCs w:val="22"/>
        </w:rPr>
        <w:t xml:space="preserve">Fuente y Elaboración: </w:t>
      </w:r>
      <w:r w:rsidRPr="00B24A80">
        <w:rPr>
          <w:rFonts w:asciiTheme="majorHAnsi" w:eastAsia="Calibri" w:hAnsiTheme="majorHAnsi" w:cstheme="majorHAnsi"/>
          <w:sz w:val="22"/>
          <w:szCs w:val="22"/>
        </w:rPr>
        <w:t>Manual C</w:t>
      </w:r>
      <w:r w:rsidR="0037140D" w:rsidRPr="00B24A80">
        <w:rPr>
          <w:rFonts w:asciiTheme="majorHAnsi" w:eastAsia="Calibri" w:hAnsiTheme="majorHAnsi" w:cstheme="majorHAnsi"/>
          <w:sz w:val="22"/>
          <w:szCs w:val="22"/>
        </w:rPr>
        <w:t>onstructivo para casa</w:t>
      </w:r>
      <w:r w:rsidRPr="00B24A80">
        <w:rPr>
          <w:rFonts w:asciiTheme="majorHAnsi" w:eastAsia="Calibri" w:hAnsiTheme="majorHAnsi" w:cstheme="majorHAnsi"/>
          <w:sz w:val="22"/>
          <w:szCs w:val="22"/>
        </w:rPr>
        <w:t xml:space="preserve">, </w:t>
      </w:r>
      <w:r w:rsidR="0037140D" w:rsidRPr="00B24A80">
        <w:rPr>
          <w:rFonts w:asciiTheme="majorHAnsi" w:eastAsia="Calibri" w:hAnsiTheme="majorHAnsi" w:cstheme="majorHAnsi"/>
          <w:sz w:val="22"/>
          <w:szCs w:val="22"/>
        </w:rPr>
        <w:t>MIDUVI.</w:t>
      </w:r>
    </w:p>
    <w:p w14:paraId="7BED2617" w14:textId="5B1EF7FA" w:rsidR="009C2F75" w:rsidRPr="00B24A80" w:rsidRDefault="007F5505" w:rsidP="009F132D">
      <w:pPr>
        <w:numPr>
          <w:ilvl w:val="0"/>
          <w:numId w:val="10"/>
        </w:num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Vivienda Interés Social.</w:t>
      </w:r>
      <w:r w:rsidRPr="00B24A80">
        <w:rPr>
          <w:rFonts w:asciiTheme="majorHAnsi" w:eastAsia="Calibri" w:hAnsiTheme="majorHAnsi" w:cstheme="majorHAnsi"/>
          <w:color w:val="000000"/>
          <w:sz w:val="22"/>
          <w:szCs w:val="22"/>
        </w:rPr>
        <w:t xml:space="preserve"> </w:t>
      </w:r>
      <w:r w:rsidR="009C2F75" w:rsidRPr="00B24A80">
        <w:rPr>
          <w:rFonts w:asciiTheme="majorHAnsi" w:eastAsia="Calibri" w:hAnsiTheme="majorHAnsi" w:cstheme="majorHAnsi"/>
          <w:color w:val="000000"/>
          <w:sz w:val="22"/>
          <w:szCs w:val="22"/>
        </w:rPr>
        <w:t>–</w:t>
      </w:r>
      <w:r w:rsidRPr="00B24A80">
        <w:rPr>
          <w:rFonts w:asciiTheme="majorHAnsi" w:eastAsia="Calibri" w:hAnsiTheme="majorHAnsi" w:cstheme="majorHAnsi"/>
          <w:color w:val="000000"/>
          <w:sz w:val="22"/>
          <w:szCs w:val="22"/>
        </w:rPr>
        <w:t xml:space="preserve"> </w:t>
      </w:r>
      <w:r w:rsidR="0037140D" w:rsidRPr="00B24A80">
        <w:rPr>
          <w:rFonts w:asciiTheme="majorHAnsi" w:eastAsia="Calibri" w:hAnsiTheme="majorHAnsi" w:cstheme="majorHAnsi"/>
          <w:color w:val="000000"/>
          <w:sz w:val="22"/>
          <w:szCs w:val="22"/>
        </w:rPr>
        <w:t>De acuerdo al</w:t>
      </w:r>
      <w:r w:rsidR="009C2F75" w:rsidRPr="00B24A80">
        <w:rPr>
          <w:rFonts w:asciiTheme="majorHAnsi" w:eastAsia="Calibri" w:hAnsiTheme="majorHAnsi" w:cstheme="majorHAnsi"/>
          <w:color w:val="000000"/>
          <w:sz w:val="22"/>
          <w:szCs w:val="22"/>
        </w:rPr>
        <w:t xml:space="preserve"> Plan de Uso y Gestión del Suelo como primera acción ha clasificado el suelo e identificado políticas de acceso al suelo. Las áreas identificadas de preferencia se han localizado en suelo urbano y suelo rural de expansión urbana, que provienen en su mayoría de las reservas de suelo establecidas en la planificación aprobada por el Concejo Cantonal en años anteriores.</w:t>
      </w:r>
    </w:p>
    <w:p w14:paraId="223F256C" w14:textId="22CAC21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Lineamientos para Vivienda de interés social: </w:t>
      </w:r>
      <w:r w:rsidRPr="00B24A80">
        <w:rPr>
          <w:rFonts w:asciiTheme="majorHAnsi" w:eastAsia="Calibri" w:hAnsiTheme="majorHAnsi" w:cstheme="majorHAnsi"/>
          <w:color w:val="000000"/>
          <w:szCs w:val="22"/>
        </w:rPr>
        <w:t xml:space="preserve">Se identifican cinco </w:t>
      </w:r>
      <w:r w:rsidRPr="00B24A80">
        <w:rPr>
          <w:rFonts w:asciiTheme="majorHAnsi" w:eastAsia="Calibri" w:hAnsiTheme="majorHAnsi" w:cstheme="majorHAnsi"/>
          <w:b/>
          <w:szCs w:val="22"/>
        </w:rPr>
        <w:t>iniciativas</w:t>
      </w:r>
      <w:r w:rsidRPr="00B24A80">
        <w:rPr>
          <w:rFonts w:asciiTheme="majorHAnsi" w:eastAsia="Calibri" w:hAnsiTheme="majorHAnsi" w:cstheme="majorHAnsi"/>
          <w:color w:val="000000"/>
          <w:szCs w:val="22"/>
        </w:rPr>
        <w:t xml:space="preserve"> que las iniciativas públicas o privadas pueden intervenir, de acuerdo a su mejor alternativa.</w:t>
      </w:r>
    </w:p>
    <w:p w14:paraId="6B8B5A3A" w14:textId="77777777" w:rsidR="00DC27E8" w:rsidRPr="00B24A80" w:rsidRDefault="007F5505" w:rsidP="009F132D">
      <w:pPr>
        <w:numPr>
          <w:ilvl w:val="1"/>
          <w:numId w:val="11"/>
        </w:num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Primera iniciativa:</w:t>
      </w:r>
    </w:p>
    <w:p w14:paraId="5C115389" w14:textId="77777777" w:rsidR="00DC27E8" w:rsidRPr="00B24A80" w:rsidRDefault="007F5505">
      <w:pPr>
        <w:spacing w:before="240" w:after="240" w:line="276" w:lineRule="auto"/>
        <w:ind w:left="1080"/>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Propiciar en proyectos VIS-VIP municipales, mixtos o privados, viviendas de diversos segmentos con mezcla de tipologías, viviendas unifamiliares, bifamiliares y multifamiliares, de tal forma que se oferten soluciones habitacionales de valores </w:t>
      </w:r>
      <w:r w:rsidRPr="00B24A80">
        <w:rPr>
          <w:rFonts w:asciiTheme="majorHAnsi" w:eastAsia="Calibri" w:hAnsiTheme="majorHAnsi" w:cstheme="majorHAnsi"/>
          <w:sz w:val="22"/>
          <w:szCs w:val="22"/>
        </w:rPr>
        <w:lastRenderedPageBreak/>
        <w:t>diferenciados, accesibles y dirigidos a estratos socioeconómicos diversos, en las condiciones de financiamiento y segmentación que señala el ente rector.</w:t>
      </w:r>
    </w:p>
    <w:p w14:paraId="1FBEA156" w14:textId="77777777" w:rsidR="00DC27E8" w:rsidRPr="00B24A80" w:rsidRDefault="007F5505">
      <w:pPr>
        <w:spacing w:before="240" w:after="240" w:line="276" w:lineRule="auto"/>
        <w:ind w:left="1080"/>
        <w:rPr>
          <w:rFonts w:asciiTheme="majorHAnsi" w:eastAsia="Calibri" w:hAnsiTheme="majorHAnsi" w:cstheme="majorHAnsi"/>
          <w:sz w:val="22"/>
          <w:szCs w:val="22"/>
        </w:rPr>
      </w:pPr>
      <w:r w:rsidRPr="00B24A80">
        <w:rPr>
          <w:rFonts w:asciiTheme="majorHAnsi" w:eastAsia="Calibri" w:hAnsiTheme="majorHAnsi" w:cstheme="majorHAnsi"/>
          <w:sz w:val="22"/>
          <w:szCs w:val="22"/>
        </w:rPr>
        <w:t>Se considerarán los siguientes porcentajes para la implementación de proyectos:</w:t>
      </w:r>
    </w:p>
    <w:p w14:paraId="6F402FAA" w14:textId="77777777" w:rsidR="00DC27E8" w:rsidRPr="00B24A80" w:rsidRDefault="007F5505" w:rsidP="009F132D">
      <w:pPr>
        <w:widowControl/>
        <w:numPr>
          <w:ilvl w:val="0"/>
          <w:numId w:val="30"/>
        </w:numPr>
        <w:pBdr>
          <w:top w:val="nil"/>
          <w:left w:val="nil"/>
          <w:bottom w:val="nil"/>
          <w:right w:val="nil"/>
          <w:between w:val="nil"/>
        </w:pBdr>
        <w:spacing w:before="240" w:line="276" w:lineRule="auto"/>
        <w:ind w:left="18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Proyectos VIS: Primer segmento 5% - Segundo segmento 30% - Tercer Segmento 65%</w:t>
      </w:r>
    </w:p>
    <w:p w14:paraId="0C717B48" w14:textId="77777777" w:rsidR="00DC27E8" w:rsidRPr="00B24A80" w:rsidRDefault="007F5505" w:rsidP="009F132D">
      <w:pPr>
        <w:widowControl/>
        <w:numPr>
          <w:ilvl w:val="0"/>
          <w:numId w:val="30"/>
        </w:numPr>
        <w:pBdr>
          <w:top w:val="nil"/>
          <w:left w:val="nil"/>
          <w:bottom w:val="nil"/>
          <w:right w:val="nil"/>
          <w:between w:val="nil"/>
        </w:pBdr>
        <w:spacing w:line="276" w:lineRule="auto"/>
        <w:ind w:left="18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Proyectos VIS - VIP: VIS 25% (en cualquier segmento) - VIP 75%</w:t>
      </w:r>
    </w:p>
    <w:p w14:paraId="40B119B2" w14:textId="77777777" w:rsidR="00DC27E8" w:rsidRPr="00B24A80" w:rsidRDefault="007F5505" w:rsidP="009F132D">
      <w:pPr>
        <w:numPr>
          <w:ilvl w:val="1"/>
          <w:numId w:val="11"/>
        </w:numPr>
        <w:pBdr>
          <w:top w:val="nil"/>
          <w:left w:val="nil"/>
          <w:bottom w:val="nil"/>
          <w:right w:val="nil"/>
          <w:between w:val="nil"/>
        </w:pBdr>
        <w:spacing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Segunda iniciativa:</w:t>
      </w:r>
    </w:p>
    <w:p w14:paraId="6533A697" w14:textId="77777777" w:rsidR="00DC27E8" w:rsidRPr="00B24A80" w:rsidRDefault="007F5505">
      <w:pPr>
        <w:spacing w:before="240" w:after="240" w:line="276" w:lineRule="auto"/>
        <w:ind w:left="1080"/>
        <w:rPr>
          <w:rFonts w:asciiTheme="majorHAnsi" w:eastAsia="Calibri" w:hAnsiTheme="majorHAnsi" w:cstheme="majorHAnsi"/>
          <w:sz w:val="22"/>
          <w:szCs w:val="22"/>
        </w:rPr>
      </w:pPr>
      <w:r w:rsidRPr="00B24A80">
        <w:rPr>
          <w:rFonts w:asciiTheme="majorHAnsi" w:eastAsia="Calibri" w:hAnsiTheme="majorHAnsi" w:cstheme="majorHAnsi"/>
          <w:sz w:val="22"/>
          <w:szCs w:val="22"/>
        </w:rPr>
        <w:t>Considerar un porcentaje del área de construcción del proyecto para usos mixtos comerciales o de servicios. Esta iniciativa tiene dos alternativas:</w:t>
      </w:r>
    </w:p>
    <w:p w14:paraId="098AE266" w14:textId="77777777" w:rsidR="00DC27E8" w:rsidRPr="00B24A80" w:rsidRDefault="007F5505" w:rsidP="009F132D">
      <w:pPr>
        <w:widowControl/>
        <w:numPr>
          <w:ilvl w:val="0"/>
          <w:numId w:val="47"/>
        </w:numPr>
        <w:pBdr>
          <w:top w:val="nil"/>
          <w:left w:val="nil"/>
          <w:bottom w:val="nil"/>
          <w:right w:val="nil"/>
          <w:between w:val="nil"/>
        </w:pBdr>
        <w:spacing w:before="240" w:line="276" w:lineRule="auto"/>
        <w:ind w:left="18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Establecer áreas exclusivas dentro del proyecto para usos mixtos o complementarios, que no superen el 10% de metros cuadrados de construcción permitidos.</w:t>
      </w:r>
    </w:p>
    <w:p w14:paraId="301C19FA" w14:textId="77777777" w:rsidR="00DC27E8" w:rsidRPr="00B24A80" w:rsidRDefault="007F5505" w:rsidP="009F132D">
      <w:pPr>
        <w:widowControl/>
        <w:numPr>
          <w:ilvl w:val="0"/>
          <w:numId w:val="47"/>
        </w:numPr>
        <w:pBdr>
          <w:top w:val="nil"/>
          <w:left w:val="nil"/>
          <w:bottom w:val="nil"/>
          <w:right w:val="nil"/>
          <w:between w:val="nil"/>
        </w:pBdr>
        <w:spacing w:line="276" w:lineRule="auto"/>
        <w:ind w:left="18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tipología deberá considerar un diseño de vivienda progresiva que permita en el área libre de terreno, implementar la vivienda productiva. La ampliación se la podrá realizar con Incentivo del Estado.</w:t>
      </w:r>
    </w:p>
    <w:p w14:paraId="411D6B21" w14:textId="77777777" w:rsidR="00DC27E8" w:rsidRPr="00B24A80" w:rsidRDefault="007F5505" w:rsidP="009F132D">
      <w:pPr>
        <w:numPr>
          <w:ilvl w:val="1"/>
          <w:numId w:val="11"/>
        </w:numPr>
        <w:pBdr>
          <w:top w:val="nil"/>
          <w:left w:val="nil"/>
          <w:bottom w:val="nil"/>
          <w:right w:val="nil"/>
          <w:between w:val="nil"/>
        </w:pBdr>
        <w:spacing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Tercera iniciativa:</w:t>
      </w:r>
    </w:p>
    <w:p w14:paraId="20A3ACA1" w14:textId="4A773BA0" w:rsidR="00DC27E8" w:rsidRPr="00B24A80" w:rsidRDefault="007F5505">
      <w:pPr>
        <w:spacing w:before="240" w:after="240" w:line="276" w:lineRule="auto"/>
        <w:ind w:left="1080"/>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El GAD Municipal de </w:t>
      </w:r>
      <w:r w:rsidR="00E30701" w:rsidRPr="00B24A80">
        <w:rPr>
          <w:rFonts w:asciiTheme="majorHAnsi" w:eastAsia="Arial" w:hAnsiTheme="majorHAnsi" w:cstheme="majorHAnsi"/>
          <w:color w:val="25282C"/>
          <w:sz w:val="22"/>
          <w:szCs w:val="22"/>
        </w:rPr>
        <w:t>La Joya de los Sachas</w:t>
      </w:r>
      <w:r w:rsidR="00916ED1"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a través del ente gestor de suelo, pondrá a disposición de la población proyectos de Vivienda de Interés Social en arriendo con opción de compra. De preferencia estas viviendas se construirán en predios municipales ubicados en áreas consolidadas de la Ciudad. Así mismo el sector privado o los proyectos mixtos, dispondrán de acuerdo al segmento VIS autorizado, Viviendas en arriendo con opción de compra, bajo las condiciones que establece la norma.</w:t>
      </w:r>
    </w:p>
    <w:p w14:paraId="42225595" w14:textId="77777777" w:rsidR="00DC27E8" w:rsidRPr="00B24A80" w:rsidRDefault="007F5505" w:rsidP="009F132D">
      <w:pPr>
        <w:numPr>
          <w:ilvl w:val="1"/>
          <w:numId w:val="11"/>
        </w:num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Cuarta iniciativa.</w:t>
      </w:r>
    </w:p>
    <w:p w14:paraId="3A3A1EB4" w14:textId="77777777" w:rsidR="00DC27E8" w:rsidRPr="00B24A80" w:rsidRDefault="007F5505">
      <w:pPr>
        <w:spacing w:before="240" w:after="240" w:line="276" w:lineRule="auto"/>
        <w:ind w:left="1080"/>
        <w:rPr>
          <w:rFonts w:asciiTheme="majorHAnsi" w:eastAsia="Calibri" w:hAnsiTheme="majorHAnsi" w:cstheme="majorHAnsi"/>
          <w:sz w:val="22"/>
          <w:szCs w:val="22"/>
        </w:rPr>
      </w:pPr>
      <w:r w:rsidRPr="00B24A80">
        <w:rPr>
          <w:rFonts w:asciiTheme="majorHAnsi" w:eastAsia="Calibri" w:hAnsiTheme="majorHAnsi" w:cstheme="majorHAnsi"/>
          <w:sz w:val="22"/>
          <w:szCs w:val="22"/>
        </w:rPr>
        <w:t>La Vivienda de Interés Social y Pública, debe ser de calidad, emplazada en entornos plenamente dotados y servidos, es decir en zonas que garanticen conectividad con sistemas de transporte, acceso a equipamientos, infraestructuras, aglomeraciones comerciales y fuentes de empleo. Estos parámetros serán medidos para la aprobación de proyectos.</w:t>
      </w:r>
    </w:p>
    <w:p w14:paraId="62B8B69B" w14:textId="77777777" w:rsidR="00DC27E8" w:rsidRPr="00B24A80" w:rsidRDefault="007F5505" w:rsidP="009F132D">
      <w:pPr>
        <w:numPr>
          <w:ilvl w:val="1"/>
          <w:numId w:val="11"/>
        </w:num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Quinta iniciativa.</w:t>
      </w:r>
    </w:p>
    <w:p w14:paraId="634242A1" w14:textId="77777777" w:rsidR="00DC27E8" w:rsidRPr="00B24A80" w:rsidRDefault="007F5505">
      <w:pPr>
        <w:spacing w:before="240" w:after="240" w:line="276" w:lineRule="auto"/>
        <w:ind w:left="1080"/>
        <w:rPr>
          <w:rFonts w:asciiTheme="majorHAnsi" w:eastAsia="Calibri" w:hAnsiTheme="majorHAnsi" w:cstheme="majorHAnsi"/>
          <w:sz w:val="22"/>
          <w:szCs w:val="22"/>
        </w:rPr>
      </w:pPr>
      <w:r w:rsidRPr="00B24A80">
        <w:rPr>
          <w:rFonts w:asciiTheme="majorHAnsi" w:eastAsia="Calibri" w:hAnsiTheme="majorHAnsi" w:cstheme="majorHAnsi"/>
          <w:sz w:val="22"/>
          <w:szCs w:val="22"/>
        </w:rPr>
        <w:t>Establecer regulaciones que permitan la intervención pública y privada en el mercado de vivienda y mercado de suelo, que contribuyan a frenar las prácticas especulativas que finalmente encarecen el costo de las viviendas.</w:t>
      </w:r>
    </w:p>
    <w:p w14:paraId="00031107" w14:textId="77777777" w:rsidR="00DC27E8" w:rsidRPr="00B24A80" w:rsidRDefault="007F5505" w:rsidP="009F132D">
      <w:pPr>
        <w:widowControl/>
        <w:numPr>
          <w:ilvl w:val="0"/>
          <w:numId w:val="50"/>
        </w:numPr>
        <w:pBdr>
          <w:top w:val="nil"/>
          <w:left w:val="nil"/>
          <w:bottom w:val="nil"/>
          <w:right w:val="nil"/>
          <w:between w:val="nil"/>
        </w:pBdr>
        <w:spacing w:before="240" w:line="276" w:lineRule="auto"/>
        <w:ind w:left="18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Derecho de adquisición preferente: mediante el proceso establecido en este Plan, a partir de 1 año de aprobado este proceso, la Dirección de Gestión de Planificación, conjuntamente con la Jefatura de Avalúos y </w:t>
      </w:r>
      <w:r w:rsidRPr="00B24A80">
        <w:rPr>
          <w:rFonts w:asciiTheme="majorHAnsi" w:eastAsia="Calibri" w:hAnsiTheme="majorHAnsi" w:cstheme="majorHAnsi"/>
          <w:color w:val="000000"/>
          <w:sz w:val="22"/>
          <w:szCs w:val="22"/>
        </w:rPr>
        <w:lastRenderedPageBreak/>
        <w:t>Catastros, deberán identificar aquellos predios que serán sujeto de este instrumento.</w:t>
      </w:r>
    </w:p>
    <w:p w14:paraId="10B0FAA9" w14:textId="77777777" w:rsidR="00DC27E8" w:rsidRPr="00B24A80" w:rsidRDefault="007F5505" w:rsidP="009F132D">
      <w:pPr>
        <w:widowControl/>
        <w:numPr>
          <w:ilvl w:val="0"/>
          <w:numId w:val="50"/>
        </w:numPr>
        <w:pBdr>
          <w:top w:val="nil"/>
          <w:left w:val="nil"/>
          <w:bottom w:val="nil"/>
          <w:right w:val="nil"/>
          <w:between w:val="nil"/>
        </w:pBdr>
        <w:spacing w:line="276" w:lineRule="auto"/>
        <w:ind w:left="18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Generar un banco de suelos, para lo cual se debe actualizar la base catastral de los predios de propiedad municipal que potencialmente pueden receptar este tipo de programas de vivienda. Desde el PUGS se plantea implementar la Ordenanza de Banco de suelos.</w:t>
      </w:r>
    </w:p>
    <w:p w14:paraId="6585ACB9" w14:textId="22F8B66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color w:val="000000"/>
          <w:szCs w:val="22"/>
        </w:rPr>
      </w:pPr>
      <w:r w:rsidRPr="00B24A80">
        <w:rPr>
          <w:rFonts w:asciiTheme="majorHAnsi" w:eastAsia="Calibri" w:hAnsiTheme="majorHAnsi" w:cstheme="majorHAnsi"/>
          <w:b/>
          <w:color w:val="000000"/>
          <w:szCs w:val="22"/>
        </w:rPr>
        <w:t>Zonas Especiales de Vivienda de Interés Social (ZEIS)</w:t>
      </w:r>
    </w:p>
    <w:p w14:paraId="544021C7" w14:textId="77777777" w:rsidR="00DC27E8" w:rsidRPr="00B24A80" w:rsidRDefault="007F5505">
      <w:pPr>
        <w:pBdr>
          <w:top w:val="nil"/>
          <w:left w:val="nil"/>
          <w:bottom w:val="nil"/>
          <w:right w:val="nil"/>
          <w:between w:val="nil"/>
        </w:pBdr>
        <w:spacing w:before="240" w:line="276" w:lineRule="auto"/>
        <w:ind w:left="72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Las zonas especiales de interés social son áreas determinadas y destinadas al desarrollo de proyectos de vivienda de interés social y destinado para la reubicación de personas que se encuentran en zonas de riesgo. </w:t>
      </w:r>
    </w:p>
    <w:p w14:paraId="6DF3A1F6" w14:textId="77777777" w:rsidR="00DC27E8" w:rsidRPr="00B24A80" w:rsidRDefault="007F5505">
      <w:pPr>
        <w:pBdr>
          <w:top w:val="nil"/>
          <w:left w:val="nil"/>
          <w:bottom w:val="nil"/>
          <w:right w:val="nil"/>
          <w:between w:val="nil"/>
        </w:pBdr>
        <w:spacing w:after="240" w:line="276" w:lineRule="auto"/>
        <w:ind w:left="72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planes parciales y demás planes urbanísticos complementarios, podrán definir nuevas ZEIS, donde el suelo vacante sea mayor al 50% de su superficie total.</w:t>
      </w:r>
    </w:p>
    <w:p w14:paraId="36993987" w14:textId="0DD8604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 Acceso al suelo para vivienda de interés social</w:t>
      </w:r>
    </w:p>
    <w:p w14:paraId="2F40BDE5"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De manera que se garantice la diversificación de la vivienda y su localización en suelo urbano consolidado o no consolidado que posea por lo menos dotación de servicios básicos, los proyectos privados de urbanización para uso residencial deberán destinar hasta un 10% a vivienda de interés social, que será enajenada bajo los parámetros que establece el ente rector de hábitat y vivienda. El segmento de VIS será seleccionado por el promotor.</w:t>
      </w:r>
    </w:p>
    <w:p w14:paraId="61C1C977"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Las actuaciones sujetas a esta norma serán aquellas en las que se proyecte la construcción de 10 o más unidades de vivienda.</w:t>
      </w:r>
    </w:p>
    <w:p w14:paraId="625ABAD0"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Para el suelo rural de expansión urbana, se deberá realizar planes parciales cumpliendo los estándares establecidos en este Plan.</w:t>
      </w:r>
    </w:p>
    <w:p w14:paraId="4DBD9C92"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Para el suelo afectado para Vivienda de Interés Social, se aplicará el proceso de Declaratoria de Utilidad Pública con el respectivo Anuncio del Proyecto; o será sujeto de Derecho de adquisición preferente para el caso que se pretenda optar por el Derecho de Superficie.</w:t>
      </w:r>
    </w:p>
    <w:p w14:paraId="7E2C732A"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Para provocar impactos económicos favorables, el gestor de suelo municipal podrá asociarse con promotores urbanísticos, públicos o privados, conformar consorcios y compañías mixtas para el desarrollo de proyectos de vivienda de interés social. En todos estos casos, el Directorio de la Empresa establecerá los lineamientos y condiciones generales aplicables a la Empresa y a sus asociados a los que se sujetará la iniciativa inmobiliaria, que podrá realizarse en suelo público o privado.</w:t>
      </w:r>
    </w:p>
    <w:p w14:paraId="0A4B0234" w14:textId="1F74F203"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El mejoramiento integral de </w:t>
      </w:r>
      <w:r w:rsidR="00BB1F9B" w:rsidRPr="00B24A80">
        <w:rPr>
          <w:rFonts w:asciiTheme="majorHAnsi" w:eastAsia="Calibri" w:hAnsiTheme="majorHAnsi" w:cstheme="majorHAnsi"/>
          <w:b/>
          <w:szCs w:val="22"/>
        </w:rPr>
        <w:t>sectores y</w:t>
      </w:r>
      <w:r w:rsidRPr="00B24A80">
        <w:rPr>
          <w:rFonts w:asciiTheme="majorHAnsi" w:eastAsia="Calibri" w:hAnsiTheme="majorHAnsi" w:cstheme="majorHAnsi"/>
          <w:b/>
          <w:szCs w:val="22"/>
        </w:rPr>
        <w:t xml:space="preserve"> la producción social del hábitat.</w:t>
      </w:r>
    </w:p>
    <w:p w14:paraId="68E0393A" w14:textId="73B19CA6" w:rsidR="00A46D01" w:rsidRPr="00B24A80" w:rsidRDefault="007F5505" w:rsidP="00A46D01">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ciudad de </w:t>
      </w:r>
      <w:r w:rsidR="00E30701" w:rsidRPr="00B24A80">
        <w:rPr>
          <w:rFonts w:asciiTheme="majorHAnsi" w:eastAsia="Arial" w:hAnsiTheme="majorHAnsi" w:cstheme="majorHAnsi"/>
          <w:color w:val="25282C"/>
          <w:sz w:val="22"/>
          <w:szCs w:val="22"/>
        </w:rPr>
        <w:t>La Joya de los Sachas</w:t>
      </w:r>
      <w:r w:rsidR="00916ED1"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 xml:space="preserve">no es ajena a la realidad de la situación precaria de los barrios de la periferia, ONU Hábitat para lograr ciudades más equitativas y sostenibles establece la estrategia “ciudades integradoras, para esto es necesario integrar los derechos humanos al desarrollo urbano, teniendo en cuenta la oferta de viviendas y la mejora de los barrios marginales para asegurar la integración social y tratar de eliminar la brecha urbana”. </w:t>
      </w:r>
    </w:p>
    <w:p w14:paraId="71C726FD" w14:textId="30AC66A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szCs w:val="22"/>
        </w:rPr>
      </w:pPr>
      <w:r w:rsidRPr="00B24A80">
        <w:rPr>
          <w:rFonts w:asciiTheme="majorHAnsi" w:eastAsia="Calibri" w:hAnsiTheme="majorHAnsi" w:cstheme="majorHAnsi"/>
          <w:b/>
          <w:szCs w:val="22"/>
        </w:rPr>
        <w:lastRenderedPageBreak/>
        <w:t>Viviendas en suelos rurales.</w:t>
      </w:r>
    </w:p>
    <w:p w14:paraId="002F9FD7"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Previo a la construcción de cualquier tipo de vivienda en suelo rural productivo se deberá contar con el IPRUS- Informe predial de regulación del uso de suelo, requisito indispensable antes de ejecutar la obra. </w:t>
      </w:r>
    </w:p>
    <w:p w14:paraId="3E13AC2F" w14:textId="4D77BC4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Las viviendas en suelo rural deberán construirse con estructuras y materiales </w:t>
      </w:r>
      <w:r w:rsidR="00431869" w:rsidRPr="00B24A80">
        <w:rPr>
          <w:rFonts w:asciiTheme="majorHAnsi" w:eastAsia="Calibri" w:hAnsiTheme="majorHAnsi" w:cstheme="majorHAnsi"/>
          <w:sz w:val="22"/>
          <w:szCs w:val="22"/>
        </w:rPr>
        <w:t>propios de la zona</w:t>
      </w:r>
      <w:r w:rsidRPr="00B24A80">
        <w:rPr>
          <w:rFonts w:asciiTheme="majorHAnsi" w:eastAsia="Calibri" w:hAnsiTheme="majorHAnsi" w:cstheme="majorHAnsi"/>
          <w:sz w:val="22"/>
          <w:szCs w:val="22"/>
        </w:rPr>
        <w:t xml:space="preserve"> de acuerdo a las condiciones climáticas, geológicas y ecológicas que guarden relación con los entornos naturales amazónicos, las condiciones culturales, ancestrales y paisajísticas, determinando la creación de una identidad territorial, armonizando la modernidad con lo tradicional, sin alterar las condiciones de vida de sus habitantes, Además se consideran los usos de suelo determinados en el componente urbanístico de suelo rural.</w:t>
      </w:r>
    </w:p>
    <w:p w14:paraId="13C15FF2"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Se propone disminuir el déficit cualitativo de las viviendas rurales en el suelo destinado para asentamientos humanos agroproductivos, a través de programas de saneamiento ambiental y la dotación de servicios de saneamiento adecuado y agua segura.</w:t>
      </w:r>
    </w:p>
    <w:p w14:paraId="2F78488B" w14:textId="57294DDD"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Se plantea además fortalecer los usos productivos a través de la aplicación de herramientas de gestión del suelo rural basadas en modelos de gestión exitosos; la regulación en la construcción</w:t>
      </w:r>
      <w:r w:rsidR="00BB1F9B"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de viviendas rurales y viviendas campestres o quintas vacacionales y la determinación de condiciones de uso y aprovechamiento claras que incentiven usos productivos.</w:t>
      </w:r>
    </w:p>
    <w:p w14:paraId="3F0AA6B4" w14:textId="1ED4AE8A" w:rsidR="00DC27E8" w:rsidRPr="00B24A80" w:rsidRDefault="00EB5C24" w:rsidP="009013C1">
      <w:pPr>
        <w:pStyle w:val="Ttulo3"/>
        <w:rPr>
          <w:rFonts w:cstheme="majorHAnsi"/>
          <w:sz w:val="22"/>
          <w:szCs w:val="22"/>
        </w:rPr>
      </w:pPr>
      <w:bookmarkStart w:id="339" w:name="_heading=h.wnyagw" w:colFirst="0" w:colLast="0"/>
      <w:bookmarkStart w:id="340" w:name="_Toc65711709"/>
      <w:bookmarkStart w:id="341" w:name="_Toc81085685"/>
      <w:bookmarkStart w:id="342" w:name="_Toc181374125"/>
      <w:bookmarkEnd w:id="339"/>
      <w:r w:rsidRPr="00B24A80">
        <w:rPr>
          <w:rFonts w:cstheme="majorHAnsi"/>
          <w:sz w:val="22"/>
          <w:szCs w:val="22"/>
        </w:rPr>
        <w:t>CAPÍTULO</w:t>
      </w:r>
      <w:r w:rsidR="007F5505" w:rsidRPr="00B24A80">
        <w:rPr>
          <w:rFonts w:cstheme="majorHAnsi"/>
          <w:sz w:val="22"/>
          <w:szCs w:val="22"/>
        </w:rPr>
        <w:t xml:space="preserve"> II</w:t>
      </w:r>
      <w:r w:rsidR="0037445C" w:rsidRPr="00B24A80">
        <w:rPr>
          <w:rFonts w:cstheme="majorHAnsi"/>
          <w:sz w:val="22"/>
          <w:szCs w:val="22"/>
        </w:rPr>
        <w:t xml:space="preserve"> </w:t>
      </w:r>
      <w:bookmarkStart w:id="343" w:name="_heading=h.3gnlt4p" w:colFirst="0" w:colLast="0"/>
      <w:bookmarkEnd w:id="343"/>
      <w:r w:rsidR="009013C1" w:rsidRPr="00B24A80">
        <w:rPr>
          <w:rFonts w:cstheme="majorHAnsi"/>
          <w:sz w:val="22"/>
          <w:szCs w:val="22"/>
        </w:rPr>
        <w:br/>
      </w:r>
      <w:r w:rsidR="007F5505" w:rsidRPr="00B24A80">
        <w:rPr>
          <w:rFonts w:cstheme="majorHAnsi"/>
          <w:sz w:val="22"/>
          <w:szCs w:val="22"/>
        </w:rPr>
        <w:t>Instrumentos de Gestión</w:t>
      </w:r>
      <w:bookmarkEnd w:id="340"/>
      <w:bookmarkEnd w:id="341"/>
      <w:bookmarkEnd w:id="342"/>
      <w:r w:rsidR="007F5505" w:rsidRPr="00B24A80">
        <w:rPr>
          <w:rFonts w:cstheme="majorHAnsi"/>
          <w:sz w:val="22"/>
          <w:szCs w:val="22"/>
        </w:rPr>
        <w:t xml:space="preserve"> </w:t>
      </w:r>
    </w:p>
    <w:p w14:paraId="6C86F339" w14:textId="156C358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Gestión del suelo:</w:t>
      </w:r>
      <w:r w:rsidRPr="00B24A80">
        <w:rPr>
          <w:rFonts w:asciiTheme="majorHAnsi" w:eastAsia="Calibri" w:hAnsiTheme="majorHAnsi" w:cstheme="majorHAnsi"/>
          <w:color w:val="000000"/>
          <w:szCs w:val="22"/>
        </w:rPr>
        <w:t xml:space="preserve"> La gestión del suelo es la acción y efecto de administrarlo, en función de lo establecido en la presente Ordenanza y sus instrumentos complementarios, con el fin de permitir el acceso y aprovechamiento de sus potencialidades de manera sostenible y sustentable, conforme con el principio de distribución equitativa</w:t>
      </w:r>
      <w:r w:rsidR="00A46D01" w:rsidRPr="00B24A80">
        <w:rPr>
          <w:rFonts w:asciiTheme="majorHAnsi" w:eastAsia="Calibri" w:hAnsiTheme="majorHAnsi" w:cstheme="majorHAnsi"/>
          <w:color w:val="000000"/>
          <w:szCs w:val="22"/>
        </w:rPr>
        <w:t xml:space="preserve"> de las cargas y los beneficios, conforme lo establece la LOOTUGS en su título IV GESTION DEL SUELOS, artículos del 44 al 47. </w:t>
      </w:r>
    </w:p>
    <w:p w14:paraId="102DC972" w14:textId="77777777" w:rsidR="00DC27E8" w:rsidRPr="00B24A80" w:rsidRDefault="007F5505">
      <w:pPr>
        <w:pBdr>
          <w:top w:val="nil"/>
          <w:left w:val="nil"/>
          <w:bottom w:val="nil"/>
          <w:right w:val="nil"/>
          <w:between w:val="nil"/>
        </w:pBdr>
        <w:spacing w:before="240" w:after="32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gestión del suelo se realizará a través de:</w:t>
      </w:r>
    </w:p>
    <w:p w14:paraId="4795D814" w14:textId="77777777" w:rsidR="00DC27E8" w:rsidRPr="00B24A80" w:rsidRDefault="007F5505" w:rsidP="00090B24">
      <w:pPr>
        <w:numPr>
          <w:ilvl w:val="0"/>
          <w:numId w:val="1"/>
        </w:numPr>
        <w:pBdr>
          <w:top w:val="nil"/>
          <w:left w:val="nil"/>
          <w:bottom w:val="nil"/>
          <w:right w:val="nil"/>
          <w:between w:val="nil"/>
        </w:pBdr>
        <w:tabs>
          <w:tab w:val="left" w:pos="296"/>
        </w:tabs>
        <w:spacing w:before="240"/>
        <w:ind w:left="720" w:hanging="360"/>
        <w:rPr>
          <w:rFonts w:asciiTheme="majorHAnsi" w:eastAsia="Calibri" w:hAnsiTheme="majorHAnsi" w:cstheme="majorHAnsi"/>
          <w:color w:val="000000"/>
          <w:sz w:val="22"/>
          <w:szCs w:val="22"/>
        </w:rPr>
      </w:pPr>
      <w:bookmarkStart w:id="344" w:name="bookmark=id.1vsw3ci" w:colFirst="0" w:colLast="0"/>
      <w:bookmarkEnd w:id="344"/>
      <w:r w:rsidRPr="00B24A80">
        <w:rPr>
          <w:rFonts w:asciiTheme="majorHAnsi" w:eastAsia="Calibri" w:hAnsiTheme="majorHAnsi" w:cstheme="majorHAnsi"/>
          <w:color w:val="000000"/>
          <w:sz w:val="22"/>
          <w:szCs w:val="22"/>
        </w:rPr>
        <w:t>Instrumento para la distribución equitativa de las cargas y los beneficios.</w:t>
      </w:r>
    </w:p>
    <w:p w14:paraId="5A8F63E9" w14:textId="77777777" w:rsidR="00DC27E8" w:rsidRPr="00B24A80" w:rsidRDefault="007F5505" w:rsidP="00090B24">
      <w:pPr>
        <w:numPr>
          <w:ilvl w:val="0"/>
          <w:numId w:val="1"/>
        </w:numPr>
        <w:pBdr>
          <w:top w:val="nil"/>
          <w:left w:val="nil"/>
          <w:bottom w:val="nil"/>
          <w:right w:val="nil"/>
          <w:between w:val="nil"/>
        </w:pBdr>
        <w:tabs>
          <w:tab w:val="left" w:pos="306"/>
        </w:tabs>
        <w:spacing w:before="240"/>
        <w:ind w:left="720" w:hanging="360"/>
        <w:rPr>
          <w:rFonts w:asciiTheme="majorHAnsi" w:eastAsia="Calibri" w:hAnsiTheme="majorHAnsi" w:cstheme="majorHAnsi"/>
          <w:color w:val="25282C"/>
          <w:sz w:val="22"/>
          <w:szCs w:val="22"/>
        </w:rPr>
      </w:pPr>
      <w:bookmarkStart w:id="345" w:name="bookmark=id.4fsjm0b" w:colFirst="0" w:colLast="0"/>
      <w:bookmarkStart w:id="346" w:name="_heading=h.17dp8vu" w:colFirst="0" w:colLast="0"/>
      <w:bookmarkEnd w:id="345"/>
      <w:bookmarkEnd w:id="346"/>
      <w:r w:rsidRPr="00B24A80">
        <w:rPr>
          <w:rFonts w:asciiTheme="majorHAnsi" w:eastAsia="Calibri" w:hAnsiTheme="majorHAnsi" w:cstheme="majorHAnsi"/>
          <w:color w:val="000000"/>
          <w:sz w:val="22"/>
          <w:szCs w:val="22"/>
        </w:rPr>
        <w:t>Instrumentos para intervenir la morfología urbana y la estructura predial.</w:t>
      </w:r>
    </w:p>
    <w:p w14:paraId="49F8CA05" w14:textId="77777777" w:rsidR="00DC27E8" w:rsidRPr="00B24A80" w:rsidRDefault="007F5505" w:rsidP="00090B24">
      <w:pPr>
        <w:numPr>
          <w:ilvl w:val="0"/>
          <w:numId w:val="1"/>
        </w:numPr>
        <w:pBdr>
          <w:top w:val="nil"/>
          <w:left w:val="nil"/>
          <w:bottom w:val="nil"/>
          <w:right w:val="nil"/>
          <w:between w:val="nil"/>
        </w:pBdr>
        <w:tabs>
          <w:tab w:val="left" w:pos="306"/>
        </w:tabs>
        <w:spacing w:before="240"/>
        <w:ind w:left="720" w:hanging="360"/>
        <w:rPr>
          <w:rFonts w:asciiTheme="majorHAnsi" w:eastAsia="Calibri" w:hAnsiTheme="majorHAnsi" w:cstheme="majorHAnsi"/>
          <w:color w:val="25282C"/>
          <w:sz w:val="22"/>
          <w:szCs w:val="22"/>
        </w:rPr>
      </w:pPr>
      <w:bookmarkStart w:id="347" w:name="bookmark=id.2uxtw84" w:colFirst="0" w:colLast="0"/>
      <w:bookmarkEnd w:id="347"/>
      <w:r w:rsidRPr="00B24A80">
        <w:rPr>
          <w:rFonts w:asciiTheme="majorHAnsi" w:eastAsia="Calibri" w:hAnsiTheme="majorHAnsi" w:cstheme="majorHAnsi"/>
          <w:color w:val="000000"/>
          <w:sz w:val="22"/>
          <w:szCs w:val="22"/>
        </w:rPr>
        <w:t>Instrumentos para regular el mercado de suelo.</w:t>
      </w:r>
    </w:p>
    <w:p w14:paraId="686AFCA1" w14:textId="77777777" w:rsidR="00DC27E8" w:rsidRPr="00B24A80" w:rsidRDefault="007F5505" w:rsidP="00090B24">
      <w:pPr>
        <w:numPr>
          <w:ilvl w:val="0"/>
          <w:numId w:val="1"/>
        </w:numPr>
        <w:pBdr>
          <w:top w:val="nil"/>
          <w:left w:val="nil"/>
          <w:bottom w:val="nil"/>
          <w:right w:val="nil"/>
          <w:between w:val="nil"/>
        </w:pBdr>
        <w:tabs>
          <w:tab w:val="left" w:pos="306"/>
        </w:tabs>
        <w:spacing w:before="240"/>
        <w:ind w:left="720" w:hanging="360"/>
        <w:rPr>
          <w:rFonts w:asciiTheme="majorHAnsi" w:eastAsia="Calibri" w:hAnsiTheme="majorHAnsi" w:cstheme="majorHAnsi"/>
          <w:color w:val="25282C"/>
          <w:sz w:val="22"/>
          <w:szCs w:val="22"/>
        </w:rPr>
      </w:pPr>
      <w:bookmarkStart w:id="348" w:name="bookmark=id.1a346fx" w:colFirst="0" w:colLast="0"/>
      <w:bookmarkEnd w:id="348"/>
      <w:r w:rsidRPr="00B24A80">
        <w:rPr>
          <w:rFonts w:asciiTheme="majorHAnsi" w:eastAsia="Calibri" w:hAnsiTheme="majorHAnsi" w:cstheme="majorHAnsi"/>
          <w:color w:val="000000"/>
          <w:sz w:val="22"/>
          <w:szCs w:val="22"/>
        </w:rPr>
        <w:t>Instrumentos de financiamiento del desarrollo urbano.</w:t>
      </w:r>
    </w:p>
    <w:p w14:paraId="6B6A8C05" w14:textId="77777777" w:rsidR="00DC27E8" w:rsidRPr="00B24A80" w:rsidRDefault="007F5505" w:rsidP="00090B24">
      <w:pPr>
        <w:numPr>
          <w:ilvl w:val="0"/>
          <w:numId w:val="1"/>
        </w:numPr>
        <w:pBdr>
          <w:top w:val="nil"/>
          <w:left w:val="nil"/>
          <w:bottom w:val="nil"/>
          <w:right w:val="nil"/>
          <w:between w:val="nil"/>
        </w:pBdr>
        <w:tabs>
          <w:tab w:val="left" w:pos="306"/>
        </w:tabs>
        <w:spacing w:before="240" w:after="320"/>
        <w:ind w:left="720" w:hanging="360"/>
        <w:rPr>
          <w:rFonts w:asciiTheme="majorHAnsi" w:eastAsia="Calibri" w:hAnsiTheme="majorHAnsi" w:cstheme="majorHAnsi"/>
          <w:color w:val="25282C"/>
          <w:sz w:val="22"/>
          <w:szCs w:val="22"/>
        </w:rPr>
      </w:pPr>
      <w:bookmarkStart w:id="349" w:name="bookmark=id.3u2rp3q" w:colFirst="0" w:colLast="0"/>
      <w:bookmarkEnd w:id="349"/>
      <w:r w:rsidRPr="00B24A80">
        <w:rPr>
          <w:rFonts w:asciiTheme="majorHAnsi" w:eastAsia="Calibri" w:hAnsiTheme="majorHAnsi" w:cstheme="majorHAnsi"/>
          <w:color w:val="000000"/>
          <w:sz w:val="22"/>
          <w:szCs w:val="22"/>
        </w:rPr>
        <w:t>Instrumentos para la gestión del suelo de asentamientos de hecho.</w:t>
      </w:r>
    </w:p>
    <w:p w14:paraId="78FFDB04" w14:textId="49E21D66" w:rsidR="00DC27E8" w:rsidRPr="00B24A80" w:rsidRDefault="00DC27E8">
      <w:pPr>
        <w:pBdr>
          <w:top w:val="nil"/>
          <w:left w:val="nil"/>
          <w:bottom w:val="nil"/>
          <w:right w:val="nil"/>
          <w:between w:val="nil"/>
        </w:pBdr>
        <w:tabs>
          <w:tab w:val="left" w:pos="306"/>
        </w:tabs>
        <w:spacing w:line="276" w:lineRule="auto"/>
        <w:rPr>
          <w:rFonts w:asciiTheme="majorHAnsi" w:eastAsia="Calibri" w:hAnsiTheme="majorHAnsi" w:cstheme="majorHAnsi"/>
          <w:b/>
          <w:color w:val="25282C"/>
          <w:sz w:val="22"/>
          <w:szCs w:val="22"/>
        </w:rPr>
      </w:pPr>
    </w:p>
    <w:p w14:paraId="70D2C46D" w14:textId="3EF28549"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bookmarkStart w:id="350" w:name="_heading=h.1nia2ey" w:colFirst="0" w:colLast="0"/>
      <w:bookmarkStart w:id="351" w:name="_heading=h.47hxl2r" w:colFirst="0" w:colLast="0"/>
      <w:bookmarkEnd w:id="350"/>
      <w:bookmarkEnd w:id="351"/>
      <w:r w:rsidRPr="00B24A80">
        <w:rPr>
          <w:rFonts w:asciiTheme="majorHAnsi" w:eastAsia="Calibri" w:hAnsiTheme="majorHAnsi" w:cstheme="majorHAnsi"/>
          <w:b/>
          <w:color w:val="000000"/>
          <w:szCs w:val="22"/>
        </w:rPr>
        <w:t xml:space="preserve">Instrumento por la distribución equitativa de las cargas y los beneficios: </w:t>
      </w:r>
      <w:r w:rsidRPr="00B24A80">
        <w:rPr>
          <w:rFonts w:asciiTheme="majorHAnsi" w:eastAsia="Calibri" w:hAnsiTheme="majorHAnsi" w:cstheme="majorHAnsi"/>
          <w:color w:val="000000"/>
          <w:szCs w:val="22"/>
        </w:rPr>
        <w:t xml:space="preserve">Es aquel que promueve el reparto equitativo de los beneficios derivados del planeamiento urbanístico y la </w:t>
      </w:r>
      <w:r w:rsidRPr="00B24A80">
        <w:rPr>
          <w:rFonts w:asciiTheme="majorHAnsi" w:eastAsia="Calibri" w:hAnsiTheme="majorHAnsi" w:cstheme="majorHAnsi"/>
          <w:color w:val="000000"/>
          <w:szCs w:val="22"/>
        </w:rPr>
        <w:lastRenderedPageBreak/>
        <w:t>gestión del suelo entre los actores públicos y privados involucrados en función de las cargas asumidas. Dicho instrumento es lo unidad de actuación urbanística.</w:t>
      </w:r>
    </w:p>
    <w:p w14:paraId="78F006D3" w14:textId="77777777" w:rsidR="0037140D" w:rsidRPr="00B24A80" w:rsidRDefault="0037140D" w:rsidP="0037140D">
      <w:pPr>
        <w:pStyle w:val="Prrafodelista"/>
        <w:widowControl/>
        <w:tabs>
          <w:tab w:val="left" w:pos="851"/>
        </w:tabs>
        <w:spacing w:after="240" w:line="276" w:lineRule="auto"/>
        <w:ind w:left="0" w:right="-100"/>
        <w:rPr>
          <w:rFonts w:asciiTheme="majorHAnsi" w:eastAsia="Calibri" w:hAnsiTheme="majorHAnsi" w:cstheme="majorHAnsi"/>
          <w:color w:val="25282C"/>
          <w:szCs w:val="22"/>
        </w:rPr>
      </w:pPr>
    </w:p>
    <w:p w14:paraId="32793299" w14:textId="0A9A079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Propuestas de unidades de actuación urbanística para el cantón </w:t>
      </w:r>
      <w:r w:rsidR="00E30701" w:rsidRPr="00B24A80">
        <w:rPr>
          <w:rFonts w:asciiTheme="majorHAnsi" w:eastAsia="Arial" w:hAnsiTheme="majorHAnsi" w:cstheme="majorHAnsi"/>
          <w:b/>
          <w:color w:val="25282C"/>
          <w:szCs w:val="22"/>
        </w:rPr>
        <w:t>La Joya de los Sachas</w:t>
      </w:r>
      <w:r w:rsidRPr="00B24A80">
        <w:rPr>
          <w:rFonts w:asciiTheme="majorHAnsi" w:eastAsia="Calibri" w:hAnsiTheme="majorHAnsi" w:cstheme="majorHAnsi"/>
          <w:b/>
          <w:color w:val="000000"/>
          <w:szCs w:val="22"/>
        </w:rPr>
        <w:t>.</w:t>
      </w:r>
      <w:r w:rsidRPr="00B24A80">
        <w:rPr>
          <w:rFonts w:asciiTheme="majorHAnsi" w:eastAsia="Calibri" w:hAnsiTheme="majorHAnsi" w:cstheme="majorHAnsi"/>
          <w:color w:val="000000"/>
          <w:szCs w:val="22"/>
        </w:rPr>
        <w:t xml:space="preserve"> -  según el análisis de propuesta determinada por el PUGS del cantón </w:t>
      </w:r>
      <w:r w:rsidR="00E30701" w:rsidRPr="00B24A80">
        <w:rPr>
          <w:rFonts w:asciiTheme="majorHAnsi" w:eastAsia="Calibri" w:hAnsiTheme="majorHAnsi" w:cstheme="majorHAnsi"/>
          <w:color w:val="000000"/>
          <w:szCs w:val="22"/>
        </w:rPr>
        <w:t>La Joya de los Sachas</w:t>
      </w:r>
      <w:r w:rsidRPr="00B24A80">
        <w:rPr>
          <w:rFonts w:asciiTheme="majorHAnsi" w:eastAsia="Calibri" w:hAnsiTheme="majorHAnsi" w:cstheme="majorHAnsi"/>
          <w:color w:val="000000"/>
          <w:szCs w:val="22"/>
        </w:rPr>
        <w:t xml:space="preserve"> se define las siguientes propuestas de UAU:</w:t>
      </w:r>
    </w:p>
    <w:p w14:paraId="3BDC97EE" w14:textId="7E97269A" w:rsidR="00E2491C" w:rsidRPr="00B24A80" w:rsidRDefault="00E2491C"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Integración de la zona rosa y el parque lineal en la cabecera cantonal “La Joya de los Sachas”.</w:t>
      </w:r>
    </w:p>
    <w:p w14:paraId="51D0F60F" w14:textId="68814BD4"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Complementación de las redes de servicios básicos en la parroquia urbana "La Joya de los Sachas"</w:t>
      </w:r>
    </w:p>
    <w:p w14:paraId="3A15E243" w14:textId="2C10AA2D"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Complementación de las redes de servicios básicos en la parroquia urbana "San Sebastián del Coca" </w:t>
      </w:r>
    </w:p>
    <w:p w14:paraId="38C68213" w14:textId="46F349D5"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Complementación de las redes de servicios básicos en la parroquia urbana "Enokanqui" </w:t>
      </w:r>
    </w:p>
    <w:p w14:paraId="62811951" w14:textId="4FD728DB"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Complementación de las redes de servicios básicos en la parroquia urbana "Lago San Pedro" </w:t>
      </w:r>
    </w:p>
    <w:p w14:paraId="07B0D736" w14:textId="4963A591"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Complementación de las redes de servicios básicos en la parroquia urbana "Rumipamba"</w:t>
      </w:r>
    </w:p>
    <w:p w14:paraId="06421EC7" w14:textId="252DF964"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Complementación de las redes de servicios básicos en la parroquia urbana "Tres de Noviembre"</w:t>
      </w:r>
    </w:p>
    <w:p w14:paraId="3A07C06B" w14:textId="77777777" w:rsidR="00A61A77"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Complementación de las redes de servicios básicos en la parroquia urbana "San Carlos" </w:t>
      </w:r>
    </w:p>
    <w:p w14:paraId="7F954E97" w14:textId="56B006F5"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Complementación de las redes de servicios básicos en la parroquia urbana "Unión Milagreña"</w:t>
      </w:r>
    </w:p>
    <w:p w14:paraId="5B6BB889" w14:textId="67D9CD0C"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Complementación de las redes de servicios básicos en la parroquia urbana "Pompeya"</w:t>
      </w:r>
    </w:p>
    <w:p w14:paraId="4E9359E7" w14:textId="5CAB31DB"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Recuperación e integración del río Yanaquincha al parque lineal</w:t>
      </w:r>
    </w:p>
    <w:p w14:paraId="68E53B3B" w14:textId="122303F2" w:rsidR="00DE73ED" w:rsidRPr="00B24A80" w:rsidRDefault="00DE73ED" w:rsidP="00CA24CF">
      <w:pPr>
        <w:pStyle w:val="Prrafodelista"/>
        <w:numPr>
          <w:ilvl w:val="0"/>
          <w:numId w:val="106"/>
        </w:numPr>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 xml:space="preserve">Implementación de un parque lineal para la recuperación de la franja de protección del oleoducto en la parroquia Enokanqui </w:t>
      </w:r>
    </w:p>
    <w:p w14:paraId="0ED38CB6" w14:textId="0D004043" w:rsidR="00DE73ED" w:rsidRPr="00B24A80" w:rsidRDefault="00DE73ED" w:rsidP="00CA24CF">
      <w:pPr>
        <w:pStyle w:val="Prrafodelista"/>
        <w:numPr>
          <w:ilvl w:val="0"/>
          <w:numId w:val="106"/>
        </w:numPr>
        <w:rPr>
          <w:szCs w:val="22"/>
        </w:rPr>
      </w:pPr>
      <w:r w:rsidRPr="00B24A80">
        <w:rPr>
          <w:rFonts w:asciiTheme="majorHAnsi" w:eastAsia="Calibri" w:hAnsiTheme="majorHAnsi" w:cstheme="majorHAnsi"/>
          <w:color w:val="000000"/>
          <w:szCs w:val="22"/>
        </w:rPr>
        <w:t>Implementación de un parque lineal para la recuperación de la franja de</w:t>
      </w:r>
      <w:r w:rsidRPr="00B24A80">
        <w:rPr>
          <w:szCs w:val="22"/>
        </w:rPr>
        <w:t xml:space="preserve"> protección del oleoducto en la parroquia San Sebastián del Coca</w:t>
      </w:r>
    </w:p>
    <w:p w14:paraId="5098F4F0" w14:textId="77777777" w:rsidR="000B1CA8" w:rsidRPr="00B24A80" w:rsidRDefault="000B1CA8" w:rsidP="00E27D15">
      <w:pPr>
        <w:pBdr>
          <w:top w:val="nil"/>
          <w:left w:val="nil"/>
          <w:bottom w:val="nil"/>
          <w:right w:val="nil"/>
          <w:between w:val="nil"/>
        </w:pBdr>
        <w:tabs>
          <w:tab w:val="left" w:pos="306"/>
        </w:tabs>
        <w:spacing w:before="240" w:line="276" w:lineRule="auto"/>
        <w:rPr>
          <w:rFonts w:asciiTheme="majorHAnsi" w:eastAsia="Calibri" w:hAnsiTheme="majorHAnsi" w:cstheme="majorHAnsi"/>
          <w:b/>
          <w:color w:val="000000"/>
          <w:sz w:val="22"/>
          <w:szCs w:val="22"/>
        </w:rPr>
      </w:pPr>
    </w:p>
    <w:p w14:paraId="028EBEEE" w14:textId="54A64E92" w:rsidR="00D048EA" w:rsidRPr="00B24A80" w:rsidRDefault="00D048EA"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eastAsia="Calibri" w:hAnsiTheme="majorHAnsi" w:cstheme="majorHAnsi"/>
          <w:b/>
          <w:color w:val="000000"/>
          <w:szCs w:val="22"/>
        </w:rPr>
        <w:t>Instrumentos para intervenir la morfología urbana y la estructura predial en sectores no consolidados y aun no urbanizados del cantó</w:t>
      </w:r>
      <w:r w:rsidR="003A6014" w:rsidRPr="00B24A80">
        <w:rPr>
          <w:rFonts w:asciiTheme="majorHAnsi" w:eastAsia="Arial" w:hAnsiTheme="majorHAnsi" w:cstheme="majorHAnsi"/>
          <w:color w:val="25282C"/>
          <w:szCs w:val="22"/>
        </w:rPr>
        <w:t xml:space="preserve"> </w:t>
      </w:r>
      <w:r w:rsidR="00E30701" w:rsidRPr="00B24A80">
        <w:rPr>
          <w:rFonts w:asciiTheme="majorHAnsi" w:eastAsia="Arial" w:hAnsiTheme="majorHAnsi" w:cstheme="majorHAnsi"/>
          <w:b/>
          <w:color w:val="25282C"/>
          <w:szCs w:val="22"/>
        </w:rPr>
        <w:t>La Joya de los Sachas</w:t>
      </w:r>
      <w:r w:rsidRPr="00B24A80">
        <w:rPr>
          <w:rFonts w:asciiTheme="majorHAnsi" w:eastAsia="Calibri" w:hAnsiTheme="majorHAnsi" w:cstheme="majorHAnsi"/>
          <w:b/>
          <w:color w:val="000000"/>
          <w:szCs w:val="22"/>
        </w:rPr>
        <w:t xml:space="preserve">. - </w:t>
      </w:r>
      <w:r w:rsidRPr="00B24A80">
        <w:rPr>
          <w:rFonts w:asciiTheme="majorHAnsi" w:eastAsia="Calibri" w:hAnsiTheme="majorHAnsi" w:cstheme="majorHAnsi"/>
          <w:color w:val="000000"/>
          <w:szCs w:val="22"/>
        </w:rPr>
        <w:t xml:space="preserve">En el estudio del PUGS se determina </w:t>
      </w:r>
      <w:r w:rsidRPr="00B24A80">
        <w:rPr>
          <w:rFonts w:asciiTheme="majorHAnsi" w:hAnsiTheme="majorHAnsi" w:cstheme="majorHAnsi"/>
          <w:szCs w:val="22"/>
        </w:rPr>
        <w:t xml:space="preserve">intervenir la morfología urbana y la estructura predial a través de formas asociativas entre los propietarios para establecer una nueva configuración física y predial. Para ello las </w:t>
      </w:r>
      <w:r w:rsidR="00AF7D9D" w:rsidRPr="00B24A80">
        <w:rPr>
          <w:rFonts w:asciiTheme="majorHAnsi" w:hAnsiTheme="majorHAnsi" w:cstheme="majorHAnsi"/>
          <w:szCs w:val="22"/>
        </w:rPr>
        <w:t xml:space="preserve">se </w:t>
      </w:r>
      <w:r w:rsidR="009013C1" w:rsidRPr="00B24A80">
        <w:rPr>
          <w:rFonts w:asciiTheme="majorHAnsi" w:hAnsiTheme="majorHAnsi" w:cstheme="majorHAnsi"/>
          <w:szCs w:val="22"/>
        </w:rPr>
        <w:t>establece conforme</w:t>
      </w:r>
      <w:r w:rsidR="00AF7D9D" w:rsidRPr="00B24A80">
        <w:rPr>
          <w:rFonts w:asciiTheme="majorHAnsi" w:hAnsiTheme="majorHAnsi" w:cstheme="majorHAnsi"/>
          <w:szCs w:val="22"/>
        </w:rPr>
        <w:t xml:space="preserve"> el art 54 de la LOOTUGS los siguientes </w:t>
      </w:r>
      <w:r w:rsidR="005A5B95" w:rsidRPr="00B24A80">
        <w:rPr>
          <w:rFonts w:asciiTheme="majorHAnsi" w:hAnsiTheme="majorHAnsi" w:cstheme="majorHAnsi"/>
          <w:szCs w:val="22"/>
        </w:rPr>
        <w:t>instrumentos</w:t>
      </w:r>
      <w:r w:rsidRPr="00B24A80">
        <w:rPr>
          <w:rFonts w:asciiTheme="majorHAnsi" w:hAnsiTheme="majorHAnsi" w:cstheme="majorHAnsi"/>
          <w:szCs w:val="22"/>
        </w:rPr>
        <w:t xml:space="preserve">: </w:t>
      </w:r>
    </w:p>
    <w:p w14:paraId="393F6104" w14:textId="384E1920" w:rsidR="00D048EA" w:rsidRPr="00B24A80" w:rsidRDefault="00D048EA" w:rsidP="00CA24CF">
      <w:pPr>
        <w:pStyle w:val="Prrafodelista"/>
        <w:numPr>
          <w:ilvl w:val="0"/>
          <w:numId w:val="88"/>
        </w:numPr>
        <w:pBdr>
          <w:top w:val="nil"/>
          <w:left w:val="nil"/>
          <w:bottom w:val="nil"/>
          <w:right w:val="nil"/>
          <w:between w:val="nil"/>
        </w:pBdr>
        <w:tabs>
          <w:tab w:val="left" w:pos="306"/>
        </w:tabs>
        <w:spacing w:line="276" w:lineRule="auto"/>
        <w:rPr>
          <w:rFonts w:asciiTheme="majorHAnsi" w:hAnsiTheme="majorHAnsi" w:cstheme="majorHAnsi"/>
          <w:szCs w:val="22"/>
        </w:rPr>
      </w:pPr>
      <w:r w:rsidRPr="00B24A80">
        <w:rPr>
          <w:rFonts w:asciiTheme="majorHAnsi" w:hAnsiTheme="majorHAnsi" w:cstheme="majorHAnsi"/>
          <w:szCs w:val="22"/>
        </w:rPr>
        <w:t xml:space="preserve">Reajuste de terrenos </w:t>
      </w:r>
    </w:p>
    <w:p w14:paraId="4F79A4E8" w14:textId="55F37F84" w:rsidR="00D048EA" w:rsidRPr="00B24A80" w:rsidRDefault="00D048EA" w:rsidP="00CA24CF">
      <w:pPr>
        <w:pStyle w:val="Prrafodelista"/>
        <w:numPr>
          <w:ilvl w:val="0"/>
          <w:numId w:val="88"/>
        </w:numPr>
        <w:pBdr>
          <w:top w:val="nil"/>
          <w:left w:val="nil"/>
          <w:bottom w:val="nil"/>
          <w:right w:val="nil"/>
          <w:between w:val="nil"/>
        </w:pBdr>
        <w:tabs>
          <w:tab w:val="left" w:pos="306"/>
        </w:tabs>
        <w:spacing w:line="276" w:lineRule="auto"/>
        <w:rPr>
          <w:rFonts w:asciiTheme="majorHAnsi" w:hAnsiTheme="majorHAnsi" w:cstheme="majorHAnsi"/>
          <w:szCs w:val="22"/>
        </w:rPr>
      </w:pPr>
      <w:r w:rsidRPr="00B24A80">
        <w:rPr>
          <w:rFonts w:asciiTheme="majorHAnsi" w:hAnsiTheme="majorHAnsi" w:cstheme="majorHAnsi"/>
          <w:szCs w:val="22"/>
        </w:rPr>
        <w:t xml:space="preserve">Integración inmobiliaria: </w:t>
      </w:r>
    </w:p>
    <w:p w14:paraId="7CC062CA" w14:textId="1339E8FC" w:rsidR="00DC27E8" w:rsidRPr="00B24A80" w:rsidRDefault="00D048EA" w:rsidP="00CA24CF">
      <w:pPr>
        <w:pStyle w:val="Prrafodelista"/>
        <w:numPr>
          <w:ilvl w:val="0"/>
          <w:numId w:val="88"/>
        </w:numPr>
        <w:pBdr>
          <w:top w:val="nil"/>
          <w:left w:val="nil"/>
          <w:bottom w:val="nil"/>
          <w:right w:val="nil"/>
          <w:between w:val="nil"/>
        </w:pBdr>
        <w:tabs>
          <w:tab w:val="left" w:pos="306"/>
        </w:tabs>
        <w:spacing w:line="276" w:lineRule="auto"/>
        <w:rPr>
          <w:rFonts w:asciiTheme="majorHAnsi" w:hAnsiTheme="majorHAnsi" w:cstheme="majorHAnsi"/>
          <w:szCs w:val="22"/>
        </w:rPr>
      </w:pPr>
      <w:r w:rsidRPr="00B24A80">
        <w:rPr>
          <w:rFonts w:asciiTheme="majorHAnsi" w:hAnsiTheme="majorHAnsi" w:cstheme="majorHAnsi"/>
          <w:szCs w:val="22"/>
        </w:rPr>
        <w:t>Cooperación entre participes</w:t>
      </w:r>
      <w:bookmarkStart w:id="352" w:name="bookmark=id.11si5id" w:colFirst="0" w:colLast="0"/>
      <w:bookmarkStart w:id="353" w:name="bookmark=id.2mn7vak" w:colFirst="0" w:colLast="0"/>
      <w:bookmarkStart w:id="354" w:name="bookmark=id.3ls5o66" w:colFirst="0" w:colLast="0"/>
      <w:bookmarkStart w:id="355" w:name="_heading=h.20xfydz" w:colFirst="0" w:colLast="0"/>
      <w:bookmarkStart w:id="356" w:name="bookmark=id.1f7o1he" w:colFirst="0" w:colLast="0"/>
      <w:bookmarkStart w:id="357" w:name="bookmark=id.302dr9l" w:colFirst="0" w:colLast="0"/>
      <w:bookmarkStart w:id="358" w:name="bookmark=id.3z7bk57" w:colFirst="0" w:colLast="0"/>
      <w:bookmarkEnd w:id="352"/>
      <w:bookmarkEnd w:id="353"/>
      <w:bookmarkEnd w:id="354"/>
      <w:bookmarkEnd w:id="355"/>
      <w:bookmarkEnd w:id="356"/>
      <w:bookmarkEnd w:id="357"/>
      <w:bookmarkEnd w:id="358"/>
    </w:p>
    <w:p w14:paraId="7C9D908C" w14:textId="78862FD4" w:rsidR="00DC27E8" w:rsidRPr="00B24A80" w:rsidRDefault="00B26BF3" w:rsidP="005F3CF1">
      <w:pPr>
        <w:pStyle w:val="Ttulo3"/>
        <w:rPr>
          <w:rFonts w:cstheme="majorHAnsi"/>
          <w:sz w:val="22"/>
          <w:szCs w:val="22"/>
        </w:rPr>
      </w:pPr>
      <w:bookmarkStart w:id="359" w:name="_heading=h.2eclud0" w:colFirst="0" w:colLast="0"/>
      <w:bookmarkStart w:id="360" w:name="_Toc81085686"/>
      <w:bookmarkStart w:id="361" w:name="_Toc181374126"/>
      <w:bookmarkEnd w:id="359"/>
      <w:r w:rsidRPr="00B24A80">
        <w:rPr>
          <w:rFonts w:cstheme="majorHAnsi"/>
          <w:sz w:val="22"/>
          <w:szCs w:val="22"/>
        </w:rPr>
        <w:t xml:space="preserve">CAPÍTULO </w:t>
      </w:r>
      <w:r w:rsidR="009013C1" w:rsidRPr="00B24A80">
        <w:rPr>
          <w:rFonts w:cstheme="majorHAnsi"/>
          <w:sz w:val="22"/>
          <w:szCs w:val="22"/>
        </w:rPr>
        <w:t>II</w:t>
      </w:r>
      <w:r w:rsidR="005A5B95" w:rsidRPr="00B24A80">
        <w:rPr>
          <w:rFonts w:cstheme="majorHAnsi"/>
          <w:sz w:val="22"/>
          <w:szCs w:val="22"/>
        </w:rPr>
        <w:t>I</w:t>
      </w:r>
      <w:bookmarkStart w:id="362" w:name="_heading=h.thw4kt" w:colFirst="0" w:colLast="0"/>
      <w:bookmarkEnd w:id="362"/>
      <w:r w:rsidR="009013C1" w:rsidRPr="00B24A80">
        <w:rPr>
          <w:rFonts w:cstheme="majorHAnsi"/>
          <w:sz w:val="22"/>
          <w:szCs w:val="22"/>
        </w:rPr>
        <w:br/>
      </w:r>
      <w:r w:rsidR="007F5505" w:rsidRPr="00B24A80">
        <w:rPr>
          <w:rFonts w:cstheme="majorHAnsi"/>
          <w:sz w:val="22"/>
          <w:szCs w:val="22"/>
        </w:rPr>
        <w:t>Mercado de suelo</w:t>
      </w:r>
      <w:bookmarkEnd w:id="360"/>
      <w:bookmarkEnd w:id="361"/>
    </w:p>
    <w:p w14:paraId="1C75F926" w14:textId="45C666B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Instrumentos para regular el mercado de suelo: </w:t>
      </w:r>
      <w:r w:rsidRPr="00B24A80">
        <w:rPr>
          <w:rFonts w:asciiTheme="majorHAnsi" w:eastAsia="Calibri" w:hAnsiTheme="majorHAnsi" w:cstheme="majorHAnsi"/>
          <w:color w:val="000000"/>
          <w:szCs w:val="22"/>
        </w:rPr>
        <w:t xml:space="preserve">Estos instrumentos establecen mecanismos para evitar las prácticas especulativas sobre los bienes inmuebles y facilitar la adquisición de suelo público paro el desarrollo de actuaciones </w:t>
      </w:r>
      <w:r w:rsidR="00D048EA" w:rsidRPr="00B24A80">
        <w:rPr>
          <w:rFonts w:asciiTheme="majorHAnsi" w:eastAsia="Calibri" w:hAnsiTheme="majorHAnsi" w:cstheme="majorHAnsi"/>
          <w:color w:val="000000"/>
          <w:szCs w:val="22"/>
        </w:rPr>
        <w:t>urbanísticas,</w:t>
      </w:r>
      <w:r w:rsidR="00AF7D9D" w:rsidRPr="00B24A80">
        <w:rPr>
          <w:rFonts w:asciiTheme="majorHAnsi" w:eastAsia="Calibri" w:hAnsiTheme="majorHAnsi" w:cstheme="majorHAnsi"/>
          <w:color w:val="000000"/>
          <w:szCs w:val="22"/>
        </w:rPr>
        <w:t xml:space="preserve"> conforme el Art. 60 de LOOTUGS, </w:t>
      </w:r>
      <w:r w:rsidR="00D048EA" w:rsidRPr="00B24A80">
        <w:rPr>
          <w:rFonts w:asciiTheme="majorHAnsi" w:eastAsia="Calibri" w:hAnsiTheme="majorHAnsi" w:cstheme="majorHAnsi"/>
          <w:color w:val="000000"/>
          <w:szCs w:val="22"/>
        </w:rPr>
        <w:t>e</w:t>
      </w:r>
      <w:r w:rsidRPr="00B24A80">
        <w:rPr>
          <w:rFonts w:asciiTheme="majorHAnsi" w:eastAsia="Calibri" w:hAnsiTheme="majorHAnsi" w:cstheme="majorHAnsi"/>
          <w:color w:val="000000"/>
          <w:szCs w:val="22"/>
        </w:rPr>
        <w:t>stos instrumentos son</w:t>
      </w:r>
      <w:r w:rsidR="00D048EA" w:rsidRPr="00B24A80">
        <w:rPr>
          <w:rFonts w:asciiTheme="majorHAnsi" w:eastAsia="Calibri" w:hAnsiTheme="majorHAnsi" w:cstheme="majorHAnsi"/>
          <w:color w:val="000000"/>
          <w:szCs w:val="22"/>
        </w:rPr>
        <w:t>:</w:t>
      </w:r>
      <w:r w:rsidRPr="00B24A80">
        <w:rPr>
          <w:rFonts w:asciiTheme="majorHAnsi" w:eastAsia="Calibri" w:hAnsiTheme="majorHAnsi" w:cstheme="majorHAnsi"/>
          <w:color w:val="000000"/>
          <w:szCs w:val="22"/>
        </w:rPr>
        <w:t xml:space="preserve"> </w:t>
      </w:r>
    </w:p>
    <w:p w14:paraId="1DBAC3E7" w14:textId="752A3DC6" w:rsidR="00AF7D9D" w:rsidRPr="00B24A80" w:rsidRDefault="007F5505" w:rsidP="00CA24CF">
      <w:pPr>
        <w:pStyle w:val="Prrafodelista"/>
        <w:numPr>
          <w:ilvl w:val="0"/>
          <w:numId w:val="89"/>
        </w:numPr>
        <w:pBdr>
          <w:top w:val="nil"/>
          <w:left w:val="nil"/>
          <w:bottom w:val="nil"/>
          <w:right w:val="nil"/>
          <w:between w:val="nil"/>
        </w:pBdr>
        <w:spacing w:before="240" w:after="360" w:line="276" w:lineRule="auto"/>
        <w:rPr>
          <w:rFonts w:asciiTheme="majorHAnsi" w:eastAsia="Calibri" w:hAnsiTheme="majorHAnsi" w:cstheme="majorHAnsi"/>
          <w:color w:val="25282C"/>
          <w:szCs w:val="22"/>
        </w:rPr>
      </w:pPr>
      <w:r w:rsidRPr="00B24A80">
        <w:rPr>
          <w:rFonts w:asciiTheme="majorHAnsi" w:eastAsia="Calibri" w:hAnsiTheme="majorHAnsi" w:cstheme="majorHAnsi"/>
          <w:color w:val="000000"/>
          <w:szCs w:val="22"/>
        </w:rPr>
        <w:lastRenderedPageBreak/>
        <w:t>Derecho de adquisición preferente</w:t>
      </w:r>
      <w:r w:rsidR="00AF7D9D" w:rsidRPr="00B24A80">
        <w:rPr>
          <w:rFonts w:asciiTheme="majorHAnsi" w:eastAsia="Calibri" w:hAnsiTheme="majorHAnsi" w:cstheme="majorHAnsi"/>
          <w:color w:val="000000"/>
          <w:szCs w:val="22"/>
        </w:rPr>
        <w:t>;</w:t>
      </w:r>
    </w:p>
    <w:p w14:paraId="4F6F83A8" w14:textId="6BE2C108" w:rsidR="00AF7D9D" w:rsidRPr="00B24A80" w:rsidRDefault="007F5505" w:rsidP="00CA24CF">
      <w:pPr>
        <w:pStyle w:val="Prrafodelista"/>
        <w:numPr>
          <w:ilvl w:val="0"/>
          <w:numId w:val="89"/>
        </w:numPr>
        <w:pBdr>
          <w:top w:val="nil"/>
          <w:left w:val="nil"/>
          <w:bottom w:val="nil"/>
          <w:right w:val="nil"/>
          <w:between w:val="nil"/>
        </w:pBdr>
        <w:spacing w:before="240" w:after="360" w:line="276" w:lineRule="auto"/>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Declaración de desar</w:t>
      </w:r>
      <w:r w:rsidR="00AF7D9D" w:rsidRPr="00B24A80">
        <w:rPr>
          <w:rFonts w:asciiTheme="majorHAnsi" w:eastAsia="Calibri" w:hAnsiTheme="majorHAnsi" w:cstheme="majorHAnsi"/>
          <w:color w:val="000000"/>
          <w:szCs w:val="22"/>
        </w:rPr>
        <w:t>rollo y construcción prioritaria</w:t>
      </w:r>
    </w:p>
    <w:p w14:paraId="63AD09D2" w14:textId="028FED71" w:rsidR="00AF7D9D" w:rsidRPr="00B24A80" w:rsidRDefault="007F5505" w:rsidP="00CA24CF">
      <w:pPr>
        <w:pStyle w:val="Prrafodelista"/>
        <w:numPr>
          <w:ilvl w:val="0"/>
          <w:numId w:val="89"/>
        </w:numPr>
        <w:pBdr>
          <w:top w:val="nil"/>
          <w:left w:val="nil"/>
          <w:bottom w:val="nil"/>
          <w:right w:val="nil"/>
          <w:between w:val="nil"/>
        </w:pBdr>
        <w:spacing w:before="240" w:after="320" w:line="276" w:lineRule="auto"/>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Declaración de zonas especiales de interés social</w:t>
      </w:r>
    </w:p>
    <w:p w14:paraId="4AC6DCE8" w14:textId="253D243E" w:rsidR="00AF7D9D" w:rsidRPr="00B24A80" w:rsidRDefault="007F5505" w:rsidP="00CA24CF">
      <w:pPr>
        <w:pStyle w:val="Prrafodelista"/>
        <w:numPr>
          <w:ilvl w:val="0"/>
          <w:numId w:val="89"/>
        </w:numPr>
        <w:pBdr>
          <w:top w:val="nil"/>
          <w:left w:val="nil"/>
          <w:bottom w:val="nil"/>
          <w:right w:val="nil"/>
          <w:between w:val="nil"/>
        </w:pBdr>
        <w:spacing w:before="240" w:after="320" w:line="276" w:lineRule="auto"/>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Anuncio del proyecto</w:t>
      </w:r>
    </w:p>
    <w:p w14:paraId="35A42DE0" w14:textId="2E29D630" w:rsidR="00AF7D9D" w:rsidRPr="00B24A80" w:rsidRDefault="00AF7D9D" w:rsidP="00CA24CF">
      <w:pPr>
        <w:pStyle w:val="Prrafodelista"/>
        <w:numPr>
          <w:ilvl w:val="0"/>
          <w:numId w:val="89"/>
        </w:numPr>
        <w:pBdr>
          <w:top w:val="nil"/>
          <w:left w:val="nil"/>
          <w:bottom w:val="nil"/>
          <w:right w:val="nil"/>
          <w:between w:val="nil"/>
        </w:pBdr>
        <w:spacing w:before="240" w:after="320" w:line="276" w:lineRule="auto"/>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Las afectaciones</w:t>
      </w:r>
    </w:p>
    <w:p w14:paraId="4D1F721E" w14:textId="5F06F065" w:rsidR="00AF7D9D" w:rsidRPr="00B24A80" w:rsidRDefault="007F5505" w:rsidP="00CA24CF">
      <w:pPr>
        <w:pStyle w:val="Prrafodelista"/>
        <w:numPr>
          <w:ilvl w:val="0"/>
          <w:numId w:val="89"/>
        </w:numPr>
        <w:pBdr>
          <w:top w:val="nil"/>
          <w:left w:val="nil"/>
          <w:bottom w:val="nil"/>
          <w:right w:val="nil"/>
          <w:between w:val="nil"/>
        </w:pBdr>
        <w:spacing w:before="240" w:after="320" w:line="276" w:lineRule="auto"/>
        <w:rPr>
          <w:rFonts w:asciiTheme="majorHAnsi" w:eastAsia="Calibri" w:hAnsiTheme="majorHAnsi" w:cstheme="majorHAnsi"/>
          <w:color w:val="25282C"/>
          <w:szCs w:val="22"/>
        </w:rPr>
      </w:pPr>
      <w:r w:rsidRPr="00B24A80">
        <w:rPr>
          <w:rFonts w:asciiTheme="majorHAnsi" w:eastAsia="Calibri" w:hAnsiTheme="majorHAnsi" w:cstheme="majorHAnsi"/>
          <w:color w:val="000000"/>
          <w:szCs w:val="22"/>
        </w:rPr>
        <w:t>Derecho de superficie</w:t>
      </w:r>
    </w:p>
    <w:p w14:paraId="14DC4D88" w14:textId="47CE614B" w:rsidR="00DC27E8" w:rsidRPr="00B24A80" w:rsidRDefault="007F5505" w:rsidP="00CA24CF">
      <w:pPr>
        <w:pStyle w:val="Prrafodelista"/>
        <w:numPr>
          <w:ilvl w:val="0"/>
          <w:numId w:val="89"/>
        </w:numPr>
        <w:pBdr>
          <w:top w:val="nil"/>
          <w:left w:val="nil"/>
          <w:bottom w:val="nil"/>
          <w:right w:val="nil"/>
          <w:between w:val="nil"/>
        </w:pBdr>
        <w:shd w:val="clear" w:color="auto" w:fill="FFFFFF"/>
        <w:spacing w:before="240" w:after="320" w:line="276" w:lineRule="auto"/>
        <w:rPr>
          <w:rFonts w:asciiTheme="majorHAnsi" w:eastAsia="Calibri" w:hAnsiTheme="majorHAnsi" w:cstheme="majorHAnsi"/>
          <w:color w:val="000000"/>
          <w:szCs w:val="22"/>
        </w:rPr>
      </w:pPr>
      <w:r w:rsidRPr="00B24A80">
        <w:rPr>
          <w:rFonts w:asciiTheme="majorHAnsi" w:eastAsia="Calibri" w:hAnsiTheme="majorHAnsi" w:cstheme="majorHAnsi"/>
          <w:color w:val="000000"/>
          <w:szCs w:val="22"/>
        </w:rPr>
        <w:t>Banco de suelo</w:t>
      </w:r>
    </w:p>
    <w:p w14:paraId="6DD208AD" w14:textId="519079D7" w:rsidR="00DC27E8" w:rsidRPr="00B24A80" w:rsidRDefault="00B26BF3" w:rsidP="005F3CF1">
      <w:pPr>
        <w:pStyle w:val="Ttulo3"/>
        <w:rPr>
          <w:rFonts w:cstheme="majorHAnsi"/>
          <w:sz w:val="22"/>
          <w:szCs w:val="22"/>
        </w:rPr>
      </w:pPr>
      <w:bookmarkStart w:id="363" w:name="bookmark=id.3dhjn8m" w:colFirst="0" w:colLast="0"/>
      <w:bookmarkStart w:id="364" w:name="bookmark=id.4cmhg48" w:colFirst="0" w:colLast="0"/>
      <w:bookmarkStart w:id="365" w:name="bookmark=id.1smtxgf" w:colFirst="0" w:colLast="0"/>
      <w:bookmarkStart w:id="366" w:name="_heading=h.2rrrqc1" w:colFirst="0" w:colLast="0"/>
      <w:bookmarkStart w:id="367" w:name="_Toc81085687"/>
      <w:bookmarkStart w:id="368" w:name="_Toc181374127"/>
      <w:bookmarkEnd w:id="363"/>
      <w:bookmarkEnd w:id="364"/>
      <w:bookmarkEnd w:id="365"/>
      <w:bookmarkEnd w:id="366"/>
      <w:r w:rsidRPr="00B24A80">
        <w:rPr>
          <w:rFonts w:cstheme="majorHAnsi"/>
          <w:sz w:val="22"/>
          <w:szCs w:val="22"/>
        </w:rPr>
        <w:t xml:space="preserve">CAPÍTULO </w:t>
      </w:r>
      <w:r w:rsidR="007F5505" w:rsidRPr="00B24A80">
        <w:rPr>
          <w:rFonts w:cstheme="majorHAnsi"/>
          <w:sz w:val="22"/>
          <w:szCs w:val="22"/>
        </w:rPr>
        <w:t>IV</w:t>
      </w:r>
      <w:bookmarkStart w:id="369" w:name="_heading=h.16x20ju" w:colFirst="0" w:colLast="0"/>
      <w:bookmarkEnd w:id="369"/>
      <w:r w:rsidR="009013C1" w:rsidRPr="00B24A80">
        <w:rPr>
          <w:rFonts w:cstheme="majorHAnsi"/>
          <w:sz w:val="22"/>
          <w:szCs w:val="22"/>
        </w:rPr>
        <w:br/>
      </w:r>
      <w:r w:rsidR="007F5505" w:rsidRPr="00B24A80">
        <w:rPr>
          <w:rFonts w:cstheme="majorHAnsi"/>
          <w:sz w:val="22"/>
          <w:szCs w:val="22"/>
        </w:rPr>
        <w:t>Financiamiento del desarrollo urbano</w:t>
      </w:r>
      <w:bookmarkEnd w:id="367"/>
      <w:bookmarkEnd w:id="368"/>
    </w:p>
    <w:p w14:paraId="1B02FBF9" w14:textId="1B047A9F"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Instrumentos de financiamiento del desarrollo urbano: </w:t>
      </w:r>
      <w:r w:rsidRPr="00B24A80">
        <w:rPr>
          <w:rFonts w:asciiTheme="majorHAnsi" w:eastAsia="Calibri" w:hAnsiTheme="majorHAnsi" w:cstheme="majorHAnsi"/>
          <w:color w:val="000000"/>
          <w:szCs w:val="22"/>
        </w:rPr>
        <w:t>Son mecanismos que permiten la participación de la sociedad en los beneficios económicos producidos por la planificación urbanística y el desarrollo urbano en general por medio de l</w:t>
      </w:r>
      <w:r w:rsidR="00DF2334" w:rsidRPr="00B24A80">
        <w:rPr>
          <w:rFonts w:asciiTheme="majorHAnsi" w:eastAsia="Calibri" w:hAnsiTheme="majorHAnsi" w:cstheme="majorHAnsi"/>
          <w:color w:val="000000"/>
          <w:szCs w:val="22"/>
        </w:rPr>
        <w:t>a concesión onerosa de derechos</w:t>
      </w:r>
      <w:r w:rsidR="00DF2334" w:rsidRPr="00B24A80">
        <w:rPr>
          <w:rFonts w:asciiTheme="majorHAnsi" w:eastAsia="Calibri" w:hAnsiTheme="majorHAnsi" w:cstheme="majorHAnsi"/>
          <w:color w:val="25282C"/>
          <w:szCs w:val="22"/>
        </w:rPr>
        <w:t>.</w:t>
      </w:r>
    </w:p>
    <w:p w14:paraId="15E0F411" w14:textId="77777777" w:rsidR="00A61A77" w:rsidRPr="00B24A80" w:rsidRDefault="00A61A77" w:rsidP="00A61A77">
      <w:pPr>
        <w:pStyle w:val="Prrafodelista"/>
        <w:widowControl/>
        <w:tabs>
          <w:tab w:val="left" w:pos="851"/>
        </w:tabs>
        <w:spacing w:after="240" w:line="276" w:lineRule="auto"/>
        <w:ind w:left="0" w:right="-100"/>
        <w:rPr>
          <w:rFonts w:asciiTheme="majorHAnsi" w:eastAsia="Calibri" w:hAnsiTheme="majorHAnsi" w:cstheme="majorHAnsi"/>
          <w:color w:val="25282C"/>
          <w:szCs w:val="22"/>
        </w:rPr>
      </w:pPr>
    </w:p>
    <w:p w14:paraId="5C892F09" w14:textId="3039A7F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 xml:space="preserve">Del pago: </w:t>
      </w:r>
      <w:r w:rsidRPr="00B24A80">
        <w:rPr>
          <w:rFonts w:asciiTheme="majorHAnsi" w:eastAsia="Calibri" w:hAnsiTheme="majorHAnsi" w:cstheme="majorHAnsi"/>
          <w:color w:val="000000"/>
          <w:szCs w:val="22"/>
        </w:rPr>
        <w:t>Los pagos por concepto de concesión onerosa de derechos se realizarán en dinero o en especie como:</w:t>
      </w:r>
    </w:p>
    <w:p w14:paraId="15DE5339" w14:textId="77777777" w:rsidR="00DC27E8" w:rsidRPr="00B24A80" w:rsidRDefault="007F5505" w:rsidP="00B24A80">
      <w:pPr>
        <w:pStyle w:val="Prrafodelista"/>
        <w:numPr>
          <w:ilvl w:val="0"/>
          <w:numId w:val="120"/>
        </w:numPr>
        <w:rPr>
          <w:color w:val="25282C"/>
          <w:szCs w:val="22"/>
        </w:rPr>
      </w:pPr>
      <w:bookmarkStart w:id="370" w:name="bookmark=id.1kc7wiv" w:colFirst="0" w:colLast="0"/>
      <w:bookmarkEnd w:id="370"/>
      <w:r w:rsidRPr="00B24A80">
        <w:rPr>
          <w:szCs w:val="22"/>
        </w:rPr>
        <w:t>Suelo urbanizado</w:t>
      </w:r>
    </w:p>
    <w:p w14:paraId="0D2B7B37" w14:textId="77777777" w:rsidR="00DC27E8" w:rsidRPr="00B24A80" w:rsidRDefault="007F5505" w:rsidP="00B24A80">
      <w:pPr>
        <w:pStyle w:val="Prrafodelista"/>
        <w:numPr>
          <w:ilvl w:val="0"/>
          <w:numId w:val="120"/>
        </w:numPr>
        <w:rPr>
          <w:color w:val="25282C"/>
          <w:szCs w:val="22"/>
        </w:rPr>
      </w:pPr>
      <w:bookmarkStart w:id="371" w:name="bookmark=id.44bvf6o" w:colFirst="0" w:colLast="0"/>
      <w:bookmarkEnd w:id="371"/>
      <w:r w:rsidRPr="00B24A80">
        <w:rPr>
          <w:szCs w:val="22"/>
        </w:rPr>
        <w:t>Vivienda de interés social</w:t>
      </w:r>
    </w:p>
    <w:p w14:paraId="5822A7B9" w14:textId="77777777" w:rsidR="00DC27E8" w:rsidRPr="00B24A80" w:rsidRDefault="007F5505" w:rsidP="00B24A80">
      <w:pPr>
        <w:pStyle w:val="Prrafodelista"/>
        <w:numPr>
          <w:ilvl w:val="0"/>
          <w:numId w:val="120"/>
        </w:numPr>
        <w:rPr>
          <w:color w:val="25282C"/>
          <w:szCs w:val="22"/>
        </w:rPr>
      </w:pPr>
      <w:bookmarkStart w:id="372" w:name="bookmark=id.2jh5peh" w:colFirst="0" w:colLast="0"/>
      <w:bookmarkEnd w:id="372"/>
      <w:r w:rsidRPr="00B24A80">
        <w:rPr>
          <w:szCs w:val="22"/>
        </w:rPr>
        <w:t>Equipamientos comunitarios o infraestructura.</w:t>
      </w:r>
    </w:p>
    <w:p w14:paraId="44894DA2" w14:textId="77777777" w:rsidR="00DC27E8" w:rsidRPr="00B24A80" w:rsidRDefault="007F5505">
      <w:pPr>
        <w:pBdr>
          <w:top w:val="nil"/>
          <w:left w:val="nil"/>
          <w:bottom w:val="nil"/>
          <w:right w:val="nil"/>
          <w:between w:val="nil"/>
        </w:pBdr>
        <w:tabs>
          <w:tab w:val="left" w:pos="315"/>
        </w:tabs>
        <w:spacing w:before="240" w:after="340" w:line="276" w:lineRule="auto"/>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t>Los pagos en especie no suplen el cumplimiento de las cesiones ni de las obligaciones urbanísticas, ni pueden confundirse con estas.</w:t>
      </w:r>
    </w:p>
    <w:p w14:paraId="62740921" w14:textId="77777777" w:rsidR="00DC27E8" w:rsidRPr="00B24A80" w:rsidRDefault="007F5505">
      <w:pPr>
        <w:pBdr>
          <w:top w:val="nil"/>
          <w:left w:val="nil"/>
          <w:bottom w:val="nil"/>
          <w:right w:val="nil"/>
          <w:between w:val="nil"/>
        </w:pBdr>
        <w:spacing w:before="240" w:after="340" w:line="276" w:lineRule="auto"/>
        <w:rPr>
          <w:rFonts w:asciiTheme="majorHAnsi" w:eastAsia="Calibri" w:hAnsiTheme="majorHAnsi" w:cstheme="majorHAnsi"/>
          <w:color w:val="25282C"/>
          <w:sz w:val="22"/>
          <w:szCs w:val="22"/>
        </w:rPr>
      </w:pPr>
      <w:r w:rsidRPr="00B24A80">
        <w:rPr>
          <w:rFonts w:asciiTheme="majorHAnsi" w:eastAsia="Calibri" w:hAnsiTheme="majorHAnsi" w:cstheme="majorHAnsi"/>
          <w:color w:val="000000"/>
          <w:sz w:val="22"/>
          <w:szCs w:val="22"/>
        </w:rPr>
        <w:t>Los recursos generados a través de la concesión onerosa de derechos solo se utilizarán para la ejecución de infraestructura, construcción de vivienda adecuada y digna de interés social, equipamiento, sistemas públicos de soporte necesarios, en particular, servicio de agua segura, saneamiento adecuado y gestión integral de desechos, u otras actuaciones para la habilitación del suelo y la garantía del derecho a la ciudad.</w:t>
      </w:r>
      <w:bookmarkStart w:id="373" w:name="bookmark=id.3im3ia3" w:colFirst="0" w:colLast="0"/>
      <w:bookmarkStart w:id="374" w:name="bookmark=id.1xrdshw" w:colFirst="0" w:colLast="0"/>
      <w:bookmarkStart w:id="375" w:name="bookmark=id.ymfzma" w:colFirst="0" w:colLast="0"/>
      <w:bookmarkEnd w:id="373"/>
      <w:bookmarkEnd w:id="374"/>
      <w:bookmarkEnd w:id="375"/>
    </w:p>
    <w:p w14:paraId="4739FC03" w14:textId="5D3D91F3" w:rsidR="00DC27E8" w:rsidRPr="00B24A80" w:rsidRDefault="00B26BF3" w:rsidP="005F3CF1">
      <w:pPr>
        <w:pStyle w:val="Ttulo3"/>
        <w:rPr>
          <w:rFonts w:cstheme="majorHAnsi"/>
          <w:sz w:val="22"/>
          <w:szCs w:val="22"/>
        </w:rPr>
      </w:pPr>
      <w:bookmarkStart w:id="376" w:name="_heading=h.4hr1b5p" w:colFirst="0" w:colLast="0"/>
      <w:bookmarkStart w:id="377" w:name="_Toc81085688"/>
      <w:bookmarkStart w:id="378" w:name="_Toc181374128"/>
      <w:bookmarkEnd w:id="376"/>
      <w:r w:rsidRPr="00B24A80">
        <w:rPr>
          <w:rFonts w:cstheme="majorHAnsi"/>
          <w:sz w:val="22"/>
          <w:szCs w:val="22"/>
        </w:rPr>
        <w:t xml:space="preserve">CAPÍTULO </w:t>
      </w:r>
      <w:r w:rsidR="007F5505" w:rsidRPr="00B24A80">
        <w:rPr>
          <w:rFonts w:cstheme="majorHAnsi"/>
          <w:sz w:val="22"/>
          <w:szCs w:val="22"/>
        </w:rPr>
        <w:t>V</w:t>
      </w:r>
      <w:bookmarkStart w:id="379" w:name="_heading=h.2wwbldi" w:colFirst="0" w:colLast="0"/>
      <w:bookmarkEnd w:id="379"/>
      <w:r w:rsidR="009013C1" w:rsidRPr="00B24A80">
        <w:rPr>
          <w:rFonts w:cstheme="majorHAnsi"/>
          <w:sz w:val="22"/>
          <w:szCs w:val="22"/>
        </w:rPr>
        <w:br/>
      </w:r>
      <w:r w:rsidR="007F5505" w:rsidRPr="00B24A80">
        <w:rPr>
          <w:rFonts w:cstheme="majorHAnsi"/>
          <w:sz w:val="22"/>
          <w:szCs w:val="22"/>
        </w:rPr>
        <w:t>Gestión del suelo de asentamientos de hecho</w:t>
      </w:r>
      <w:bookmarkEnd w:id="377"/>
      <w:bookmarkEnd w:id="378"/>
    </w:p>
    <w:p w14:paraId="1685C740" w14:textId="3A11B1B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 xml:space="preserve">Instrumentos para la gestión del suelo de asentamientos de hecho: </w:t>
      </w:r>
      <w:r w:rsidRPr="00B24A80">
        <w:rPr>
          <w:rFonts w:asciiTheme="majorHAnsi" w:eastAsia="Calibri" w:hAnsiTheme="majorHAnsi" w:cstheme="majorHAnsi"/>
          <w:color w:val="000000"/>
          <w:szCs w:val="22"/>
        </w:rPr>
        <w:t>Son mecanismos que permiten la ordenación del territorio y la regularización de asentamientos humanos caracterizados por la forma de ocupación del territorio, que no ha considerado el planeamiento urbanístico, que se encuentra en zonas de riesgo, presenta inseguridad jurídica respecto a lo tenencia del suelo, precariedad en la vivienda y déficit de infraestructuras y servicios básicos.</w:t>
      </w:r>
    </w:p>
    <w:p w14:paraId="53DB075A" w14:textId="77777777" w:rsidR="00A61A77" w:rsidRPr="00B24A80" w:rsidRDefault="00A61A77" w:rsidP="00A61A77">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53992A8" w14:textId="2373762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25282C"/>
          <w:szCs w:val="22"/>
        </w:rPr>
      </w:pPr>
      <w:r w:rsidRPr="00B24A80">
        <w:rPr>
          <w:rFonts w:asciiTheme="majorHAnsi" w:eastAsia="Calibri" w:hAnsiTheme="majorHAnsi" w:cstheme="majorHAnsi"/>
          <w:b/>
          <w:color w:val="000000"/>
          <w:szCs w:val="22"/>
        </w:rPr>
        <w:t>Declaración de regularización prioritaria</w:t>
      </w:r>
      <w:r w:rsidRPr="00B24A80">
        <w:rPr>
          <w:rFonts w:asciiTheme="majorHAnsi" w:eastAsia="Calibri" w:hAnsiTheme="majorHAnsi" w:cstheme="majorHAnsi"/>
          <w:color w:val="000000"/>
          <w:szCs w:val="22"/>
        </w:rPr>
        <w:t>: Consiste en la determinación de zonas que deben ser objeto de un proceso de regularización físico y legal de forma prioritaria, en cumplimiento de la función social y ambiental de la propiedad.</w:t>
      </w:r>
    </w:p>
    <w:p w14:paraId="2CBBF78C" w14:textId="17B63E45" w:rsidR="00DC27E8" w:rsidRPr="00B24A80" w:rsidRDefault="007F5505">
      <w:pPr>
        <w:pBdr>
          <w:top w:val="nil"/>
          <w:left w:val="nil"/>
          <w:bottom w:val="nil"/>
          <w:right w:val="nil"/>
          <w:between w:val="nil"/>
        </w:pBdr>
        <w:spacing w:before="240" w:after="3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La declaratoria de regularización prioritaria implica el inicio del proceso de reconocimiento de </w:t>
      </w:r>
      <w:r w:rsidRPr="00B24A80">
        <w:rPr>
          <w:rFonts w:asciiTheme="majorHAnsi" w:eastAsia="Calibri" w:hAnsiTheme="majorHAnsi" w:cstheme="majorHAnsi"/>
          <w:color w:val="000000"/>
          <w:sz w:val="22"/>
          <w:szCs w:val="22"/>
        </w:rPr>
        <w:lastRenderedPageBreak/>
        <w:t>derechos o de la tenencia del suelo o favor de los beneficiarios identificados dentro de la zona, a través del derecho de superficie o de los mecanismos jurídicos contemplados en el Código Orgánico de Organización Territorial, Autonomía y Descentralización para la regularización de asentamientos humanos de hecho.</w:t>
      </w:r>
    </w:p>
    <w:p w14:paraId="457F8993" w14:textId="691F499C" w:rsidR="003A6014" w:rsidRPr="00B24A80" w:rsidRDefault="003A6014"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color w:val="25282C"/>
          <w:szCs w:val="22"/>
        </w:rPr>
        <w:t xml:space="preserve">Se </w:t>
      </w:r>
      <w:r w:rsidR="005F16E2">
        <w:rPr>
          <w:rFonts w:asciiTheme="majorHAnsi" w:eastAsia="Calibri" w:hAnsiTheme="majorHAnsi" w:cstheme="majorHAnsi"/>
          <w:color w:val="25282C"/>
          <w:szCs w:val="22"/>
        </w:rPr>
        <w:t>regulará</w:t>
      </w:r>
      <w:r w:rsidRPr="00B24A80">
        <w:rPr>
          <w:rFonts w:asciiTheme="majorHAnsi" w:eastAsia="Calibri" w:hAnsiTheme="majorHAnsi" w:cstheme="majorHAnsi"/>
          <w:color w:val="25282C"/>
          <w:szCs w:val="22"/>
        </w:rPr>
        <w:t xml:space="preserve"> de forma inmediat</w:t>
      </w:r>
      <w:r w:rsidR="0042580A">
        <w:rPr>
          <w:rFonts w:asciiTheme="majorHAnsi" w:eastAsia="Calibri" w:hAnsiTheme="majorHAnsi" w:cstheme="majorHAnsi"/>
          <w:color w:val="25282C"/>
          <w:szCs w:val="22"/>
        </w:rPr>
        <w:t>a</w:t>
      </w:r>
      <w:r w:rsidRPr="00B24A80">
        <w:rPr>
          <w:rFonts w:asciiTheme="majorHAnsi" w:eastAsia="Calibri" w:hAnsiTheme="majorHAnsi" w:cstheme="majorHAnsi"/>
          <w:color w:val="25282C"/>
          <w:szCs w:val="22"/>
        </w:rPr>
        <w:t xml:space="preserve"> la</w:t>
      </w:r>
      <w:r w:rsidR="005F3DAE">
        <w:rPr>
          <w:rFonts w:asciiTheme="majorHAnsi" w:eastAsia="Calibri" w:hAnsiTheme="majorHAnsi" w:cstheme="majorHAnsi"/>
          <w:color w:val="25282C"/>
          <w:szCs w:val="22"/>
        </w:rPr>
        <w:t>s</w:t>
      </w:r>
      <w:r w:rsidRPr="00B24A80">
        <w:rPr>
          <w:rFonts w:asciiTheme="majorHAnsi" w:eastAsia="Calibri" w:hAnsiTheme="majorHAnsi" w:cstheme="majorHAnsi"/>
          <w:color w:val="25282C"/>
          <w:szCs w:val="22"/>
        </w:rPr>
        <w:t xml:space="preserve"> zonas de riesgo identificadas como lo es el caso del sector de </w:t>
      </w:r>
      <w:r w:rsidR="005F489F" w:rsidRPr="00B24A80">
        <w:rPr>
          <w:rFonts w:asciiTheme="majorHAnsi" w:eastAsia="Calibri" w:hAnsiTheme="majorHAnsi" w:cstheme="majorHAnsi"/>
          <w:color w:val="25282C"/>
          <w:szCs w:val="22"/>
        </w:rPr>
        <w:t>T</w:t>
      </w:r>
      <w:r w:rsidR="0042580A">
        <w:rPr>
          <w:rFonts w:asciiTheme="majorHAnsi" w:eastAsia="Calibri" w:hAnsiTheme="majorHAnsi" w:cstheme="majorHAnsi"/>
          <w:color w:val="25282C"/>
          <w:szCs w:val="22"/>
        </w:rPr>
        <w:t>o</w:t>
      </w:r>
      <w:r w:rsidR="005F489F" w:rsidRPr="00B24A80">
        <w:rPr>
          <w:rFonts w:asciiTheme="majorHAnsi" w:eastAsia="Calibri" w:hAnsiTheme="majorHAnsi" w:cstheme="majorHAnsi"/>
          <w:color w:val="25282C"/>
          <w:szCs w:val="22"/>
        </w:rPr>
        <w:t xml:space="preserve">yuca </w:t>
      </w:r>
      <w:r w:rsidRPr="00B24A80">
        <w:rPr>
          <w:rFonts w:asciiTheme="majorHAnsi" w:eastAsia="Calibri" w:hAnsiTheme="majorHAnsi" w:cstheme="majorHAnsi"/>
          <w:color w:val="25282C"/>
          <w:szCs w:val="22"/>
        </w:rPr>
        <w:t xml:space="preserve">colindante con el rio Coca, así mismo la zona sur de la cabecera de </w:t>
      </w:r>
      <w:r w:rsidR="005F489F" w:rsidRPr="00B24A80">
        <w:rPr>
          <w:rFonts w:asciiTheme="majorHAnsi" w:eastAsia="Calibri" w:hAnsiTheme="majorHAnsi" w:cstheme="majorHAnsi"/>
          <w:color w:val="25282C"/>
          <w:szCs w:val="22"/>
        </w:rPr>
        <w:t xml:space="preserve">San Sebastián del Coca </w:t>
      </w:r>
      <w:r w:rsidRPr="00B24A80">
        <w:rPr>
          <w:rFonts w:asciiTheme="majorHAnsi" w:eastAsia="Calibri" w:hAnsiTheme="majorHAnsi" w:cstheme="majorHAnsi"/>
          <w:color w:val="25282C"/>
          <w:szCs w:val="22"/>
        </w:rPr>
        <w:t xml:space="preserve">colindante con el rio </w:t>
      </w:r>
      <w:r w:rsidR="005F489F" w:rsidRPr="00B24A80">
        <w:rPr>
          <w:rFonts w:asciiTheme="majorHAnsi" w:eastAsia="Calibri" w:hAnsiTheme="majorHAnsi" w:cstheme="majorHAnsi"/>
          <w:color w:val="25282C"/>
          <w:szCs w:val="22"/>
        </w:rPr>
        <w:t>Coca</w:t>
      </w:r>
      <w:r w:rsidRPr="00B24A80">
        <w:rPr>
          <w:rFonts w:asciiTheme="majorHAnsi" w:eastAsia="Calibri" w:hAnsiTheme="majorHAnsi" w:cstheme="majorHAnsi"/>
          <w:color w:val="25282C"/>
          <w:szCs w:val="22"/>
        </w:rPr>
        <w:t>.</w:t>
      </w:r>
    </w:p>
    <w:p w14:paraId="3AF2AE37" w14:textId="0A9F7831" w:rsidR="00DC27E8" w:rsidRPr="00B24A80" w:rsidRDefault="007F5505" w:rsidP="009013C1">
      <w:pPr>
        <w:pStyle w:val="Ttulo2"/>
        <w:rPr>
          <w:rFonts w:cstheme="majorHAnsi"/>
          <w:sz w:val="22"/>
          <w:szCs w:val="22"/>
        </w:rPr>
      </w:pPr>
      <w:bookmarkStart w:id="380" w:name="_heading=h.1c1lvlb" w:colFirst="0" w:colLast="0"/>
      <w:bookmarkStart w:id="381" w:name="_heading=h.2b6jogx" w:colFirst="0" w:colLast="0"/>
      <w:bookmarkStart w:id="382" w:name="_Toc65711710"/>
      <w:bookmarkStart w:id="383" w:name="_Toc81085690"/>
      <w:bookmarkStart w:id="384" w:name="_Toc181374129"/>
      <w:bookmarkEnd w:id="380"/>
      <w:bookmarkEnd w:id="381"/>
      <w:r w:rsidRPr="00B24A80">
        <w:rPr>
          <w:rFonts w:cstheme="majorHAnsi"/>
          <w:sz w:val="22"/>
          <w:szCs w:val="22"/>
        </w:rPr>
        <w:t>TÍTULO VII</w:t>
      </w:r>
      <w:r w:rsidR="005A5B95" w:rsidRPr="00B24A80">
        <w:rPr>
          <w:rFonts w:cstheme="majorHAnsi"/>
          <w:sz w:val="22"/>
          <w:szCs w:val="22"/>
        </w:rPr>
        <w:t>I</w:t>
      </w:r>
      <w:bookmarkEnd w:id="382"/>
      <w:bookmarkEnd w:id="383"/>
      <w:bookmarkEnd w:id="384"/>
    </w:p>
    <w:p w14:paraId="134A3B91" w14:textId="64F39A27" w:rsidR="00DC27E8" w:rsidRPr="00B24A80" w:rsidRDefault="007F5505" w:rsidP="009013C1">
      <w:pPr>
        <w:pStyle w:val="Ttulo3"/>
        <w:rPr>
          <w:rFonts w:cstheme="majorHAnsi"/>
          <w:sz w:val="22"/>
          <w:szCs w:val="22"/>
        </w:rPr>
      </w:pPr>
      <w:bookmarkStart w:id="385" w:name="_heading=h.qbtyoq" w:colFirst="0" w:colLast="0"/>
      <w:bookmarkStart w:id="386" w:name="_heading=h.3abhhcj" w:colFirst="0" w:colLast="0"/>
      <w:bookmarkStart w:id="387" w:name="_heading=h.46ad4c2" w:colFirst="0" w:colLast="0"/>
      <w:bookmarkStart w:id="388" w:name="_Toc65711711"/>
      <w:bookmarkStart w:id="389" w:name="_Toc81085691"/>
      <w:bookmarkStart w:id="390" w:name="_Toc181374130"/>
      <w:bookmarkEnd w:id="385"/>
      <w:bookmarkEnd w:id="386"/>
      <w:bookmarkEnd w:id="387"/>
      <w:r w:rsidRPr="00B24A80">
        <w:rPr>
          <w:rFonts w:cstheme="majorHAnsi"/>
          <w:sz w:val="22"/>
          <w:szCs w:val="22"/>
        </w:rPr>
        <w:t>CAPÍTULO I</w:t>
      </w:r>
      <w:bookmarkStart w:id="391" w:name="_heading=h.2lfnejv" w:colFirst="0" w:colLast="0"/>
      <w:bookmarkEnd w:id="391"/>
      <w:r w:rsidR="009013C1" w:rsidRPr="00B24A80">
        <w:rPr>
          <w:rFonts w:cstheme="majorHAnsi"/>
          <w:sz w:val="22"/>
          <w:szCs w:val="22"/>
        </w:rPr>
        <w:br/>
      </w:r>
      <w:r w:rsidRPr="00B24A80">
        <w:rPr>
          <w:rFonts w:cstheme="majorHAnsi"/>
          <w:sz w:val="22"/>
          <w:szCs w:val="22"/>
        </w:rPr>
        <w:t>Infracciones y sanciones</w:t>
      </w:r>
      <w:bookmarkEnd w:id="388"/>
      <w:bookmarkEnd w:id="389"/>
      <w:bookmarkEnd w:id="390"/>
    </w:p>
    <w:p w14:paraId="21DBE15A" w14:textId="77777777" w:rsidR="00DC27E8" w:rsidRPr="00B24A80" w:rsidRDefault="007F5505" w:rsidP="009013C1">
      <w:pPr>
        <w:pStyle w:val="Ttulo4"/>
        <w:rPr>
          <w:rFonts w:cstheme="majorHAnsi"/>
          <w:sz w:val="22"/>
          <w:szCs w:val="22"/>
        </w:rPr>
      </w:pPr>
      <w:bookmarkStart w:id="392" w:name="_heading=h.10kxoro" w:colFirst="0" w:colLast="0"/>
      <w:bookmarkStart w:id="393" w:name="_Toc81085692"/>
      <w:bookmarkStart w:id="394" w:name="_Toc181374131"/>
      <w:bookmarkEnd w:id="392"/>
      <w:r w:rsidRPr="00B24A80">
        <w:rPr>
          <w:rFonts w:cstheme="majorHAnsi"/>
          <w:sz w:val="22"/>
          <w:szCs w:val="22"/>
        </w:rPr>
        <w:t>SECCIÓN I</w:t>
      </w:r>
      <w:r w:rsidRPr="00B24A80">
        <w:rPr>
          <w:rFonts w:cstheme="majorHAnsi"/>
          <w:sz w:val="22"/>
          <w:szCs w:val="22"/>
        </w:rPr>
        <w:br/>
        <w:t>Reglas Generales</w:t>
      </w:r>
      <w:bookmarkEnd w:id="393"/>
      <w:bookmarkEnd w:id="394"/>
    </w:p>
    <w:p w14:paraId="71D92ABA" w14:textId="6A694471" w:rsidR="008A76E7"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Obligación de mantener el orden y control territorial. -</w:t>
      </w:r>
      <w:r w:rsidRPr="00B24A80">
        <w:rPr>
          <w:rFonts w:asciiTheme="majorHAnsi" w:eastAsia="Calibri" w:hAnsiTheme="majorHAnsi" w:cstheme="majorHAnsi"/>
          <w:color w:val="000000"/>
          <w:szCs w:val="22"/>
        </w:rPr>
        <w:t xml:space="preserve"> La </w:t>
      </w:r>
      <w:r w:rsidR="006E0959" w:rsidRPr="00B24A80">
        <w:rPr>
          <w:rFonts w:asciiTheme="majorHAnsi" w:eastAsia="Calibri" w:hAnsiTheme="majorHAnsi" w:cstheme="majorHAnsi"/>
          <w:color w:val="000000"/>
          <w:szCs w:val="22"/>
        </w:rPr>
        <w:t xml:space="preserve">Dirección de Gestión Planificación y Ordenamiento Territorial </w:t>
      </w:r>
      <w:r w:rsidRPr="00B24A80">
        <w:rPr>
          <w:rFonts w:asciiTheme="majorHAnsi" w:eastAsia="Calibri" w:hAnsiTheme="majorHAnsi" w:cstheme="majorHAnsi"/>
          <w:color w:val="000000"/>
          <w:szCs w:val="22"/>
        </w:rPr>
        <w:t>adoptará las medidas tendientes a restaurar el orden urbano vulnerado y a reponer los bienes afectados a su estado anterior. Presentará los informes fundamentados, y pondrá en conocimiento del</w:t>
      </w:r>
      <w:r w:rsidR="00721FC6" w:rsidRPr="00B24A80">
        <w:rPr>
          <w:rFonts w:asciiTheme="majorHAnsi" w:eastAsia="Calibri" w:hAnsiTheme="majorHAnsi" w:cstheme="majorHAnsi"/>
          <w:color w:val="000000"/>
          <w:szCs w:val="22"/>
        </w:rPr>
        <w:t xml:space="preserve"> </w:t>
      </w:r>
      <w:r w:rsidR="00776A43">
        <w:rPr>
          <w:rFonts w:asciiTheme="majorHAnsi" w:eastAsia="Calibri" w:hAnsiTheme="majorHAnsi" w:cstheme="majorHAnsi"/>
          <w:color w:val="000000"/>
          <w:szCs w:val="22"/>
        </w:rPr>
        <w:t>Jefe de construcciones</w:t>
      </w:r>
      <w:r w:rsidRPr="00B24A80">
        <w:rPr>
          <w:rFonts w:asciiTheme="majorHAnsi" w:eastAsia="Calibri" w:hAnsiTheme="majorHAnsi" w:cstheme="majorHAnsi"/>
          <w:color w:val="000000"/>
          <w:szCs w:val="22"/>
        </w:rPr>
        <w:t xml:space="preserve"> Municipal, quién tiene competencia para conocer las infracciones a las </w:t>
      </w:r>
      <w:r w:rsidR="008A76E7" w:rsidRPr="00B24A80">
        <w:rPr>
          <w:rFonts w:asciiTheme="majorHAnsi" w:eastAsia="Calibri" w:hAnsiTheme="majorHAnsi" w:cstheme="majorHAnsi"/>
          <w:color w:val="000000"/>
          <w:szCs w:val="22"/>
        </w:rPr>
        <w:t xml:space="preserve">disposiciones de esta Normativa, y </w:t>
      </w:r>
      <w:r w:rsidR="009013C1" w:rsidRPr="00B24A80">
        <w:rPr>
          <w:rFonts w:asciiTheme="majorHAnsi" w:eastAsia="Calibri" w:hAnsiTheme="majorHAnsi" w:cstheme="majorHAnsi"/>
          <w:color w:val="000000"/>
          <w:szCs w:val="22"/>
        </w:rPr>
        <w:t>proceder como</w:t>
      </w:r>
      <w:r w:rsidR="008A76E7" w:rsidRPr="00B24A80">
        <w:rPr>
          <w:rFonts w:asciiTheme="majorHAnsi" w:eastAsia="Calibri" w:hAnsiTheme="majorHAnsi" w:cstheme="majorHAnsi"/>
          <w:color w:val="000000"/>
          <w:szCs w:val="22"/>
        </w:rPr>
        <w:t xml:space="preserve"> ente sancionador.</w:t>
      </w:r>
    </w:p>
    <w:p w14:paraId="58719134"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03B2560" w14:textId="0362AAF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Instrumentos administrativos. -</w:t>
      </w:r>
      <w:r w:rsidRPr="00B24A80">
        <w:rPr>
          <w:rFonts w:asciiTheme="majorHAnsi" w:eastAsia="Calibri" w:hAnsiTheme="majorHAnsi" w:cstheme="majorHAnsi"/>
          <w:color w:val="000000"/>
          <w:szCs w:val="22"/>
        </w:rPr>
        <w:t xml:space="preserve"> Para el mantenimiento del control territorial, se hará uso de los siguientes mecanismos:</w:t>
      </w:r>
    </w:p>
    <w:p w14:paraId="181590B8" w14:textId="65F31088" w:rsidR="00DC27E8" w:rsidRPr="00B24A80" w:rsidRDefault="007F5505" w:rsidP="009F132D">
      <w:pPr>
        <w:numPr>
          <w:ilvl w:val="0"/>
          <w:numId w:val="46"/>
        </w:numPr>
        <w:pBdr>
          <w:top w:val="nil"/>
          <w:left w:val="nil"/>
          <w:bottom w:val="nil"/>
          <w:right w:val="nil"/>
          <w:between w:val="nil"/>
        </w:pBdr>
        <w:tabs>
          <w:tab w:val="left" w:pos="385"/>
        </w:tabs>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Formas de control basadas en la participación de órganos </w:t>
      </w:r>
      <w:r w:rsidR="000D219A">
        <w:rPr>
          <w:rFonts w:asciiTheme="majorHAnsi" w:eastAsia="Calibri" w:hAnsiTheme="majorHAnsi" w:cstheme="majorHAnsi"/>
          <w:color w:val="000000"/>
          <w:sz w:val="22"/>
          <w:szCs w:val="22"/>
        </w:rPr>
        <w:t xml:space="preserve">con competencia </w:t>
      </w:r>
      <w:r w:rsidRPr="00B24A80">
        <w:rPr>
          <w:rFonts w:asciiTheme="majorHAnsi" w:eastAsia="Calibri" w:hAnsiTheme="majorHAnsi" w:cstheme="majorHAnsi"/>
          <w:color w:val="000000"/>
          <w:sz w:val="22"/>
          <w:szCs w:val="22"/>
        </w:rPr>
        <w:t>través de las inspecciones, permisos, autorizaciones y aprobaciones, o en la participación de la comunidad;</w:t>
      </w:r>
    </w:p>
    <w:p w14:paraId="26BFA6F1" w14:textId="685BC454" w:rsidR="000256D8" w:rsidRPr="00B24A80" w:rsidRDefault="007F5505" w:rsidP="007F65EA">
      <w:pPr>
        <w:numPr>
          <w:ilvl w:val="0"/>
          <w:numId w:val="46"/>
        </w:numPr>
        <w:pBdr>
          <w:top w:val="nil"/>
          <w:left w:val="nil"/>
          <w:bottom w:val="nil"/>
          <w:right w:val="nil"/>
          <w:between w:val="nil"/>
        </w:pBdr>
        <w:tabs>
          <w:tab w:val="left" w:pos="385"/>
        </w:tabs>
        <w:spacing w:after="267"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Sanciones.</w:t>
      </w:r>
    </w:p>
    <w:p w14:paraId="3A30F8DF" w14:textId="4012D03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b/>
          <w:szCs w:val="22"/>
        </w:rPr>
      </w:pPr>
      <w:r w:rsidRPr="00B24A80">
        <w:rPr>
          <w:rFonts w:asciiTheme="majorHAnsi" w:eastAsia="Calibri" w:hAnsiTheme="majorHAnsi" w:cstheme="majorHAnsi"/>
          <w:b/>
          <w:szCs w:val="22"/>
        </w:rPr>
        <w:t xml:space="preserve">Requerimiento de permiso. - </w:t>
      </w:r>
      <w:r w:rsidRPr="00B24A80">
        <w:rPr>
          <w:rFonts w:asciiTheme="majorHAnsi" w:eastAsia="Calibri" w:hAnsiTheme="majorHAnsi" w:cstheme="majorHAnsi"/>
          <w:szCs w:val="22"/>
        </w:rPr>
        <w:t>Precisan de permiso:</w:t>
      </w:r>
    </w:p>
    <w:p w14:paraId="03C859B5" w14:textId="77777777" w:rsidR="00DC27E8" w:rsidRPr="00B24A80" w:rsidRDefault="007F5505" w:rsidP="009F132D">
      <w:pPr>
        <w:numPr>
          <w:ilvl w:val="0"/>
          <w:numId w:val="48"/>
        </w:numPr>
        <w:pBdr>
          <w:top w:val="nil"/>
          <w:left w:val="nil"/>
          <w:bottom w:val="nil"/>
          <w:right w:val="nil"/>
          <w:between w:val="nil"/>
        </w:pBdr>
        <w:tabs>
          <w:tab w:val="left" w:pos="378"/>
        </w:tabs>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Todo acto de aprovechamiento urbanístico o habilitación de suelo, movimientos de tierra, modificación de estructura o fachada exterior de las edificaciones existentes y las demoliciones, aunque sean promovidos o ejecutados por órganos de la Administración pública o entidades del sector público;</w:t>
      </w:r>
    </w:p>
    <w:p w14:paraId="38262E4D" w14:textId="77777777" w:rsidR="00DC27E8" w:rsidRPr="00B24A80" w:rsidRDefault="007F5505" w:rsidP="009F132D">
      <w:pPr>
        <w:numPr>
          <w:ilvl w:val="0"/>
          <w:numId w:val="48"/>
        </w:numPr>
        <w:pBdr>
          <w:top w:val="nil"/>
          <w:left w:val="nil"/>
          <w:bottom w:val="nil"/>
          <w:right w:val="nil"/>
          <w:between w:val="nil"/>
        </w:pBdr>
        <w:tabs>
          <w:tab w:val="left" w:pos="378"/>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Las obras públicas; y,</w:t>
      </w:r>
    </w:p>
    <w:p w14:paraId="2BCB06A2" w14:textId="77777777" w:rsidR="00DC27E8" w:rsidRPr="00B24A80" w:rsidRDefault="007F5505" w:rsidP="009F132D">
      <w:pPr>
        <w:numPr>
          <w:ilvl w:val="0"/>
          <w:numId w:val="48"/>
        </w:numPr>
        <w:pBdr>
          <w:top w:val="nil"/>
          <w:left w:val="nil"/>
          <w:bottom w:val="nil"/>
          <w:right w:val="nil"/>
          <w:between w:val="nil"/>
        </w:pBdr>
        <w:tabs>
          <w:tab w:val="left" w:pos="378"/>
        </w:tabs>
        <w:spacing w:after="267"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Las construcciones y ocupaciones de edificaciones con usos residenciales, comerciales y de servicios, industriales, de equipamientos y servicios urbanos y de protección ecológica y de preservación del entorno y aprovechamiento de recursos naturales.</w:t>
      </w:r>
    </w:p>
    <w:p w14:paraId="26CA3358" w14:textId="57BC3EEC"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lastRenderedPageBreak/>
        <w:t>Responsabilidad solidaria por las infracciones</w:t>
      </w:r>
      <w:r w:rsidRPr="00B24A80">
        <w:rPr>
          <w:rFonts w:asciiTheme="majorHAnsi" w:eastAsia="Calibri" w:hAnsiTheme="majorHAnsi" w:cstheme="majorHAnsi"/>
          <w:color w:val="000000"/>
          <w:szCs w:val="22"/>
        </w:rPr>
        <w:t>. - Son responsables de las infracciones el propietario y los que las hayan perpetrado directamente o a través de otras personas, los que han coadyuvado a su ejecución de un modo principal y los que indirectamente cooperen a la ejecución de la infracción, quienes responderán solidariamente. Si la responsabilidad recayere en una persona jurídica, habrá solidaridad entre ésta y las personas naturales que actuaron a su nombre o por ella.</w:t>
      </w:r>
    </w:p>
    <w:p w14:paraId="6BC6D360"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6207D2D" w14:textId="62C06D6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Obligación adicional de reparar el daño causado. -</w:t>
      </w:r>
      <w:r w:rsidRPr="00B24A80">
        <w:rPr>
          <w:rFonts w:asciiTheme="majorHAnsi" w:eastAsia="Calibri" w:hAnsiTheme="majorHAnsi" w:cstheme="majorHAnsi"/>
          <w:color w:val="000000"/>
          <w:szCs w:val="22"/>
        </w:rPr>
        <w:t xml:space="preserve"> La aplicación de sanciones no exime al infractor de la obligación de adoptar a su costa las medidas necesarias para corregir las consecuencias de la conducta prohibida, reponer las cosas al estado anterior antes de cometerse la infracción o en general, realizar las obras o ejecutar los actos necesarios para el restablecimiento </w:t>
      </w:r>
      <w:r w:rsidR="00563296">
        <w:rPr>
          <w:rFonts w:asciiTheme="majorHAnsi" w:eastAsia="Calibri" w:hAnsiTheme="majorHAnsi" w:cstheme="majorHAnsi"/>
          <w:color w:val="000000"/>
          <w:szCs w:val="22"/>
        </w:rPr>
        <w:t xml:space="preserve">del </w:t>
      </w:r>
      <w:r w:rsidRPr="00B24A80">
        <w:rPr>
          <w:rFonts w:asciiTheme="majorHAnsi" w:eastAsia="Calibri" w:hAnsiTheme="majorHAnsi" w:cstheme="majorHAnsi"/>
          <w:color w:val="000000"/>
          <w:szCs w:val="22"/>
        </w:rPr>
        <w:t>objeto urbano.</w:t>
      </w:r>
    </w:p>
    <w:p w14:paraId="5C1902BB" w14:textId="77777777" w:rsidR="000256D8" w:rsidRPr="00B24A80" w:rsidRDefault="000256D8" w:rsidP="000256D8">
      <w:pPr>
        <w:pStyle w:val="Prrafodelista"/>
        <w:rPr>
          <w:rFonts w:asciiTheme="majorHAnsi" w:eastAsia="Calibri" w:hAnsiTheme="majorHAnsi" w:cstheme="majorHAnsi"/>
          <w:color w:val="000000"/>
          <w:szCs w:val="22"/>
        </w:rPr>
      </w:pPr>
    </w:p>
    <w:p w14:paraId="0060DA0F"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76F08C2" w14:textId="705F83EB"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Circunstancias agravantes. -</w:t>
      </w:r>
      <w:r w:rsidRPr="00B24A80">
        <w:rPr>
          <w:rFonts w:asciiTheme="majorHAnsi" w:eastAsia="Calibri" w:hAnsiTheme="majorHAnsi" w:cstheme="majorHAnsi"/>
          <w:color w:val="000000"/>
          <w:szCs w:val="22"/>
        </w:rPr>
        <w:t xml:space="preserve"> Son agravantes la rebeldía y la reincidencia.</w:t>
      </w:r>
    </w:p>
    <w:p w14:paraId="1B54BB3F"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749D2F06" w14:textId="21ECE9C9" w:rsidR="000256D8" w:rsidRPr="004639E7" w:rsidRDefault="007F5505" w:rsidP="004639E7">
      <w:pPr>
        <w:pStyle w:val="Ttulo4"/>
        <w:rPr>
          <w:rFonts w:cstheme="majorHAnsi"/>
          <w:sz w:val="22"/>
          <w:szCs w:val="22"/>
        </w:rPr>
      </w:pPr>
      <w:bookmarkStart w:id="395" w:name="bookmark=id.3kkl7fh" w:colFirst="0" w:colLast="0"/>
      <w:bookmarkStart w:id="396" w:name="_heading=h.1zpvhna" w:colFirst="0" w:colLast="0"/>
      <w:bookmarkStart w:id="397" w:name="_Toc81085693"/>
      <w:bookmarkStart w:id="398" w:name="_Toc181374132"/>
      <w:bookmarkEnd w:id="395"/>
      <w:bookmarkEnd w:id="396"/>
      <w:r w:rsidRPr="00B24A80">
        <w:rPr>
          <w:rFonts w:cstheme="majorHAnsi"/>
          <w:sz w:val="22"/>
          <w:szCs w:val="22"/>
        </w:rPr>
        <w:t>SECCIÓN II</w:t>
      </w:r>
      <w:bookmarkStart w:id="399" w:name="_heading=h.4jpj0b3" w:colFirst="0" w:colLast="0"/>
      <w:bookmarkEnd w:id="399"/>
      <w:r w:rsidR="009013C1" w:rsidRPr="00B24A80">
        <w:rPr>
          <w:rFonts w:cstheme="majorHAnsi"/>
          <w:sz w:val="22"/>
          <w:szCs w:val="22"/>
        </w:rPr>
        <w:br/>
      </w:r>
      <w:r w:rsidRPr="00B24A80">
        <w:rPr>
          <w:rFonts w:cstheme="majorHAnsi"/>
          <w:sz w:val="22"/>
          <w:szCs w:val="22"/>
        </w:rPr>
        <w:t>Procedimientos</w:t>
      </w:r>
      <w:bookmarkEnd w:id="397"/>
      <w:bookmarkEnd w:id="398"/>
    </w:p>
    <w:p w14:paraId="10748DED" w14:textId="672F2CA7" w:rsidR="000256D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Carácter independiente de las sanciones. -</w:t>
      </w:r>
      <w:r w:rsidR="00F20FA7">
        <w:rPr>
          <w:rFonts w:asciiTheme="majorHAnsi" w:hAnsiTheme="majorHAnsi" w:cstheme="majorHAnsi"/>
          <w:b/>
          <w:szCs w:val="22"/>
        </w:rPr>
        <w:t xml:space="preserve"> </w:t>
      </w:r>
      <w:r w:rsidRPr="00B24A80">
        <w:rPr>
          <w:rFonts w:asciiTheme="majorHAnsi" w:hAnsiTheme="majorHAnsi" w:cstheme="majorHAnsi"/>
          <w:szCs w:val="22"/>
        </w:rPr>
        <w:t xml:space="preserve"> La </w:t>
      </w:r>
      <w:r w:rsidR="00CD442E" w:rsidRPr="00B24A80">
        <w:rPr>
          <w:rFonts w:asciiTheme="majorHAnsi" w:hAnsiTheme="majorHAnsi" w:cstheme="majorHAnsi"/>
          <w:szCs w:val="22"/>
        </w:rPr>
        <w:t>facultad para sancionar</w:t>
      </w:r>
      <w:r w:rsidR="00F20FA7">
        <w:rPr>
          <w:rFonts w:asciiTheme="majorHAnsi" w:hAnsiTheme="majorHAnsi" w:cstheme="majorHAnsi"/>
          <w:szCs w:val="22"/>
        </w:rPr>
        <w:t xml:space="preserve"> puede iniciarse de oficio o a petición de parte. </w:t>
      </w:r>
      <w:r w:rsidRPr="00B24A80">
        <w:rPr>
          <w:rFonts w:asciiTheme="majorHAnsi" w:hAnsiTheme="majorHAnsi" w:cstheme="majorHAnsi"/>
          <w:szCs w:val="22"/>
        </w:rPr>
        <w:t xml:space="preserve">Las </w:t>
      </w:r>
      <w:r w:rsidR="00CD442E" w:rsidRPr="00B24A80">
        <w:rPr>
          <w:rFonts w:asciiTheme="majorHAnsi" w:hAnsiTheme="majorHAnsi" w:cstheme="majorHAnsi"/>
          <w:szCs w:val="22"/>
        </w:rPr>
        <w:t xml:space="preserve">sanciones que se impongan a los </w:t>
      </w:r>
      <w:r w:rsidRPr="00B24A80">
        <w:rPr>
          <w:rFonts w:asciiTheme="majorHAnsi" w:hAnsiTheme="majorHAnsi" w:cstheme="majorHAnsi"/>
          <w:szCs w:val="22"/>
        </w:rPr>
        <w:t>distintos responsables por una misma infracción, tienen carácter independiente. La aplicación de las sanciones previstas en esta Normativa, es independiente y no obsta ni la instauración, ni el llevar adelante el proceso penal, si el hecho estuviere tipificado como delito, ni el ejercicio de las acciones orientadas a la reparación de daños e indemnización de perjuicios, según las reglas generales.</w:t>
      </w:r>
    </w:p>
    <w:p w14:paraId="47FFCA42" w14:textId="77777777" w:rsidR="000256D8" w:rsidRPr="00B24A80" w:rsidRDefault="000256D8" w:rsidP="000256D8">
      <w:pPr>
        <w:pStyle w:val="Prrafodelista"/>
        <w:rPr>
          <w:rFonts w:asciiTheme="majorHAnsi" w:hAnsiTheme="majorHAnsi" w:cstheme="majorHAnsi"/>
          <w:szCs w:val="22"/>
        </w:rPr>
      </w:pPr>
    </w:p>
    <w:p w14:paraId="13490C2A"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A31AD32" w14:textId="7DDCF3D0"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Revocatoria de permisos para edificación. -</w:t>
      </w:r>
      <w:r w:rsidRPr="00B24A80">
        <w:rPr>
          <w:rFonts w:asciiTheme="majorHAnsi" w:eastAsia="Calibri" w:hAnsiTheme="majorHAnsi" w:cstheme="majorHAnsi"/>
          <w:color w:val="000000"/>
          <w:szCs w:val="22"/>
        </w:rPr>
        <w:t xml:space="preserve"> La </w:t>
      </w:r>
      <w:r w:rsidR="006E0959" w:rsidRPr="00B24A80">
        <w:rPr>
          <w:rFonts w:asciiTheme="majorHAnsi" w:eastAsia="Calibri" w:hAnsiTheme="majorHAnsi" w:cstheme="majorHAnsi"/>
          <w:color w:val="000000"/>
          <w:szCs w:val="22"/>
        </w:rPr>
        <w:t xml:space="preserve">Dirección de Gestión Planificación y Ordenamiento Territorial </w:t>
      </w:r>
      <w:r w:rsidRPr="00B24A80">
        <w:rPr>
          <w:rFonts w:asciiTheme="majorHAnsi" w:eastAsia="Calibri" w:hAnsiTheme="majorHAnsi" w:cstheme="majorHAnsi"/>
          <w:color w:val="000000"/>
          <w:szCs w:val="22"/>
        </w:rPr>
        <w:t>revocará el permiso para edificación expedido, si comprobare que se ha obtenido presentando datos falsos o representaciones gráficas erróneas, de cualquier clase que sean, en las solicitudes y planos correspondientes. La revocatoria también podrá ser solicitada a través de cualquier dependencia municipal si se considera y se demuestra que la aprobación o el permiso no se ajustan a lo que establece alguna de las disposiciones de la presente Normativa.</w:t>
      </w:r>
    </w:p>
    <w:p w14:paraId="1D301EB6" w14:textId="77777777" w:rsidR="000256D8" w:rsidRPr="00B24A80" w:rsidRDefault="000256D8" w:rsidP="000256D8">
      <w:pPr>
        <w:pStyle w:val="Prrafodelista"/>
        <w:rPr>
          <w:rFonts w:asciiTheme="majorHAnsi" w:eastAsia="Calibri" w:hAnsiTheme="majorHAnsi" w:cstheme="majorHAnsi"/>
          <w:color w:val="000000"/>
          <w:szCs w:val="22"/>
        </w:rPr>
      </w:pPr>
    </w:p>
    <w:p w14:paraId="1B6B6D31" w14:textId="67245F4D" w:rsidR="00DC27E8" w:rsidRPr="00B24A80" w:rsidRDefault="007F5505" w:rsidP="003A597A">
      <w:pPr>
        <w:pStyle w:val="Ttulo4"/>
        <w:rPr>
          <w:rFonts w:cstheme="majorHAnsi"/>
          <w:sz w:val="22"/>
          <w:szCs w:val="22"/>
        </w:rPr>
      </w:pPr>
      <w:bookmarkStart w:id="400" w:name="_heading=h.2yutaiw" w:colFirst="0" w:colLast="0"/>
      <w:bookmarkStart w:id="401" w:name="_Toc81085694"/>
      <w:bookmarkStart w:id="402" w:name="_Toc181374133"/>
      <w:bookmarkEnd w:id="400"/>
      <w:r w:rsidRPr="00B24A80">
        <w:rPr>
          <w:rFonts w:cstheme="majorHAnsi"/>
          <w:sz w:val="22"/>
          <w:szCs w:val="22"/>
        </w:rPr>
        <w:t>SECCIÓN III</w:t>
      </w:r>
      <w:bookmarkStart w:id="403" w:name="_heading=h.1e03kqp" w:colFirst="0" w:colLast="0"/>
      <w:bookmarkEnd w:id="403"/>
      <w:r w:rsidR="003A597A" w:rsidRPr="00B24A80">
        <w:rPr>
          <w:rFonts w:cstheme="majorHAnsi"/>
          <w:sz w:val="22"/>
          <w:szCs w:val="22"/>
        </w:rPr>
        <w:br/>
      </w:r>
      <w:r w:rsidRPr="00B24A80">
        <w:rPr>
          <w:rFonts w:cstheme="majorHAnsi"/>
          <w:sz w:val="22"/>
          <w:szCs w:val="22"/>
        </w:rPr>
        <w:t>Sanciones</w:t>
      </w:r>
      <w:bookmarkEnd w:id="401"/>
      <w:bookmarkEnd w:id="402"/>
    </w:p>
    <w:p w14:paraId="0348C240" w14:textId="253841AA"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25282C"/>
          <w:szCs w:val="22"/>
        </w:rPr>
        <w:t xml:space="preserve"> </w:t>
      </w:r>
      <w:r w:rsidRPr="00B24A80">
        <w:rPr>
          <w:rFonts w:asciiTheme="majorHAnsi" w:eastAsia="Calibri" w:hAnsiTheme="majorHAnsi" w:cstheme="majorHAnsi"/>
          <w:b/>
          <w:color w:val="000000"/>
          <w:szCs w:val="22"/>
        </w:rPr>
        <w:t>Sanciones:</w:t>
      </w:r>
      <w:r w:rsidRPr="00B24A80">
        <w:rPr>
          <w:rFonts w:asciiTheme="majorHAnsi" w:eastAsia="Calibri" w:hAnsiTheme="majorHAnsi" w:cstheme="majorHAnsi"/>
          <w:color w:val="000000"/>
          <w:szCs w:val="22"/>
        </w:rPr>
        <w:t xml:space="preserve"> Las siguientes sanciones se clasifican de acuerdo al grado de infracción, ya sean estas leves o graves y serán impuestas mediante acto administrativo debidamente motivado y con respeto al debido proceso.</w:t>
      </w:r>
    </w:p>
    <w:p w14:paraId="7A3BCECD"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950D5BD" w14:textId="263B5D98"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lastRenderedPageBreak/>
        <w:t>Sanciones aplicables. -</w:t>
      </w:r>
      <w:r w:rsidRPr="00B24A80">
        <w:rPr>
          <w:rFonts w:asciiTheme="majorHAnsi" w:eastAsia="Calibri" w:hAnsiTheme="majorHAnsi" w:cstheme="majorHAnsi"/>
          <w:color w:val="000000"/>
          <w:szCs w:val="22"/>
        </w:rPr>
        <w:t xml:space="preserve"> Son aplicables a los infractores de las disposiciones de este Capítulo, sin perjuicio de imponerlas simultáneamente, las siguientes:</w:t>
      </w:r>
    </w:p>
    <w:p w14:paraId="4D2467E3" w14:textId="77777777" w:rsidR="00DC27E8" w:rsidRPr="00B24A80" w:rsidRDefault="007F5505" w:rsidP="009F132D">
      <w:pPr>
        <w:numPr>
          <w:ilvl w:val="0"/>
          <w:numId w:val="35"/>
        </w:numPr>
        <w:pBdr>
          <w:top w:val="nil"/>
          <w:left w:val="nil"/>
          <w:bottom w:val="nil"/>
          <w:right w:val="nil"/>
          <w:between w:val="nil"/>
        </w:pBdr>
        <w:tabs>
          <w:tab w:val="left" w:pos="425"/>
        </w:tabs>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Suspensión temporal o permanente de la actividad, obra o proyecto;</w:t>
      </w:r>
    </w:p>
    <w:p w14:paraId="08B2511A" w14:textId="77777777" w:rsidR="00DC27E8" w:rsidRPr="00B24A80" w:rsidRDefault="007F5505" w:rsidP="009F132D">
      <w:pPr>
        <w:numPr>
          <w:ilvl w:val="0"/>
          <w:numId w:val="35"/>
        </w:numPr>
        <w:pBdr>
          <w:top w:val="nil"/>
          <w:left w:val="nil"/>
          <w:bottom w:val="nil"/>
          <w:right w:val="nil"/>
          <w:between w:val="nil"/>
        </w:pBdr>
        <w:tabs>
          <w:tab w:val="left" w:pos="425"/>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Multa;</w:t>
      </w:r>
    </w:p>
    <w:p w14:paraId="3BDDF98F" w14:textId="77777777" w:rsidR="00DC27E8" w:rsidRPr="00B24A80" w:rsidRDefault="007F5505" w:rsidP="009F132D">
      <w:pPr>
        <w:numPr>
          <w:ilvl w:val="0"/>
          <w:numId w:val="35"/>
        </w:numPr>
        <w:pBdr>
          <w:top w:val="nil"/>
          <w:left w:val="nil"/>
          <w:bottom w:val="nil"/>
          <w:right w:val="nil"/>
          <w:between w:val="nil"/>
        </w:pBdr>
        <w:tabs>
          <w:tab w:val="left" w:pos="425"/>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Revocatoria de aprobación de planos;</w:t>
      </w:r>
    </w:p>
    <w:p w14:paraId="4DBBB5BF" w14:textId="77777777" w:rsidR="00DC27E8" w:rsidRPr="00B24A80" w:rsidRDefault="007F5505" w:rsidP="009F132D">
      <w:pPr>
        <w:numPr>
          <w:ilvl w:val="0"/>
          <w:numId w:val="35"/>
        </w:numPr>
        <w:pBdr>
          <w:top w:val="nil"/>
          <w:left w:val="nil"/>
          <w:bottom w:val="nil"/>
          <w:right w:val="nil"/>
          <w:between w:val="nil"/>
        </w:pBdr>
        <w:tabs>
          <w:tab w:val="left" w:pos="425"/>
        </w:tabs>
        <w:spacing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Revocación del permiso de construcción; y,</w:t>
      </w:r>
    </w:p>
    <w:p w14:paraId="35382F36" w14:textId="77777777" w:rsidR="00DC27E8" w:rsidRPr="00B24A80" w:rsidRDefault="007F5505" w:rsidP="009F132D">
      <w:pPr>
        <w:numPr>
          <w:ilvl w:val="0"/>
          <w:numId w:val="35"/>
        </w:numPr>
        <w:pBdr>
          <w:top w:val="nil"/>
          <w:left w:val="nil"/>
          <w:bottom w:val="nil"/>
          <w:right w:val="nil"/>
          <w:between w:val="nil"/>
        </w:pBdr>
        <w:tabs>
          <w:tab w:val="left" w:pos="425"/>
        </w:tabs>
        <w:spacing w:after="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Ejecución del monto total del fondo de garantía otorgado a favor del Municipio.</w:t>
      </w:r>
    </w:p>
    <w:p w14:paraId="477807C1" w14:textId="77777777" w:rsidR="00DC27E8" w:rsidRPr="00B24A80" w:rsidRDefault="007F5505">
      <w:pPr>
        <w:pBdr>
          <w:top w:val="nil"/>
          <w:left w:val="nil"/>
          <w:bottom w:val="nil"/>
          <w:right w:val="nil"/>
          <w:between w:val="nil"/>
        </w:pBdr>
        <w:spacing w:before="240" w:after="235"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Son obligaciones inherentes a los infractores, cuando han efectuado construcciones al margen de las disposiciones legales, y aplicables de acuerdo al caso, la demolición de lo ilegalmente construido y la restitución de la construcción derrocada al estado original.</w:t>
      </w:r>
    </w:p>
    <w:p w14:paraId="62CE487C" w14:textId="77777777" w:rsidR="00DC27E8" w:rsidRPr="00B24A80" w:rsidRDefault="007F5505">
      <w:p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Los elementos constitutivos del espacio público, que sean destruidos o alterados, se restituirán,</w:t>
      </w:r>
    </w:p>
    <w:p w14:paraId="388D82CF" w14:textId="2EDF421B" w:rsidR="00DC27E8" w:rsidRPr="00B24A80" w:rsidRDefault="007F5505" w:rsidP="003A597A">
      <w:pPr>
        <w:pBdr>
          <w:top w:val="nil"/>
          <w:left w:val="nil"/>
          <w:bottom w:val="nil"/>
          <w:right w:val="nil"/>
          <w:between w:val="nil"/>
        </w:pBdr>
        <w:spacing w:before="240" w:after="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La reincidencia en el cometimiento de las infracciones previstas en esta Ley se sancionará con el máximo de la pena prevista.</w:t>
      </w:r>
    </w:p>
    <w:p w14:paraId="58D78134" w14:textId="104B8E20" w:rsidR="00DC27E8" w:rsidRPr="00B24A80" w:rsidRDefault="007F5505" w:rsidP="003A597A">
      <w:pPr>
        <w:pStyle w:val="Ttulo4"/>
        <w:rPr>
          <w:rFonts w:cstheme="majorHAnsi"/>
          <w:sz w:val="22"/>
          <w:szCs w:val="22"/>
        </w:rPr>
      </w:pPr>
      <w:bookmarkStart w:id="404" w:name="_heading=h.3xzr3ei" w:colFirst="0" w:colLast="0"/>
      <w:bookmarkStart w:id="405" w:name="_Toc81085695"/>
      <w:bookmarkStart w:id="406" w:name="_Toc181374134"/>
      <w:bookmarkEnd w:id="404"/>
      <w:r w:rsidRPr="00B24A80">
        <w:rPr>
          <w:rFonts w:cstheme="majorHAnsi"/>
          <w:sz w:val="22"/>
          <w:szCs w:val="22"/>
        </w:rPr>
        <w:t>SECCIÓN IV</w:t>
      </w:r>
      <w:bookmarkStart w:id="407" w:name="_heading=h.2d51dmb" w:colFirst="0" w:colLast="0"/>
      <w:bookmarkEnd w:id="407"/>
      <w:r w:rsidR="003A597A" w:rsidRPr="00B24A80">
        <w:rPr>
          <w:rFonts w:cstheme="majorHAnsi"/>
          <w:sz w:val="22"/>
          <w:szCs w:val="22"/>
        </w:rPr>
        <w:br/>
      </w:r>
      <w:r w:rsidRPr="00B24A80">
        <w:rPr>
          <w:rFonts w:cstheme="majorHAnsi"/>
          <w:sz w:val="22"/>
          <w:szCs w:val="22"/>
        </w:rPr>
        <w:t>Infracciones Generales</w:t>
      </w:r>
      <w:bookmarkEnd w:id="405"/>
      <w:bookmarkEnd w:id="406"/>
      <w:r w:rsidR="00282D13" w:rsidRPr="00B24A80">
        <w:rPr>
          <w:rFonts w:cstheme="majorHAnsi"/>
          <w:sz w:val="22"/>
          <w:szCs w:val="22"/>
        </w:rPr>
        <w:t xml:space="preserve"> </w:t>
      </w:r>
    </w:p>
    <w:p w14:paraId="5E848E77" w14:textId="1D9D37B5"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Construcciones sin permiso. -</w:t>
      </w:r>
      <w:r w:rsidRPr="00B24A80">
        <w:rPr>
          <w:rFonts w:asciiTheme="majorHAnsi" w:eastAsia="Calibri" w:hAnsiTheme="majorHAnsi" w:cstheme="majorHAnsi"/>
          <w:color w:val="000000"/>
          <w:szCs w:val="22"/>
        </w:rPr>
        <w:t xml:space="preserve"> Los que construyan, amplíen, modifiquen o reparen edificaciones sin contar con el respectivo permiso de construcción, serán sancionados con multa equivalente al 15% del valor de la obra según avance o estado de la construcción; sin perjuicio de que el Comisario ordene la suspensión de las obras hasta que presente el permiso de construcción respectivo, pudiendo llegar incluso al derrocamiento</w:t>
      </w:r>
      <w:r w:rsidR="00D33215" w:rsidRPr="00B24A80">
        <w:rPr>
          <w:rFonts w:asciiTheme="majorHAnsi" w:eastAsia="Calibri" w:hAnsiTheme="majorHAnsi" w:cstheme="majorHAnsi"/>
          <w:color w:val="000000"/>
          <w:szCs w:val="22"/>
        </w:rPr>
        <w:t xml:space="preserve"> de hacer caso omiso al requerimiento de legalizar los respetivos permisos</w:t>
      </w:r>
      <w:r w:rsidRPr="00B24A80">
        <w:rPr>
          <w:rFonts w:asciiTheme="majorHAnsi" w:eastAsia="Calibri" w:hAnsiTheme="majorHAnsi" w:cstheme="majorHAnsi"/>
          <w:color w:val="000000"/>
          <w:szCs w:val="22"/>
        </w:rPr>
        <w:t>.</w:t>
      </w:r>
    </w:p>
    <w:p w14:paraId="336EE66F"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E5A5E9F" w14:textId="1758017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Construcción sin someterse a los planos. -</w:t>
      </w:r>
      <w:r w:rsidRPr="00B24A80">
        <w:rPr>
          <w:rFonts w:asciiTheme="majorHAnsi" w:eastAsia="Calibri" w:hAnsiTheme="majorHAnsi" w:cstheme="majorHAnsi"/>
          <w:color w:val="000000"/>
          <w:szCs w:val="22"/>
        </w:rPr>
        <w:t xml:space="preserve"> Los que construyan, amplíen, modifiquen o reparen edificaciones contando con los respectivos planos aprobados y con permisos de construcción, pero que no lo hagan con apego a éstos, serán sancionados con una multa equivalente al 50% del fondo de garantía, sin perjuicio que el Comisario ordene la suspensión de las obras hasta que presente el permiso de construcción, pudiendo llegar incluso hasta el derrocamiento.</w:t>
      </w:r>
    </w:p>
    <w:p w14:paraId="73CA3518" w14:textId="77777777" w:rsidR="000256D8" w:rsidRPr="00B24A80" w:rsidRDefault="000256D8" w:rsidP="000256D8">
      <w:pPr>
        <w:pStyle w:val="Prrafodelista"/>
        <w:rPr>
          <w:rFonts w:asciiTheme="majorHAnsi" w:eastAsia="Calibri" w:hAnsiTheme="majorHAnsi" w:cstheme="majorHAnsi"/>
          <w:color w:val="000000"/>
          <w:szCs w:val="22"/>
        </w:rPr>
      </w:pPr>
    </w:p>
    <w:p w14:paraId="263C0705"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0BECC91D" w14:textId="52051296"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Construcción sin planos aprobados, ni permiso de construcción que respeta la zonificación.-</w:t>
      </w:r>
      <w:r w:rsidRPr="00B24A80">
        <w:rPr>
          <w:rFonts w:asciiTheme="majorHAnsi" w:eastAsia="Calibri" w:hAnsiTheme="majorHAnsi" w:cstheme="majorHAnsi"/>
          <w:color w:val="000000"/>
          <w:szCs w:val="22"/>
        </w:rPr>
        <w:t xml:space="preserve"> Los que construyan, amplíen, modifiquen o reparen edificaciones que respetan las normas de zonificación, pero no cuentan con planos aprobados, ni con permiso de construcción, serán sancionados con multa equivalente al 100% del fondo de garantía que debió otorgar a favor del Municipio, sin perjuicio de que el Comisario ordene la suspensión de la construcción hasta que presente el permiso correspondiente; pudiendo llegar incluso al derrocamiento.</w:t>
      </w:r>
    </w:p>
    <w:p w14:paraId="27A6D737"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E637A19" w14:textId="0472E20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lastRenderedPageBreak/>
        <w:t>Inmueble destinado a actividades no permitidas o incompatibles</w:t>
      </w:r>
      <w:r w:rsidRPr="00B24A80">
        <w:rPr>
          <w:rFonts w:asciiTheme="majorHAnsi" w:eastAsia="Calibri" w:hAnsiTheme="majorHAnsi" w:cstheme="majorHAnsi"/>
          <w:color w:val="000000"/>
          <w:szCs w:val="22"/>
        </w:rPr>
        <w:t>. - Los que destinen un predio o una edificación a actividades que impliquen formas no permitidas o incompatibles de uso del suelo, contraviniendo las disposiciones, serán sancionados con multa equivalente al 50% de la remuneración salarial básica unificada (RBU), sin perjuicio de que el Comisario ordene la clausura del local.</w:t>
      </w:r>
    </w:p>
    <w:p w14:paraId="694FD138" w14:textId="558B7E7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Falta de medidas de seguridad</w:t>
      </w:r>
      <w:r w:rsidRPr="00B24A80">
        <w:rPr>
          <w:rFonts w:asciiTheme="majorHAnsi" w:eastAsia="Calibri" w:hAnsiTheme="majorHAnsi" w:cstheme="majorHAnsi"/>
          <w:color w:val="000000"/>
          <w:szCs w:val="22"/>
        </w:rPr>
        <w:t>.- Los que construyan, amplíen o</w:t>
      </w:r>
      <w:r w:rsidRPr="00B24A80">
        <w:rPr>
          <w:rFonts w:asciiTheme="majorHAnsi" w:eastAsia="Calibri" w:hAnsiTheme="majorHAnsi" w:cstheme="majorHAnsi"/>
          <w:color w:val="000000"/>
          <w:szCs w:val="22"/>
          <w:u w:val="single"/>
        </w:rPr>
        <w:t xml:space="preserve"> </w:t>
      </w:r>
      <w:r w:rsidRPr="00B24A80">
        <w:rPr>
          <w:rFonts w:asciiTheme="majorHAnsi" w:eastAsia="Calibri" w:hAnsiTheme="majorHAnsi" w:cstheme="majorHAnsi"/>
          <w:color w:val="000000"/>
          <w:szCs w:val="22"/>
        </w:rPr>
        <w:t>demuelan edificaciones sin tomar las medidas de seguridad poniendo en peligro la vida o la integridad física de las personas, la estabilidad de la propia edificación y de las contiguas, pudiendo causar perjuicio a bienes de terceros, serán sancionados con multa equivalente al 125% la remuneración salarial básica unificada (RBU), sin perjuicio de que el Comisario ordene la suspensión de las obras hasta que se adopten todas las medidas de seguridad.</w:t>
      </w:r>
    </w:p>
    <w:p w14:paraId="637F0952" w14:textId="77777777" w:rsidR="000256D8" w:rsidRPr="00B24A80" w:rsidRDefault="000256D8" w:rsidP="000256D8">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361A3DC4" w14:textId="3939E10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Obstaculización de inspecciones municipales</w:t>
      </w:r>
      <w:r w:rsidRPr="00B24A80">
        <w:rPr>
          <w:rFonts w:asciiTheme="majorHAnsi" w:eastAsia="Calibri" w:hAnsiTheme="majorHAnsi" w:cstheme="majorHAnsi"/>
          <w:color w:val="000000"/>
          <w:szCs w:val="22"/>
        </w:rPr>
        <w:t>. - Los que impidan u obstaculicen el cumplimiento de los trabajos de inspección municipal, serán sancionados con multa equivalente UNA remuneración salarial básica unificada (RBU), del salario general unificado.</w:t>
      </w:r>
    </w:p>
    <w:p w14:paraId="7CE03E0D" w14:textId="77777777" w:rsidR="008A1D3C" w:rsidRPr="00B24A80" w:rsidRDefault="008A1D3C" w:rsidP="008A1D3C">
      <w:pPr>
        <w:pStyle w:val="Prrafodelista"/>
        <w:rPr>
          <w:rFonts w:asciiTheme="majorHAnsi" w:eastAsia="Calibri" w:hAnsiTheme="majorHAnsi" w:cstheme="majorHAnsi"/>
          <w:color w:val="000000"/>
          <w:szCs w:val="22"/>
        </w:rPr>
      </w:pPr>
    </w:p>
    <w:p w14:paraId="34633413" w14:textId="77777777" w:rsidR="008A1D3C" w:rsidRPr="00B24A80" w:rsidRDefault="008A1D3C" w:rsidP="008A1D3C">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27C05BAD" w14:textId="4CFF6B7E"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Ocupación de espacios públicos. -</w:t>
      </w:r>
      <w:r w:rsidRPr="00B24A80">
        <w:rPr>
          <w:rFonts w:asciiTheme="majorHAnsi" w:eastAsia="Calibri" w:hAnsiTheme="majorHAnsi" w:cstheme="majorHAnsi"/>
          <w:color w:val="000000"/>
          <w:szCs w:val="22"/>
        </w:rPr>
        <w:t xml:space="preserve"> Los que ocupen la vía o espacios públicos con materiales, equipos, construcciones o cerramientos temporales, sin contar con el permiso correspondiente, serán sancionados con multa equivalente al 50% de la remuneración salarial unificada (RBU), sin perjuicio de que el Comisario ordene el desalojo de materiales y equipos y la demolición de las construcciones. Además, se considerará la normativa vigente en la Ordenanza sustitutiva que reglamenta el uso del espacio y vía pública en el cantón </w:t>
      </w:r>
      <w:r w:rsidR="00E30701" w:rsidRPr="00B24A80">
        <w:rPr>
          <w:rFonts w:asciiTheme="majorHAnsi" w:eastAsia="Calibri" w:hAnsiTheme="majorHAnsi" w:cstheme="majorHAnsi"/>
          <w:color w:val="25282C"/>
          <w:szCs w:val="22"/>
        </w:rPr>
        <w:t>La Joya de los Sachas</w:t>
      </w:r>
      <w:r w:rsidRPr="00B24A80">
        <w:rPr>
          <w:rFonts w:asciiTheme="majorHAnsi" w:eastAsia="Calibri" w:hAnsiTheme="majorHAnsi" w:cstheme="majorHAnsi"/>
          <w:color w:val="000000"/>
          <w:szCs w:val="22"/>
        </w:rPr>
        <w:t>.</w:t>
      </w:r>
    </w:p>
    <w:p w14:paraId="7E6AB209" w14:textId="77777777" w:rsidR="008A1D3C" w:rsidRPr="00B24A80" w:rsidRDefault="008A1D3C" w:rsidP="008A1D3C">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1989BCAA" w14:textId="6648B501"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Falta de permiso de trabajos varios. -</w:t>
      </w:r>
      <w:r w:rsidRPr="00B24A80">
        <w:rPr>
          <w:rFonts w:asciiTheme="majorHAnsi" w:eastAsia="Calibri" w:hAnsiTheme="majorHAnsi" w:cstheme="majorHAnsi"/>
          <w:color w:val="000000"/>
          <w:szCs w:val="22"/>
        </w:rPr>
        <w:t xml:space="preserve"> Los que no hubieren obtenido el permiso de trabajos varios, o no hubieren cumplido con lo autorizado por el permiso, serán sancionados con multa equivalente</w:t>
      </w:r>
      <w:r w:rsidR="00282D13" w:rsidRPr="00B24A80">
        <w:rPr>
          <w:rFonts w:asciiTheme="majorHAnsi" w:eastAsia="Calibri" w:hAnsiTheme="majorHAnsi" w:cstheme="majorHAnsi"/>
          <w:color w:val="000000"/>
          <w:szCs w:val="22"/>
        </w:rPr>
        <w:t xml:space="preserve"> al 25% de la remuneración Básica unificada (RB</w:t>
      </w:r>
      <w:r w:rsidRPr="00B24A80">
        <w:rPr>
          <w:rFonts w:asciiTheme="majorHAnsi" w:eastAsia="Calibri" w:hAnsiTheme="majorHAnsi" w:cstheme="majorHAnsi"/>
          <w:color w:val="000000"/>
          <w:szCs w:val="22"/>
        </w:rPr>
        <w:t>U), sin perjuicio de que, en caso de atentar contra las normas de zonificación, el Comisario ordene la demolición de la construcción.</w:t>
      </w:r>
    </w:p>
    <w:p w14:paraId="0E54D9C8" w14:textId="6FE42605" w:rsidR="008A1D3C" w:rsidRPr="00B24A80" w:rsidRDefault="008A1D3C" w:rsidP="008A1D3C">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4177DCE" w14:textId="2FDE5784"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szCs w:val="22"/>
        </w:rPr>
        <w:t xml:space="preserve"> </w:t>
      </w:r>
      <w:r w:rsidRPr="00B24A80">
        <w:rPr>
          <w:rFonts w:asciiTheme="majorHAnsi" w:eastAsia="Calibri" w:hAnsiTheme="majorHAnsi" w:cstheme="majorHAnsi"/>
          <w:b/>
          <w:color w:val="000000"/>
          <w:szCs w:val="22"/>
        </w:rPr>
        <w:t>Permiso de habitabilidad. -</w:t>
      </w:r>
      <w:r w:rsidRPr="00B24A80">
        <w:rPr>
          <w:rFonts w:asciiTheme="majorHAnsi" w:eastAsia="Calibri" w:hAnsiTheme="majorHAnsi" w:cstheme="majorHAnsi"/>
          <w:color w:val="000000"/>
          <w:szCs w:val="22"/>
        </w:rPr>
        <w:t xml:space="preserve"> El propietario o constructor que no hubiere obtenido el permiso de habitabilidad, será sancionado con la retención del 50 % del fondo de garantía que haya otorgado a favor del Municipio hasta que presente el permiso respectivo.</w:t>
      </w:r>
    </w:p>
    <w:p w14:paraId="1B6F4C45" w14:textId="77777777" w:rsidR="008A1D3C" w:rsidRPr="00B24A80" w:rsidRDefault="008A1D3C" w:rsidP="008A1D3C">
      <w:pPr>
        <w:pStyle w:val="Prrafodelista"/>
        <w:rPr>
          <w:rFonts w:asciiTheme="majorHAnsi" w:eastAsia="Calibri" w:hAnsiTheme="majorHAnsi" w:cstheme="majorHAnsi"/>
          <w:color w:val="000000"/>
          <w:szCs w:val="22"/>
        </w:rPr>
      </w:pPr>
    </w:p>
    <w:p w14:paraId="7FD03D3D" w14:textId="77777777" w:rsidR="008A1D3C" w:rsidRPr="00B24A80" w:rsidRDefault="008A1D3C" w:rsidP="008A1D3C">
      <w:pPr>
        <w:pStyle w:val="Prrafodelista"/>
        <w:widowControl/>
        <w:tabs>
          <w:tab w:val="left" w:pos="851"/>
        </w:tabs>
        <w:spacing w:after="240" w:line="276" w:lineRule="auto"/>
        <w:ind w:left="0" w:right="-100"/>
        <w:rPr>
          <w:rFonts w:asciiTheme="majorHAnsi" w:eastAsia="Calibri" w:hAnsiTheme="majorHAnsi" w:cstheme="majorHAnsi"/>
          <w:color w:val="000000"/>
          <w:szCs w:val="22"/>
        </w:rPr>
      </w:pPr>
    </w:p>
    <w:p w14:paraId="5C58C949" w14:textId="5C1C0E24" w:rsidR="00090B24"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Calibri" w:hAnsiTheme="majorHAnsi" w:cstheme="majorHAnsi"/>
          <w:color w:val="000000"/>
          <w:szCs w:val="22"/>
        </w:rPr>
      </w:pPr>
      <w:r w:rsidRPr="00B24A80">
        <w:rPr>
          <w:rFonts w:asciiTheme="majorHAnsi" w:eastAsia="Calibri" w:hAnsiTheme="majorHAnsi" w:cstheme="majorHAnsi"/>
          <w:b/>
          <w:color w:val="000000"/>
          <w:szCs w:val="22"/>
        </w:rPr>
        <w:t>Otras infracciones. -</w:t>
      </w:r>
      <w:r w:rsidRPr="00B24A80">
        <w:rPr>
          <w:rFonts w:asciiTheme="majorHAnsi" w:eastAsia="Calibri" w:hAnsiTheme="majorHAnsi" w:cstheme="majorHAnsi"/>
          <w:color w:val="000000"/>
          <w:szCs w:val="22"/>
        </w:rPr>
        <w:t xml:space="preserve"> a continuación, se detalla una matriz de Sanciones co</w:t>
      </w:r>
      <w:r w:rsidR="00BE73A5" w:rsidRPr="00B24A80">
        <w:rPr>
          <w:rFonts w:asciiTheme="majorHAnsi" w:eastAsia="Calibri" w:hAnsiTheme="majorHAnsi" w:cstheme="majorHAnsi"/>
          <w:color w:val="000000"/>
          <w:szCs w:val="22"/>
        </w:rPr>
        <w:t>n</w:t>
      </w:r>
      <w:r w:rsidRPr="00B24A80">
        <w:rPr>
          <w:rFonts w:asciiTheme="majorHAnsi" w:eastAsia="Calibri" w:hAnsiTheme="majorHAnsi" w:cstheme="majorHAnsi"/>
          <w:color w:val="000000"/>
          <w:szCs w:val="22"/>
        </w:rPr>
        <w:t xml:space="preserve"> sus respectivas medidas de corrección: </w:t>
      </w:r>
    </w:p>
    <w:p w14:paraId="685EB4C9" w14:textId="519CAA8D" w:rsidR="003A597A" w:rsidRPr="00B24A80" w:rsidRDefault="003A597A" w:rsidP="003A597A">
      <w:pPr>
        <w:pStyle w:val="Descripcin"/>
        <w:rPr>
          <w:rFonts w:cstheme="majorHAnsi"/>
          <w:sz w:val="22"/>
          <w:szCs w:val="22"/>
        </w:rPr>
      </w:pPr>
      <w:bookmarkStart w:id="408" w:name="_Toc81085735"/>
      <w:r w:rsidRPr="00B24A80">
        <w:rPr>
          <w:rFonts w:cstheme="majorHAnsi"/>
          <w:sz w:val="22"/>
          <w:szCs w:val="22"/>
        </w:rPr>
        <w:t xml:space="preserve">Tabla </w:t>
      </w:r>
      <w:r w:rsidR="00203216" w:rsidRPr="00B24A80">
        <w:rPr>
          <w:rFonts w:cstheme="majorHAnsi"/>
          <w:sz w:val="22"/>
          <w:szCs w:val="22"/>
        </w:rPr>
        <w:fldChar w:fldCharType="begin"/>
      </w:r>
      <w:r w:rsidR="00203216" w:rsidRPr="00B24A80">
        <w:rPr>
          <w:rFonts w:cstheme="majorHAnsi"/>
          <w:sz w:val="22"/>
          <w:szCs w:val="22"/>
        </w:rPr>
        <w:instrText xml:space="preserve"> SEQ Tabla \* ARABIC </w:instrText>
      </w:r>
      <w:r w:rsidR="00203216" w:rsidRPr="00B24A80">
        <w:rPr>
          <w:rFonts w:cstheme="majorHAnsi"/>
          <w:sz w:val="22"/>
          <w:szCs w:val="22"/>
        </w:rPr>
        <w:fldChar w:fldCharType="separate"/>
      </w:r>
      <w:r w:rsidR="00F53605">
        <w:rPr>
          <w:rFonts w:cstheme="majorHAnsi"/>
          <w:noProof/>
          <w:sz w:val="22"/>
          <w:szCs w:val="22"/>
        </w:rPr>
        <w:t>22</w:t>
      </w:r>
      <w:r w:rsidR="00203216" w:rsidRPr="00B24A80">
        <w:rPr>
          <w:rFonts w:cstheme="majorHAnsi"/>
          <w:noProof/>
          <w:sz w:val="22"/>
          <w:szCs w:val="22"/>
        </w:rPr>
        <w:fldChar w:fldCharType="end"/>
      </w:r>
      <w:r w:rsidRPr="00B24A80">
        <w:rPr>
          <w:rFonts w:cstheme="majorHAnsi"/>
          <w:sz w:val="22"/>
          <w:szCs w:val="22"/>
        </w:rPr>
        <w:t>. Matriz de sanciones</w:t>
      </w:r>
      <w:bookmarkEnd w:id="408"/>
      <w:r w:rsidR="00EC4B03" w:rsidRPr="00B24A80">
        <w:rPr>
          <w:rFonts w:cstheme="majorHAnsi"/>
          <w:sz w:val="22"/>
          <w:szCs w:val="22"/>
        </w:rPr>
        <w:t xml:space="preserve"> </w:t>
      </w:r>
    </w:p>
    <w:tbl>
      <w:tblPr>
        <w:tblStyle w:val="affffff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851"/>
        <w:gridCol w:w="1417"/>
        <w:gridCol w:w="3390"/>
      </w:tblGrid>
      <w:tr w:rsidR="00DC27E8" w:rsidRPr="00B24A80" w14:paraId="571764D3" w14:textId="77777777" w:rsidTr="00F7338C">
        <w:trPr>
          <w:trHeight w:val="20"/>
          <w:jc w:val="center"/>
        </w:trPr>
        <w:tc>
          <w:tcPr>
            <w:tcW w:w="2830" w:type="dxa"/>
            <w:shd w:val="clear" w:color="auto" w:fill="auto"/>
            <w:tcMar>
              <w:left w:w="28" w:type="dxa"/>
              <w:right w:w="28" w:type="dxa"/>
            </w:tcMar>
            <w:vAlign w:val="center"/>
          </w:tcPr>
          <w:p w14:paraId="3318BE31" w14:textId="77777777" w:rsidR="00DC27E8" w:rsidRPr="00B24A80" w:rsidRDefault="007F5505" w:rsidP="008A1D3C">
            <w:pPr>
              <w:pBdr>
                <w:top w:val="nil"/>
                <w:left w:val="nil"/>
                <w:bottom w:val="nil"/>
                <w:right w:val="nil"/>
                <w:between w:val="nil"/>
              </w:pBdr>
              <w:jc w:val="center"/>
              <w:rPr>
                <w:rFonts w:asciiTheme="majorHAnsi" w:eastAsia="Calibri" w:hAnsiTheme="majorHAnsi" w:cstheme="majorHAnsi"/>
                <w:color w:val="000000"/>
              </w:rPr>
            </w:pPr>
            <w:r w:rsidRPr="00B24A80">
              <w:rPr>
                <w:rFonts w:asciiTheme="majorHAnsi" w:eastAsia="Calibri" w:hAnsiTheme="majorHAnsi" w:cstheme="majorHAnsi"/>
                <w:b/>
                <w:color w:val="000000"/>
              </w:rPr>
              <w:t>INFRACCIONES EN URBANIZACIONES.</w:t>
            </w:r>
          </w:p>
        </w:tc>
        <w:tc>
          <w:tcPr>
            <w:tcW w:w="851" w:type="dxa"/>
            <w:shd w:val="clear" w:color="auto" w:fill="auto"/>
            <w:tcMar>
              <w:left w:w="28" w:type="dxa"/>
              <w:right w:w="28" w:type="dxa"/>
            </w:tcMar>
            <w:vAlign w:val="center"/>
          </w:tcPr>
          <w:p w14:paraId="574532D8" w14:textId="77777777" w:rsidR="00DC27E8" w:rsidRPr="00B24A80" w:rsidRDefault="007F5505" w:rsidP="008A1D3C">
            <w:pPr>
              <w:pBdr>
                <w:top w:val="nil"/>
                <w:left w:val="nil"/>
                <w:bottom w:val="nil"/>
                <w:right w:val="nil"/>
                <w:between w:val="nil"/>
              </w:pBdr>
              <w:jc w:val="center"/>
              <w:rPr>
                <w:rFonts w:asciiTheme="majorHAnsi" w:eastAsia="Calibri" w:hAnsiTheme="majorHAnsi" w:cstheme="majorHAnsi"/>
                <w:color w:val="000000"/>
              </w:rPr>
            </w:pPr>
            <w:r w:rsidRPr="00B24A80">
              <w:rPr>
                <w:rFonts w:asciiTheme="majorHAnsi" w:eastAsia="Calibri" w:hAnsiTheme="majorHAnsi" w:cstheme="majorHAnsi"/>
                <w:b/>
                <w:color w:val="000000"/>
              </w:rPr>
              <w:t>TIPO</w:t>
            </w:r>
          </w:p>
        </w:tc>
        <w:tc>
          <w:tcPr>
            <w:tcW w:w="1417" w:type="dxa"/>
            <w:shd w:val="clear" w:color="auto" w:fill="auto"/>
            <w:tcMar>
              <w:left w:w="28" w:type="dxa"/>
              <w:right w:w="28" w:type="dxa"/>
            </w:tcMar>
            <w:vAlign w:val="center"/>
          </w:tcPr>
          <w:p w14:paraId="14BC6888" w14:textId="77777777" w:rsidR="00DC27E8" w:rsidRPr="00B24A80" w:rsidRDefault="007F5505" w:rsidP="008A1D3C">
            <w:pPr>
              <w:pBdr>
                <w:top w:val="nil"/>
                <w:left w:val="nil"/>
                <w:bottom w:val="nil"/>
                <w:right w:val="nil"/>
                <w:between w:val="nil"/>
              </w:pBdr>
              <w:jc w:val="center"/>
              <w:rPr>
                <w:rFonts w:asciiTheme="majorHAnsi" w:eastAsia="Calibri" w:hAnsiTheme="majorHAnsi" w:cstheme="majorHAnsi"/>
                <w:color w:val="000000"/>
              </w:rPr>
            </w:pPr>
            <w:r w:rsidRPr="00B24A80">
              <w:rPr>
                <w:rFonts w:asciiTheme="majorHAnsi" w:eastAsia="Calibri" w:hAnsiTheme="majorHAnsi" w:cstheme="majorHAnsi"/>
                <w:b/>
                <w:color w:val="000000"/>
              </w:rPr>
              <w:t>SANCION</w:t>
            </w:r>
          </w:p>
        </w:tc>
        <w:tc>
          <w:tcPr>
            <w:tcW w:w="3390" w:type="dxa"/>
            <w:shd w:val="clear" w:color="auto" w:fill="auto"/>
            <w:tcMar>
              <w:left w:w="28" w:type="dxa"/>
              <w:right w:w="28" w:type="dxa"/>
            </w:tcMar>
            <w:vAlign w:val="center"/>
          </w:tcPr>
          <w:p w14:paraId="1B02D7A4" w14:textId="77777777" w:rsidR="00DC27E8" w:rsidRPr="00B24A80" w:rsidRDefault="007F5505" w:rsidP="008A1D3C">
            <w:pPr>
              <w:pBdr>
                <w:top w:val="nil"/>
                <w:left w:val="nil"/>
                <w:bottom w:val="nil"/>
                <w:right w:val="nil"/>
                <w:between w:val="nil"/>
              </w:pBdr>
              <w:ind w:left="1840"/>
              <w:jc w:val="center"/>
              <w:rPr>
                <w:rFonts w:asciiTheme="majorHAnsi" w:eastAsia="Calibri" w:hAnsiTheme="majorHAnsi" w:cstheme="majorHAnsi"/>
                <w:color w:val="000000"/>
              </w:rPr>
            </w:pPr>
            <w:r w:rsidRPr="00B24A80">
              <w:rPr>
                <w:rFonts w:asciiTheme="majorHAnsi" w:eastAsia="Calibri" w:hAnsiTheme="majorHAnsi" w:cstheme="majorHAnsi"/>
                <w:b/>
                <w:color w:val="000000"/>
              </w:rPr>
              <w:t>MEDIDAS DE CORRECCION</w:t>
            </w:r>
          </w:p>
        </w:tc>
      </w:tr>
      <w:tr w:rsidR="00DC27E8" w:rsidRPr="00B24A80" w14:paraId="544FAF81" w14:textId="77777777" w:rsidTr="00F7338C">
        <w:trPr>
          <w:trHeight w:val="20"/>
          <w:jc w:val="center"/>
        </w:trPr>
        <w:tc>
          <w:tcPr>
            <w:tcW w:w="2830" w:type="dxa"/>
            <w:shd w:val="clear" w:color="auto" w:fill="auto"/>
            <w:tcMar>
              <w:left w:w="28" w:type="dxa"/>
              <w:right w:w="28" w:type="dxa"/>
            </w:tcMar>
            <w:vAlign w:val="center"/>
          </w:tcPr>
          <w:p w14:paraId="3783DFF9"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Obstaculización de inspecciones municipales.</w:t>
            </w:r>
          </w:p>
        </w:tc>
        <w:tc>
          <w:tcPr>
            <w:tcW w:w="851" w:type="dxa"/>
            <w:shd w:val="clear" w:color="auto" w:fill="auto"/>
            <w:tcMar>
              <w:left w:w="28" w:type="dxa"/>
              <w:right w:w="28" w:type="dxa"/>
            </w:tcMar>
            <w:vAlign w:val="center"/>
          </w:tcPr>
          <w:p w14:paraId="59342DD2"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41CEAD60" w14:textId="00389422" w:rsidR="00DC27E8" w:rsidRPr="00B24A80" w:rsidRDefault="00EC4B03"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10%</w:t>
            </w:r>
            <w:r w:rsidR="007F5505" w:rsidRPr="00B24A80">
              <w:rPr>
                <w:rFonts w:asciiTheme="majorHAnsi" w:eastAsia="Calibri" w:hAnsiTheme="majorHAnsi" w:cstheme="majorHAnsi"/>
                <w:color w:val="000000"/>
              </w:rPr>
              <w:t xml:space="preserve"> RBU.</w:t>
            </w:r>
          </w:p>
        </w:tc>
        <w:tc>
          <w:tcPr>
            <w:tcW w:w="3390" w:type="dxa"/>
            <w:shd w:val="clear" w:color="auto" w:fill="auto"/>
            <w:tcMar>
              <w:left w:w="28" w:type="dxa"/>
              <w:right w:w="28" w:type="dxa"/>
            </w:tcMar>
            <w:vAlign w:val="center"/>
          </w:tcPr>
          <w:p w14:paraId="30DE1EC8"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de la obra.</w:t>
            </w:r>
          </w:p>
        </w:tc>
      </w:tr>
      <w:tr w:rsidR="00DC27E8" w:rsidRPr="00B24A80" w14:paraId="2C09A9CF" w14:textId="77777777" w:rsidTr="00F7338C">
        <w:trPr>
          <w:trHeight w:val="20"/>
          <w:jc w:val="center"/>
        </w:trPr>
        <w:tc>
          <w:tcPr>
            <w:tcW w:w="2830" w:type="dxa"/>
            <w:shd w:val="clear" w:color="auto" w:fill="auto"/>
            <w:tcMar>
              <w:left w:w="28" w:type="dxa"/>
              <w:right w:w="28" w:type="dxa"/>
            </w:tcMar>
            <w:vAlign w:val="center"/>
          </w:tcPr>
          <w:p w14:paraId="100CC155"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 xml:space="preserve">Comercialización de lotes en urbanizaciones o </w:t>
            </w:r>
            <w:r w:rsidRPr="00B24A80">
              <w:rPr>
                <w:rFonts w:asciiTheme="majorHAnsi" w:eastAsia="Calibri" w:hAnsiTheme="majorHAnsi" w:cstheme="majorHAnsi"/>
                <w:color w:val="000000"/>
              </w:rPr>
              <w:lastRenderedPageBreak/>
              <w:t>fraccionamientos, que no cuenten con los respectivos permisos o autorizaciones.</w:t>
            </w:r>
          </w:p>
        </w:tc>
        <w:tc>
          <w:tcPr>
            <w:tcW w:w="851" w:type="dxa"/>
            <w:shd w:val="clear" w:color="auto" w:fill="auto"/>
            <w:tcMar>
              <w:left w:w="28" w:type="dxa"/>
              <w:right w:w="28" w:type="dxa"/>
            </w:tcMar>
            <w:vAlign w:val="center"/>
          </w:tcPr>
          <w:p w14:paraId="546188B5"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lastRenderedPageBreak/>
              <w:t>GRAVE</w:t>
            </w:r>
          </w:p>
        </w:tc>
        <w:tc>
          <w:tcPr>
            <w:tcW w:w="1417" w:type="dxa"/>
            <w:shd w:val="clear" w:color="auto" w:fill="auto"/>
            <w:tcMar>
              <w:left w:w="28" w:type="dxa"/>
              <w:right w:w="28" w:type="dxa"/>
            </w:tcMar>
            <w:vAlign w:val="center"/>
          </w:tcPr>
          <w:p w14:paraId="3CC675C0" w14:textId="2DC564C3" w:rsidR="00DC27E8" w:rsidRPr="00B24A80" w:rsidRDefault="004E5AC2"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6</w:t>
            </w:r>
            <w:r w:rsidR="007F5505" w:rsidRPr="00B24A80">
              <w:rPr>
                <w:rFonts w:asciiTheme="majorHAnsi" w:eastAsia="Calibri" w:hAnsiTheme="majorHAnsi" w:cstheme="majorHAnsi"/>
                <w:color w:val="000000"/>
              </w:rPr>
              <w:t>0 RBU</w:t>
            </w:r>
          </w:p>
        </w:tc>
        <w:tc>
          <w:tcPr>
            <w:tcW w:w="3390" w:type="dxa"/>
            <w:shd w:val="clear" w:color="auto" w:fill="auto"/>
            <w:tcMar>
              <w:left w:w="28" w:type="dxa"/>
              <w:right w:w="28" w:type="dxa"/>
            </w:tcMar>
            <w:vAlign w:val="center"/>
          </w:tcPr>
          <w:p w14:paraId="24A0131B"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 xml:space="preserve">Suspensión inmediata de venta de los bienes. Obtención de permisos </w:t>
            </w:r>
            <w:r w:rsidRPr="00B24A80">
              <w:rPr>
                <w:rFonts w:asciiTheme="majorHAnsi" w:eastAsia="Calibri" w:hAnsiTheme="majorHAnsi" w:cstheme="majorHAnsi"/>
                <w:color w:val="000000"/>
              </w:rPr>
              <w:lastRenderedPageBreak/>
              <w:t>correspondientes. Cumplimiento de obras de infraestructura.</w:t>
            </w:r>
          </w:p>
        </w:tc>
      </w:tr>
      <w:tr w:rsidR="00DC27E8" w:rsidRPr="00B24A80" w14:paraId="38D5F870" w14:textId="77777777" w:rsidTr="00F7338C">
        <w:trPr>
          <w:trHeight w:val="20"/>
          <w:jc w:val="center"/>
        </w:trPr>
        <w:tc>
          <w:tcPr>
            <w:tcW w:w="2830" w:type="dxa"/>
            <w:shd w:val="clear" w:color="auto" w:fill="auto"/>
            <w:tcMar>
              <w:left w:w="28" w:type="dxa"/>
              <w:right w:w="28" w:type="dxa"/>
            </w:tcMar>
            <w:vAlign w:val="center"/>
          </w:tcPr>
          <w:p w14:paraId="789BDCB5"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lastRenderedPageBreak/>
              <w:t>Comercialización de lotes en Urbanizaciones que no respetan las normas de zonificación.</w:t>
            </w:r>
          </w:p>
        </w:tc>
        <w:tc>
          <w:tcPr>
            <w:tcW w:w="851" w:type="dxa"/>
            <w:shd w:val="clear" w:color="auto" w:fill="auto"/>
            <w:tcMar>
              <w:left w:w="28" w:type="dxa"/>
              <w:right w:w="28" w:type="dxa"/>
            </w:tcMar>
            <w:vAlign w:val="center"/>
          </w:tcPr>
          <w:p w14:paraId="0E6EF7A7"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GRAVE</w:t>
            </w:r>
          </w:p>
        </w:tc>
        <w:tc>
          <w:tcPr>
            <w:tcW w:w="1417" w:type="dxa"/>
            <w:shd w:val="clear" w:color="auto" w:fill="auto"/>
            <w:tcMar>
              <w:left w:w="28" w:type="dxa"/>
              <w:right w:w="28" w:type="dxa"/>
            </w:tcMar>
            <w:vAlign w:val="center"/>
          </w:tcPr>
          <w:p w14:paraId="521F8AB9"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60 RBU</w:t>
            </w:r>
          </w:p>
        </w:tc>
        <w:tc>
          <w:tcPr>
            <w:tcW w:w="3390" w:type="dxa"/>
            <w:shd w:val="clear" w:color="auto" w:fill="auto"/>
            <w:tcMar>
              <w:left w:w="28" w:type="dxa"/>
              <w:right w:w="28" w:type="dxa"/>
            </w:tcMar>
            <w:vAlign w:val="center"/>
          </w:tcPr>
          <w:p w14:paraId="1F19B8DF"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inmediata de venta de los bienes. Restitución y cumplimiento de las normas de zonificación.</w:t>
            </w:r>
          </w:p>
        </w:tc>
      </w:tr>
      <w:tr w:rsidR="00DC27E8" w:rsidRPr="00B24A80" w14:paraId="3CD37E1D" w14:textId="77777777" w:rsidTr="00F7338C">
        <w:trPr>
          <w:trHeight w:val="20"/>
          <w:jc w:val="center"/>
        </w:trPr>
        <w:tc>
          <w:tcPr>
            <w:tcW w:w="2830" w:type="dxa"/>
            <w:shd w:val="clear" w:color="auto" w:fill="auto"/>
            <w:tcMar>
              <w:left w:w="28" w:type="dxa"/>
              <w:right w:w="28" w:type="dxa"/>
            </w:tcMar>
            <w:vAlign w:val="center"/>
          </w:tcPr>
          <w:p w14:paraId="03A8A7B9"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Ejecución de obras de infraestructura sin autorización y que causen daños en bienes protegidos, o que supongan un riesgo para la integridad física de las personas.</w:t>
            </w:r>
          </w:p>
        </w:tc>
        <w:tc>
          <w:tcPr>
            <w:tcW w:w="851" w:type="dxa"/>
            <w:shd w:val="clear" w:color="auto" w:fill="auto"/>
            <w:tcMar>
              <w:left w:w="28" w:type="dxa"/>
              <w:right w:w="28" w:type="dxa"/>
            </w:tcMar>
            <w:vAlign w:val="center"/>
          </w:tcPr>
          <w:p w14:paraId="78371F2C"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GRAVE</w:t>
            </w:r>
          </w:p>
        </w:tc>
        <w:tc>
          <w:tcPr>
            <w:tcW w:w="1417" w:type="dxa"/>
            <w:shd w:val="clear" w:color="auto" w:fill="auto"/>
            <w:tcMar>
              <w:left w:w="28" w:type="dxa"/>
              <w:right w:w="28" w:type="dxa"/>
            </w:tcMar>
            <w:vAlign w:val="center"/>
          </w:tcPr>
          <w:p w14:paraId="75B3D94F"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50 RBU</w:t>
            </w:r>
          </w:p>
        </w:tc>
        <w:tc>
          <w:tcPr>
            <w:tcW w:w="3390" w:type="dxa"/>
            <w:shd w:val="clear" w:color="auto" w:fill="auto"/>
            <w:tcMar>
              <w:left w:w="28" w:type="dxa"/>
              <w:right w:w="28" w:type="dxa"/>
            </w:tcMar>
            <w:vAlign w:val="center"/>
          </w:tcPr>
          <w:p w14:paraId="0FA4B57F"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inmediata de trabajos. Reposición de daños. Restitución de bienes a su estado original.</w:t>
            </w:r>
          </w:p>
        </w:tc>
      </w:tr>
      <w:tr w:rsidR="00DC27E8" w:rsidRPr="00B24A80" w14:paraId="345CD87B" w14:textId="77777777" w:rsidTr="00F7338C">
        <w:trPr>
          <w:trHeight w:val="20"/>
          <w:jc w:val="center"/>
        </w:trPr>
        <w:tc>
          <w:tcPr>
            <w:tcW w:w="2830" w:type="dxa"/>
            <w:shd w:val="clear" w:color="auto" w:fill="auto"/>
            <w:tcMar>
              <w:left w:w="28" w:type="dxa"/>
              <w:right w:w="28" w:type="dxa"/>
            </w:tcMar>
            <w:vAlign w:val="center"/>
          </w:tcPr>
          <w:p w14:paraId="1899E220" w14:textId="77777777" w:rsidR="00DC27E8" w:rsidRPr="00B24A80" w:rsidRDefault="007F5505" w:rsidP="00F7338C">
            <w:pPr>
              <w:pBdr>
                <w:top w:val="nil"/>
                <w:left w:val="nil"/>
                <w:bottom w:val="nil"/>
                <w:right w:val="nil"/>
                <w:between w:val="nil"/>
              </w:pBdr>
              <w:spacing w:before="120"/>
              <w:rPr>
                <w:rFonts w:asciiTheme="majorHAnsi" w:eastAsia="Calibri" w:hAnsiTheme="majorHAnsi" w:cstheme="majorHAnsi"/>
                <w:color w:val="000000"/>
              </w:rPr>
            </w:pPr>
            <w:r w:rsidRPr="00B24A80">
              <w:rPr>
                <w:rFonts w:asciiTheme="majorHAnsi" w:eastAsia="Calibri" w:hAnsiTheme="majorHAnsi" w:cstheme="majorHAnsi"/>
                <w:color w:val="000000"/>
              </w:rPr>
              <w:t>Incumplimiento en la ejecución de obras de infraestructura necesarias en un proceso de urbanización.</w:t>
            </w:r>
          </w:p>
        </w:tc>
        <w:tc>
          <w:tcPr>
            <w:tcW w:w="851" w:type="dxa"/>
            <w:shd w:val="clear" w:color="auto" w:fill="auto"/>
            <w:tcMar>
              <w:left w:w="28" w:type="dxa"/>
              <w:right w:w="28" w:type="dxa"/>
            </w:tcMar>
            <w:vAlign w:val="center"/>
          </w:tcPr>
          <w:p w14:paraId="628492F4"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GRAVE</w:t>
            </w:r>
          </w:p>
        </w:tc>
        <w:tc>
          <w:tcPr>
            <w:tcW w:w="1417" w:type="dxa"/>
            <w:shd w:val="clear" w:color="auto" w:fill="auto"/>
            <w:tcMar>
              <w:left w:w="28" w:type="dxa"/>
              <w:right w:w="28" w:type="dxa"/>
            </w:tcMar>
            <w:vAlign w:val="center"/>
          </w:tcPr>
          <w:p w14:paraId="130696BA"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1 por mil del Presupuesto aprobado de la Urbanización,</w:t>
            </w:r>
          </w:p>
        </w:tc>
        <w:tc>
          <w:tcPr>
            <w:tcW w:w="3390" w:type="dxa"/>
            <w:shd w:val="clear" w:color="auto" w:fill="auto"/>
            <w:tcMar>
              <w:left w:w="28" w:type="dxa"/>
              <w:right w:w="28" w:type="dxa"/>
            </w:tcMar>
            <w:vAlign w:val="center"/>
          </w:tcPr>
          <w:p w14:paraId="7ED10940"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Cumplimiento de obras e infraestructura en un nuevo plazo establecido.</w:t>
            </w:r>
          </w:p>
        </w:tc>
      </w:tr>
      <w:tr w:rsidR="00DC27E8" w:rsidRPr="00B24A80" w14:paraId="6429F0F6" w14:textId="77777777" w:rsidTr="00F7338C">
        <w:trPr>
          <w:trHeight w:val="20"/>
          <w:jc w:val="center"/>
        </w:trPr>
        <w:tc>
          <w:tcPr>
            <w:tcW w:w="2830" w:type="dxa"/>
            <w:shd w:val="clear" w:color="auto" w:fill="auto"/>
            <w:tcMar>
              <w:left w:w="28" w:type="dxa"/>
              <w:right w:w="28" w:type="dxa"/>
            </w:tcMar>
            <w:vAlign w:val="center"/>
          </w:tcPr>
          <w:p w14:paraId="68E9C6D0"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Ejecución de obras que no se sujetan a las condiciones técnicas aprobadas en procesos de urbanizaciones o subdivisiones autorizados.</w:t>
            </w:r>
          </w:p>
        </w:tc>
        <w:tc>
          <w:tcPr>
            <w:tcW w:w="851" w:type="dxa"/>
            <w:shd w:val="clear" w:color="auto" w:fill="auto"/>
            <w:tcMar>
              <w:left w:w="28" w:type="dxa"/>
              <w:right w:w="28" w:type="dxa"/>
            </w:tcMar>
            <w:vAlign w:val="center"/>
          </w:tcPr>
          <w:p w14:paraId="6B7D1B7C"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399462E7"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5 RBU</w:t>
            </w:r>
          </w:p>
        </w:tc>
        <w:tc>
          <w:tcPr>
            <w:tcW w:w="3390" w:type="dxa"/>
            <w:shd w:val="clear" w:color="auto" w:fill="auto"/>
            <w:tcMar>
              <w:left w:w="28" w:type="dxa"/>
              <w:right w:w="28" w:type="dxa"/>
            </w:tcMar>
            <w:vAlign w:val="center"/>
          </w:tcPr>
          <w:p w14:paraId="0CA2FF54"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de obras, Restitución de obras a las condiciones técnicas establecidas.</w:t>
            </w:r>
          </w:p>
        </w:tc>
      </w:tr>
      <w:tr w:rsidR="00DC27E8" w:rsidRPr="00B24A80" w14:paraId="7206BE31" w14:textId="77777777" w:rsidTr="00F7338C">
        <w:trPr>
          <w:trHeight w:val="20"/>
          <w:jc w:val="center"/>
        </w:trPr>
        <w:tc>
          <w:tcPr>
            <w:tcW w:w="2830" w:type="dxa"/>
            <w:shd w:val="clear" w:color="auto" w:fill="auto"/>
            <w:tcMar>
              <w:left w:w="28" w:type="dxa"/>
              <w:right w:w="28" w:type="dxa"/>
            </w:tcMar>
            <w:vAlign w:val="center"/>
          </w:tcPr>
          <w:p w14:paraId="380DF718"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Fraccionamiento de terrenos sin Licencia Urbanística, que cumplan con la zonificación establecida,</w:t>
            </w:r>
          </w:p>
        </w:tc>
        <w:tc>
          <w:tcPr>
            <w:tcW w:w="851" w:type="dxa"/>
            <w:shd w:val="clear" w:color="auto" w:fill="auto"/>
            <w:tcMar>
              <w:left w:w="28" w:type="dxa"/>
              <w:right w:w="28" w:type="dxa"/>
            </w:tcMar>
            <w:vAlign w:val="center"/>
          </w:tcPr>
          <w:p w14:paraId="0ACD1283"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784BE74E" w14:textId="02F53FD3"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1</w:t>
            </w:r>
            <w:r w:rsidR="00343301" w:rsidRPr="00B24A80">
              <w:rPr>
                <w:rFonts w:asciiTheme="majorHAnsi" w:eastAsia="Calibri" w:hAnsiTheme="majorHAnsi" w:cstheme="majorHAnsi"/>
                <w:color w:val="000000"/>
              </w:rPr>
              <w:t>0</w:t>
            </w:r>
            <w:r w:rsidRPr="00B24A80">
              <w:rPr>
                <w:rFonts w:asciiTheme="majorHAnsi" w:eastAsia="Calibri" w:hAnsiTheme="majorHAnsi" w:cstheme="majorHAnsi"/>
                <w:color w:val="000000"/>
              </w:rPr>
              <w:t xml:space="preserve"> RBU</w:t>
            </w:r>
          </w:p>
        </w:tc>
        <w:tc>
          <w:tcPr>
            <w:tcW w:w="3390" w:type="dxa"/>
            <w:shd w:val="clear" w:color="auto" w:fill="auto"/>
            <w:tcMar>
              <w:left w:w="28" w:type="dxa"/>
              <w:right w:w="28" w:type="dxa"/>
            </w:tcMar>
            <w:vAlign w:val="center"/>
          </w:tcPr>
          <w:p w14:paraId="12F592A0"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Obtención de permisos correspondientes.</w:t>
            </w:r>
          </w:p>
        </w:tc>
      </w:tr>
      <w:tr w:rsidR="00DC27E8" w:rsidRPr="00B24A80" w14:paraId="2AD4A6D3" w14:textId="77777777" w:rsidTr="00F7338C">
        <w:trPr>
          <w:trHeight w:val="20"/>
          <w:jc w:val="center"/>
        </w:trPr>
        <w:tc>
          <w:tcPr>
            <w:tcW w:w="2830" w:type="dxa"/>
            <w:shd w:val="clear" w:color="auto" w:fill="auto"/>
            <w:tcMar>
              <w:left w:w="28" w:type="dxa"/>
              <w:right w:w="28" w:type="dxa"/>
            </w:tcMar>
            <w:vAlign w:val="center"/>
          </w:tcPr>
          <w:p w14:paraId="07BB553E"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Incumplimiento en asumir las cargas urbanísticas y las sesiones de suelo obligatorias como áreas verdes, vías y de equipamiento etc. que hayan sido de obligatorio cumplimiento.</w:t>
            </w:r>
          </w:p>
        </w:tc>
        <w:tc>
          <w:tcPr>
            <w:tcW w:w="851" w:type="dxa"/>
            <w:shd w:val="clear" w:color="auto" w:fill="auto"/>
            <w:tcMar>
              <w:left w:w="28" w:type="dxa"/>
              <w:right w:w="28" w:type="dxa"/>
            </w:tcMar>
            <w:vAlign w:val="center"/>
          </w:tcPr>
          <w:p w14:paraId="38C1CD51"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7DEE7330"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1 RBU</w:t>
            </w:r>
          </w:p>
        </w:tc>
        <w:tc>
          <w:tcPr>
            <w:tcW w:w="3390" w:type="dxa"/>
            <w:shd w:val="clear" w:color="auto" w:fill="auto"/>
            <w:tcMar>
              <w:left w:w="28" w:type="dxa"/>
              <w:right w:w="28" w:type="dxa"/>
            </w:tcMar>
            <w:vAlign w:val="center"/>
          </w:tcPr>
          <w:p w14:paraId="3FC605AD"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Reposición y cumplimiento de cargas urbanísticas establecidas</w:t>
            </w:r>
          </w:p>
        </w:tc>
      </w:tr>
      <w:tr w:rsidR="00DC27E8" w:rsidRPr="00B24A80" w14:paraId="0DE26E0C" w14:textId="77777777" w:rsidTr="00F7338C">
        <w:trPr>
          <w:trHeight w:val="20"/>
          <w:jc w:val="center"/>
        </w:trPr>
        <w:tc>
          <w:tcPr>
            <w:tcW w:w="2830" w:type="dxa"/>
            <w:shd w:val="clear" w:color="auto" w:fill="auto"/>
            <w:tcMar>
              <w:left w:w="28" w:type="dxa"/>
              <w:right w:w="28" w:type="dxa"/>
            </w:tcMar>
            <w:vAlign w:val="center"/>
          </w:tcPr>
          <w:p w14:paraId="3B10B27C"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Daños a bienes públicos durante el proceso de ejecución de obras y como consecuencia del mismo,</w:t>
            </w:r>
          </w:p>
        </w:tc>
        <w:tc>
          <w:tcPr>
            <w:tcW w:w="851" w:type="dxa"/>
            <w:shd w:val="clear" w:color="auto" w:fill="auto"/>
            <w:tcMar>
              <w:left w:w="28" w:type="dxa"/>
              <w:right w:w="28" w:type="dxa"/>
            </w:tcMar>
            <w:vAlign w:val="center"/>
          </w:tcPr>
          <w:p w14:paraId="0A9C23FB"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GRAVE</w:t>
            </w:r>
          </w:p>
        </w:tc>
        <w:tc>
          <w:tcPr>
            <w:tcW w:w="1417" w:type="dxa"/>
            <w:shd w:val="clear" w:color="auto" w:fill="auto"/>
            <w:tcMar>
              <w:left w:w="28" w:type="dxa"/>
              <w:right w:w="28" w:type="dxa"/>
            </w:tcMar>
            <w:vAlign w:val="center"/>
          </w:tcPr>
          <w:p w14:paraId="231CFB00"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50 RBU</w:t>
            </w:r>
          </w:p>
        </w:tc>
        <w:tc>
          <w:tcPr>
            <w:tcW w:w="3390" w:type="dxa"/>
            <w:shd w:val="clear" w:color="auto" w:fill="auto"/>
            <w:tcMar>
              <w:left w:w="28" w:type="dxa"/>
              <w:right w:w="28" w:type="dxa"/>
            </w:tcMar>
            <w:vAlign w:val="center"/>
          </w:tcPr>
          <w:p w14:paraId="29D5E5ED"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inmediata de trabajos. Reposición de bienes afectados,</w:t>
            </w:r>
          </w:p>
        </w:tc>
      </w:tr>
      <w:tr w:rsidR="00DC27E8" w:rsidRPr="00B24A80" w14:paraId="08D5CD45" w14:textId="77777777" w:rsidTr="00F7338C">
        <w:trPr>
          <w:trHeight w:val="20"/>
          <w:jc w:val="center"/>
        </w:trPr>
        <w:tc>
          <w:tcPr>
            <w:tcW w:w="2830" w:type="dxa"/>
            <w:shd w:val="clear" w:color="auto" w:fill="auto"/>
            <w:tcMar>
              <w:left w:w="28" w:type="dxa"/>
              <w:right w:w="28" w:type="dxa"/>
            </w:tcMar>
            <w:vAlign w:val="center"/>
          </w:tcPr>
          <w:p w14:paraId="42A477A2"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Incumplimiento del cronograma de ejecución de obras en urbanizaciones aprobadas,</w:t>
            </w:r>
          </w:p>
        </w:tc>
        <w:tc>
          <w:tcPr>
            <w:tcW w:w="851" w:type="dxa"/>
            <w:shd w:val="clear" w:color="auto" w:fill="auto"/>
            <w:tcMar>
              <w:left w:w="28" w:type="dxa"/>
              <w:right w:w="28" w:type="dxa"/>
            </w:tcMar>
            <w:vAlign w:val="center"/>
          </w:tcPr>
          <w:p w14:paraId="3A8E6150"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0337FD47"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1 RBU</w:t>
            </w:r>
          </w:p>
        </w:tc>
        <w:tc>
          <w:tcPr>
            <w:tcW w:w="3390" w:type="dxa"/>
            <w:shd w:val="clear" w:color="auto" w:fill="auto"/>
            <w:tcMar>
              <w:left w:w="28" w:type="dxa"/>
              <w:right w:w="28" w:type="dxa"/>
            </w:tcMar>
            <w:vAlign w:val="center"/>
          </w:tcPr>
          <w:p w14:paraId="15FC3DA6"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de trabajos. Obtención de nuevo plazo con su respectivo cronograma.</w:t>
            </w:r>
          </w:p>
        </w:tc>
      </w:tr>
      <w:tr w:rsidR="00DC27E8" w:rsidRPr="00B24A80" w14:paraId="44925FDC" w14:textId="77777777" w:rsidTr="00F7338C">
        <w:trPr>
          <w:trHeight w:val="20"/>
          <w:jc w:val="center"/>
        </w:trPr>
        <w:tc>
          <w:tcPr>
            <w:tcW w:w="2830" w:type="dxa"/>
            <w:shd w:val="clear" w:color="auto" w:fill="auto"/>
            <w:tcMar>
              <w:left w:w="28" w:type="dxa"/>
              <w:right w:w="28" w:type="dxa"/>
            </w:tcMar>
            <w:vAlign w:val="center"/>
          </w:tcPr>
          <w:p w14:paraId="0D3090E2"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Ocupación de espacio público sin la debida autorización con equipos, materiales y/o escombros.</w:t>
            </w:r>
          </w:p>
        </w:tc>
        <w:tc>
          <w:tcPr>
            <w:tcW w:w="851" w:type="dxa"/>
            <w:shd w:val="clear" w:color="auto" w:fill="auto"/>
            <w:tcMar>
              <w:left w:w="28" w:type="dxa"/>
              <w:right w:w="28" w:type="dxa"/>
            </w:tcMar>
            <w:vAlign w:val="center"/>
          </w:tcPr>
          <w:p w14:paraId="1B32E627"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0AB4148D"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0,1 RBU.</w:t>
            </w:r>
          </w:p>
        </w:tc>
        <w:tc>
          <w:tcPr>
            <w:tcW w:w="3390" w:type="dxa"/>
            <w:shd w:val="clear" w:color="auto" w:fill="auto"/>
            <w:tcMar>
              <w:left w:w="28" w:type="dxa"/>
              <w:right w:w="28" w:type="dxa"/>
            </w:tcMar>
            <w:vAlign w:val="center"/>
          </w:tcPr>
          <w:p w14:paraId="39852968"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Retiro de los equipos, materiales y/o escombros y limpieza del bien ocupado.</w:t>
            </w:r>
          </w:p>
        </w:tc>
      </w:tr>
      <w:tr w:rsidR="00DC27E8" w:rsidRPr="00B24A80" w14:paraId="427913F9" w14:textId="77777777" w:rsidTr="00F7338C">
        <w:trPr>
          <w:trHeight w:val="20"/>
          <w:jc w:val="center"/>
        </w:trPr>
        <w:tc>
          <w:tcPr>
            <w:tcW w:w="2830" w:type="dxa"/>
            <w:shd w:val="clear" w:color="auto" w:fill="auto"/>
            <w:tcMar>
              <w:left w:w="28" w:type="dxa"/>
              <w:right w:w="28" w:type="dxa"/>
            </w:tcMar>
            <w:vAlign w:val="center"/>
          </w:tcPr>
          <w:p w14:paraId="0BA212F2"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lastRenderedPageBreak/>
              <w:t>Edificación sobre franjas de protección de quebradas, ríos y áreas de riesgo y protección.</w:t>
            </w:r>
          </w:p>
        </w:tc>
        <w:tc>
          <w:tcPr>
            <w:tcW w:w="851" w:type="dxa"/>
            <w:shd w:val="clear" w:color="auto" w:fill="auto"/>
            <w:tcMar>
              <w:left w:w="28" w:type="dxa"/>
              <w:right w:w="28" w:type="dxa"/>
            </w:tcMar>
            <w:vAlign w:val="center"/>
          </w:tcPr>
          <w:p w14:paraId="63BD81EA"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GRAVE</w:t>
            </w:r>
          </w:p>
        </w:tc>
        <w:tc>
          <w:tcPr>
            <w:tcW w:w="1417" w:type="dxa"/>
            <w:shd w:val="clear" w:color="auto" w:fill="auto"/>
            <w:tcMar>
              <w:left w:w="28" w:type="dxa"/>
              <w:right w:w="28" w:type="dxa"/>
            </w:tcMar>
            <w:vAlign w:val="center"/>
          </w:tcPr>
          <w:p w14:paraId="782DCA17"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50 RBU</w:t>
            </w:r>
          </w:p>
        </w:tc>
        <w:tc>
          <w:tcPr>
            <w:tcW w:w="3390" w:type="dxa"/>
            <w:shd w:val="clear" w:color="auto" w:fill="auto"/>
            <w:tcMar>
              <w:left w:w="28" w:type="dxa"/>
              <w:right w:w="28" w:type="dxa"/>
            </w:tcMar>
            <w:vAlign w:val="center"/>
          </w:tcPr>
          <w:p w14:paraId="0FAEDDA1"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Suspensión inmediata de construcción, Retiro de la construcción y restitución del terreno a su estado anterior.</w:t>
            </w:r>
          </w:p>
        </w:tc>
      </w:tr>
      <w:tr w:rsidR="00DC27E8" w:rsidRPr="00B24A80" w14:paraId="4FB3CCE6" w14:textId="77777777" w:rsidTr="00F7338C">
        <w:trPr>
          <w:trHeight w:val="20"/>
          <w:jc w:val="center"/>
        </w:trPr>
        <w:tc>
          <w:tcPr>
            <w:tcW w:w="2830" w:type="dxa"/>
            <w:shd w:val="clear" w:color="auto" w:fill="auto"/>
            <w:tcMar>
              <w:left w:w="28" w:type="dxa"/>
              <w:right w:w="28" w:type="dxa"/>
            </w:tcMar>
            <w:vAlign w:val="center"/>
          </w:tcPr>
          <w:p w14:paraId="3A0010EC"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Construcciones sin el debido permiso.</w:t>
            </w:r>
          </w:p>
        </w:tc>
        <w:tc>
          <w:tcPr>
            <w:tcW w:w="851" w:type="dxa"/>
            <w:shd w:val="clear" w:color="auto" w:fill="auto"/>
            <w:tcMar>
              <w:left w:w="28" w:type="dxa"/>
              <w:right w:w="28" w:type="dxa"/>
            </w:tcMar>
            <w:vAlign w:val="center"/>
          </w:tcPr>
          <w:p w14:paraId="2F9602EE"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LEVE</w:t>
            </w:r>
          </w:p>
        </w:tc>
        <w:tc>
          <w:tcPr>
            <w:tcW w:w="1417" w:type="dxa"/>
            <w:shd w:val="clear" w:color="auto" w:fill="auto"/>
            <w:tcMar>
              <w:left w:w="28" w:type="dxa"/>
              <w:right w:w="28" w:type="dxa"/>
            </w:tcMar>
            <w:vAlign w:val="center"/>
          </w:tcPr>
          <w:p w14:paraId="28FB2C18" w14:textId="77777777" w:rsidR="00DC27E8" w:rsidRPr="00B24A80" w:rsidRDefault="007F5505" w:rsidP="00F7338C">
            <w:pPr>
              <w:pBdr>
                <w:top w:val="nil"/>
                <w:left w:val="nil"/>
                <w:bottom w:val="nil"/>
                <w:right w:val="nil"/>
                <w:between w:val="nil"/>
              </w:pBdr>
              <w:rPr>
                <w:rFonts w:asciiTheme="majorHAnsi" w:eastAsia="Calibri" w:hAnsiTheme="majorHAnsi" w:cstheme="majorHAnsi"/>
                <w:color w:val="000000"/>
              </w:rPr>
            </w:pPr>
            <w:r w:rsidRPr="00B24A80">
              <w:rPr>
                <w:rFonts w:asciiTheme="majorHAnsi" w:eastAsia="Calibri" w:hAnsiTheme="majorHAnsi" w:cstheme="majorHAnsi"/>
                <w:color w:val="000000"/>
              </w:rPr>
              <w:t>0,75 RBU</w:t>
            </w:r>
          </w:p>
        </w:tc>
        <w:tc>
          <w:tcPr>
            <w:tcW w:w="3390" w:type="dxa"/>
            <w:shd w:val="clear" w:color="auto" w:fill="auto"/>
            <w:tcMar>
              <w:left w:w="28" w:type="dxa"/>
              <w:right w:w="28" w:type="dxa"/>
            </w:tcMar>
            <w:vAlign w:val="center"/>
          </w:tcPr>
          <w:p w14:paraId="46D76112" w14:textId="5B8F0FA6" w:rsidR="00DC27E8" w:rsidRPr="00B24A80" w:rsidRDefault="007F5505" w:rsidP="00F7338C">
            <w:pPr>
              <w:pBdr>
                <w:top w:val="nil"/>
                <w:left w:val="nil"/>
                <w:bottom w:val="nil"/>
                <w:right w:val="nil"/>
                <w:between w:val="nil"/>
              </w:pBdr>
              <w:tabs>
                <w:tab w:val="left" w:pos="5131"/>
              </w:tabs>
              <w:rPr>
                <w:rFonts w:asciiTheme="majorHAnsi" w:eastAsia="Calibri" w:hAnsiTheme="majorHAnsi" w:cstheme="majorHAnsi"/>
                <w:color w:val="000000"/>
              </w:rPr>
            </w:pPr>
            <w:r w:rsidRPr="00B24A80">
              <w:rPr>
                <w:rFonts w:asciiTheme="majorHAnsi" w:eastAsia="Calibri" w:hAnsiTheme="majorHAnsi" w:cstheme="majorHAnsi"/>
                <w:color w:val="000000"/>
              </w:rPr>
              <w:t>Suspensión de trabajos. Obtención de l</w:t>
            </w:r>
            <w:r w:rsidR="003A597A" w:rsidRPr="00B24A80">
              <w:rPr>
                <w:rFonts w:asciiTheme="majorHAnsi" w:eastAsia="Calibri" w:hAnsiTheme="majorHAnsi" w:cstheme="majorHAnsi"/>
                <w:color w:val="000000"/>
              </w:rPr>
              <w:t>os permisos correspondientes,</w:t>
            </w:r>
          </w:p>
        </w:tc>
      </w:tr>
    </w:tbl>
    <w:p w14:paraId="4CF64229" w14:textId="6FA90A42" w:rsidR="00D3570B" w:rsidRPr="00B24A80" w:rsidRDefault="007F5505" w:rsidP="00D3570B">
      <w:pPr>
        <w:spacing w:line="276" w:lineRule="auto"/>
        <w:rPr>
          <w:rFonts w:asciiTheme="majorHAnsi" w:eastAsia="Calibri" w:hAnsiTheme="majorHAnsi" w:cstheme="majorHAnsi"/>
          <w:i/>
          <w:sz w:val="22"/>
          <w:szCs w:val="22"/>
        </w:rPr>
      </w:pPr>
      <w:r w:rsidRPr="00B24A80">
        <w:rPr>
          <w:rFonts w:asciiTheme="majorHAnsi" w:eastAsia="Calibri" w:hAnsiTheme="majorHAnsi" w:cstheme="majorHAnsi"/>
          <w:b/>
          <w:i/>
          <w:sz w:val="22"/>
          <w:szCs w:val="22"/>
        </w:rPr>
        <w:t>Fuente y Elaboración</w:t>
      </w:r>
      <w:r w:rsidRPr="00B24A80">
        <w:rPr>
          <w:rFonts w:asciiTheme="majorHAnsi" w:eastAsia="Calibri" w:hAnsiTheme="majorHAnsi" w:cstheme="majorHAnsi"/>
          <w:i/>
          <w:sz w:val="22"/>
          <w:szCs w:val="22"/>
        </w:rPr>
        <w:t>: Consultora TEAM SERCONSU S.A.</w:t>
      </w:r>
      <w:bookmarkStart w:id="409" w:name="_heading=h.sabnu4" w:colFirst="0" w:colLast="0"/>
      <w:bookmarkEnd w:id="409"/>
    </w:p>
    <w:p w14:paraId="42FB6A3B" w14:textId="77777777" w:rsidR="00D3570B" w:rsidRPr="00B24A80" w:rsidRDefault="00D3570B">
      <w:pPr>
        <w:rPr>
          <w:rFonts w:asciiTheme="majorHAnsi" w:eastAsia="Calibri" w:hAnsiTheme="majorHAnsi" w:cstheme="majorHAnsi"/>
          <w:i/>
          <w:sz w:val="22"/>
          <w:szCs w:val="22"/>
        </w:rPr>
      </w:pPr>
      <w:r w:rsidRPr="00B24A80">
        <w:rPr>
          <w:rFonts w:asciiTheme="majorHAnsi" w:eastAsia="Calibri" w:hAnsiTheme="majorHAnsi" w:cstheme="majorHAnsi"/>
          <w:i/>
          <w:sz w:val="22"/>
          <w:szCs w:val="22"/>
        </w:rPr>
        <w:br w:type="page"/>
      </w:r>
    </w:p>
    <w:p w14:paraId="0AD07536" w14:textId="40DF2E0B" w:rsidR="00DC27E8" w:rsidRPr="00B24A80" w:rsidRDefault="008B6E32" w:rsidP="00D3570B">
      <w:pPr>
        <w:pStyle w:val="Ttulo1"/>
        <w:rPr>
          <w:rFonts w:cstheme="majorHAnsi"/>
          <w:sz w:val="22"/>
          <w:szCs w:val="22"/>
        </w:rPr>
      </w:pPr>
      <w:bookmarkStart w:id="410" w:name="_Toc81085696"/>
      <w:bookmarkStart w:id="411" w:name="_Toc181374135"/>
      <w:r w:rsidRPr="00B24A80">
        <w:rPr>
          <w:rFonts w:cstheme="majorHAnsi"/>
          <w:sz w:val="22"/>
          <w:szCs w:val="22"/>
        </w:rPr>
        <w:lastRenderedPageBreak/>
        <w:t>CONCEPTOS</w:t>
      </w:r>
      <w:bookmarkEnd w:id="410"/>
      <w:bookmarkEnd w:id="411"/>
    </w:p>
    <w:p w14:paraId="7A2D48F1" w14:textId="3295DDA3" w:rsidR="00DC27E8" w:rsidRPr="00B24A80" w:rsidRDefault="000768B8" w:rsidP="003A597A">
      <w:pPr>
        <w:pStyle w:val="Ttulo4"/>
        <w:rPr>
          <w:rFonts w:cstheme="majorHAnsi"/>
          <w:sz w:val="22"/>
          <w:szCs w:val="22"/>
        </w:rPr>
      </w:pPr>
      <w:bookmarkStart w:id="412" w:name="_Toc81085697"/>
      <w:bookmarkStart w:id="413" w:name="_Toc181374136"/>
      <w:r w:rsidRPr="00B24A80">
        <w:rPr>
          <w:rFonts w:cstheme="majorHAnsi"/>
          <w:sz w:val="22"/>
          <w:szCs w:val="22"/>
        </w:rPr>
        <w:t xml:space="preserve">SECCIÓN </w:t>
      </w:r>
      <w:r w:rsidR="00435D7A" w:rsidRPr="00B24A80">
        <w:rPr>
          <w:rFonts w:cstheme="majorHAnsi"/>
          <w:sz w:val="22"/>
          <w:szCs w:val="22"/>
        </w:rPr>
        <w:t>I</w:t>
      </w:r>
      <w:r w:rsidR="007F5505" w:rsidRPr="00B24A80">
        <w:rPr>
          <w:rFonts w:cstheme="majorHAnsi"/>
          <w:sz w:val="22"/>
          <w:szCs w:val="22"/>
        </w:rPr>
        <w:br/>
        <w:t>Definiciones en orden alfabético</w:t>
      </w:r>
      <w:bookmarkEnd w:id="412"/>
      <w:bookmarkEnd w:id="413"/>
    </w:p>
    <w:p w14:paraId="36544BD3" w14:textId="77892832"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eastAsia="Times New Roman" w:hAnsiTheme="majorHAnsi" w:cstheme="majorHAnsi"/>
          <w:szCs w:val="22"/>
        </w:rPr>
      </w:pPr>
      <w:r w:rsidRPr="00B24A80">
        <w:rPr>
          <w:rFonts w:asciiTheme="majorHAnsi" w:eastAsia="Calibri" w:hAnsiTheme="majorHAnsi" w:cstheme="majorHAnsi"/>
          <w:b/>
          <w:color w:val="000000"/>
          <w:szCs w:val="22"/>
        </w:rPr>
        <w:t>Definiciones. -</w:t>
      </w:r>
      <w:r w:rsidRPr="00B24A80">
        <w:rPr>
          <w:rFonts w:asciiTheme="majorHAnsi" w:eastAsia="Calibri" w:hAnsiTheme="majorHAnsi" w:cstheme="majorHAnsi"/>
          <w:color w:val="000000"/>
          <w:szCs w:val="22"/>
        </w:rPr>
        <w:t xml:space="preserve"> Para la aplicación de la presente Ordenanza se utilizarán las siguientes definiciones:</w:t>
      </w:r>
    </w:p>
    <w:p w14:paraId="5AEDA44F" w14:textId="74E15606" w:rsidR="00DC27E8"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Actuación urbanística. Procedimiento de gestión y forma de ejecución orientado por el planeamiento urbanístico que implica un proceso concreto de transformación del suelo o de su infraestructura, o una modificación de los usos específicos del mismo;</w:t>
      </w:r>
    </w:p>
    <w:p w14:paraId="03AE20F0" w14:textId="38391786" w:rsidR="00693C2E" w:rsidRPr="00A402F2" w:rsidRDefault="00693C2E" w:rsidP="00D91A4A">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A402F2">
        <w:rPr>
          <w:rFonts w:asciiTheme="majorHAnsi" w:hAnsiTheme="majorHAnsi" w:cstheme="majorHAnsi"/>
          <w:szCs w:val="22"/>
        </w:rPr>
        <w:t xml:space="preserve">Centro Poblado Rural: </w:t>
      </w:r>
      <w:r w:rsidR="00D91A4A" w:rsidRPr="00A402F2">
        <w:rPr>
          <w:rFonts w:asciiTheme="majorHAnsi" w:hAnsiTheme="majorHAnsi" w:cstheme="majorHAnsi"/>
          <w:szCs w:val="22"/>
        </w:rPr>
        <w:t>A diferencia de las áreas urbanas, los centros poblados rurales se caracterizan por baja densidad poblacional, un uso extensivo del suelo y acceso limitado a servicios básicos e infraestructura en comparación con las ciudades. Sin embargo, en muchos casos, estos centros funcionan como nodos de intercambio social, económico y cultural para la población rural que vive en las áreas circundantes.</w:t>
      </w:r>
    </w:p>
    <w:p w14:paraId="469E3AA5" w14:textId="77777777" w:rsidR="009E73C4" w:rsidRDefault="007F5505" w:rsidP="009E73C4">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A402F2">
        <w:rPr>
          <w:rFonts w:asciiTheme="majorHAnsi" w:hAnsiTheme="majorHAnsi" w:cstheme="majorHAnsi"/>
          <w:szCs w:val="22"/>
        </w:rPr>
        <w:t xml:space="preserve">Edificabilidad. Se refiere al volumen edificable o capacidad de aprovechamiento </w:t>
      </w:r>
      <w:r w:rsidRPr="009E73C4">
        <w:rPr>
          <w:rFonts w:asciiTheme="majorHAnsi" w:hAnsiTheme="majorHAnsi" w:cstheme="majorHAnsi"/>
          <w:szCs w:val="22"/>
        </w:rPr>
        <w:t>constructivo atribuida al suelo por el Gobierno Autónomo Descentralizado municipal o metropolitano;</w:t>
      </w:r>
    </w:p>
    <w:p w14:paraId="02C8A1CE" w14:textId="76FF9905" w:rsidR="00A051D7" w:rsidRPr="009E73C4" w:rsidRDefault="00A051D7" w:rsidP="009E73C4">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9E73C4">
        <w:rPr>
          <w:rFonts w:asciiTheme="majorHAnsi" w:hAnsiTheme="majorHAnsi" w:cstheme="majorHAnsi"/>
          <w:szCs w:val="22"/>
        </w:rPr>
        <w:t xml:space="preserve">Equipamiento Urbano: </w:t>
      </w:r>
      <w:r w:rsidR="00A402F2" w:rsidRPr="009E73C4">
        <w:rPr>
          <w:rFonts w:asciiTheme="majorHAnsi" w:hAnsiTheme="majorHAnsi" w:cstheme="majorHAnsi"/>
          <w:szCs w:val="22"/>
        </w:rPr>
        <w:t>En términos de planificación urbana, el equipamiento urbano es esencial para el funcionamiento adecuado de la ciudad, ya que facilita el acceso equitativo a los recursos y servicios. Además, contribuye a la cohesión social y el bienestar de la comunidad al proporcionar espacios donde los ciudadanos pueden interactuar y realizar actividades cotidianas en un espacio como puntos de encuentro.</w:t>
      </w:r>
    </w:p>
    <w:p w14:paraId="5189C0CB" w14:textId="71D4DE5D"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Equipamiento social y de servicios. Espacio o edificación, principalmente de uso público, donde se realizan actividades sociales complementarias a las relacionadas con la vivienda y el trabajo; incluye al menos los servicios de salud, educación, bienestar social, recreación y deporte, transporte, seguridad y administración pública; </w:t>
      </w:r>
    </w:p>
    <w:p w14:paraId="2CB60D28" w14:textId="6E787C0A"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Espacio Público. Son espacios de la ciudad donde todas las personas tienen derecho a estar y circular libremente, diseñados y construidos con fines y usos sociales recreacionales o de descanso, en los que ocurren actividades colectivas materiales o simbólicas de intercambio y diálogo entre los miembros de la comunidad; </w:t>
      </w:r>
    </w:p>
    <w:p w14:paraId="5F23701A" w14:textId="0B1AFCD6"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Fraccionamiento, partición o </w:t>
      </w:r>
      <w:r w:rsidR="008B008E">
        <w:rPr>
          <w:rFonts w:asciiTheme="majorHAnsi" w:hAnsiTheme="majorHAnsi" w:cstheme="majorHAnsi"/>
          <w:szCs w:val="22"/>
        </w:rPr>
        <w:t>urbanización</w:t>
      </w:r>
      <w:r w:rsidRPr="00B24A80">
        <w:rPr>
          <w:rFonts w:asciiTheme="majorHAnsi" w:hAnsiTheme="majorHAnsi" w:cstheme="majorHAnsi"/>
          <w:szCs w:val="22"/>
        </w:rPr>
        <w:t xml:space="preserve">. Son los procesos mediante los cuales un predio se subdivide en varios predios a través de una autorización del Gobierno Autónomo Descentralizado </w:t>
      </w:r>
      <w:r w:rsidR="002116D7">
        <w:rPr>
          <w:rFonts w:asciiTheme="majorHAnsi" w:hAnsiTheme="majorHAnsi" w:cstheme="majorHAnsi"/>
          <w:szCs w:val="22"/>
        </w:rPr>
        <w:t>M</w:t>
      </w:r>
      <w:r w:rsidRPr="00B24A80">
        <w:rPr>
          <w:rFonts w:asciiTheme="majorHAnsi" w:hAnsiTheme="majorHAnsi" w:cstheme="majorHAnsi"/>
          <w:szCs w:val="22"/>
        </w:rPr>
        <w:t xml:space="preserve">unicipal </w:t>
      </w:r>
      <w:r w:rsidR="002116D7">
        <w:rPr>
          <w:rFonts w:asciiTheme="majorHAnsi" w:hAnsiTheme="majorHAnsi" w:cstheme="majorHAnsi"/>
          <w:szCs w:val="22"/>
        </w:rPr>
        <w:t>del Cantón La Joya de los Sachas</w:t>
      </w:r>
      <w:r w:rsidRPr="00B24A80">
        <w:rPr>
          <w:rFonts w:asciiTheme="majorHAnsi" w:hAnsiTheme="majorHAnsi" w:cstheme="majorHAnsi"/>
          <w:szCs w:val="22"/>
        </w:rPr>
        <w:t xml:space="preserve">, que viabiliza el registro e individualización de predios, solares o predios resultantes, los cuales pueden tener distintos condicionamientos y obligaciones en función de lo previsto en el respectivo Plan de Uso y Gestión de Suelo; </w:t>
      </w:r>
    </w:p>
    <w:p w14:paraId="6D90749A" w14:textId="18C4B235"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Habilitación del </w:t>
      </w:r>
      <w:r w:rsidR="00B361D0" w:rsidRPr="00B24A80">
        <w:rPr>
          <w:rFonts w:asciiTheme="majorHAnsi" w:hAnsiTheme="majorHAnsi" w:cstheme="majorHAnsi"/>
          <w:szCs w:val="22"/>
        </w:rPr>
        <w:t>suelo. -</w:t>
      </w:r>
      <w:r w:rsidRPr="00B24A80">
        <w:rPr>
          <w:rFonts w:asciiTheme="majorHAnsi" w:hAnsiTheme="majorHAnsi" w:cstheme="majorHAnsi"/>
          <w:szCs w:val="22"/>
        </w:rPr>
        <w:t xml:space="preserve"> La habilitación del suelo es el proceso dirigido a la transformación o adecuación del suelo para su urbanización y edificación, conforme con lo establecido en los Planes de Uso y Gestión de Suelo, y las ordenanzas correspondientes; </w:t>
      </w:r>
    </w:p>
    <w:p w14:paraId="59D62C02" w14:textId="50F93D5D"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Informe Predial de Regulaciones de Uso del Suelo - </w:t>
      </w:r>
      <w:r w:rsidR="000B2A62" w:rsidRPr="00B24A80">
        <w:rPr>
          <w:rFonts w:asciiTheme="majorHAnsi" w:hAnsiTheme="majorHAnsi" w:cstheme="majorHAnsi"/>
          <w:szCs w:val="22"/>
        </w:rPr>
        <w:t>IPRUS. -</w:t>
      </w:r>
      <w:r w:rsidRPr="00B24A80">
        <w:rPr>
          <w:rFonts w:asciiTheme="majorHAnsi" w:hAnsiTheme="majorHAnsi" w:cstheme="majorHAnsi"/>
          <w:szCs w:val="22"/>
        </w:rPr>
        <w:t xml:space="preserve"> Para aplicación de esta Resolución el Informe Predial de Regulaciones de Uso del Suelo - IPRUS, se refiere al documento expedido por la autoridad municipal o metropolitana resultado de la aplicación del Plan de Uso y Gestión del Suelo a nivel predial y que contiene las regulaciones mínimas urbanísticas y de uso del suelo a la que está sujeta un predio en particular. Generalmente este documento, ha sido conocido como línea de fábrica, informe de regulación metropolitana, certificado de normas particulares, normativa urbanística predial, entre otros; </w:t>
      </w:r>
    </w:p>
    <w:p w14:paraId="08633082" w14:textId="0EA2EDD5"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Instrumentos de gestión urbana para intervenir la morfología urbana y la estructura </w:t>
      </w:r>
      <w:r w:rsidR="00B361D0" w:rsidRPr="00B24A80">
        <w:rPr>
          <w:rFonts w:asciiTheme="majorHAnsi" w:hAnsiTheme="majorHAnsi" w:cstheme="majorHAnsi"/>
          <w:szCs w:val="22"/>
        </w:rPr>
        <w:t>predial. -</w:t>
      </w:r>
      <w:r w:rsidRPr="00B24A80">
        <w:rPr>
          <w:rFonts w:asciiTheme="majorHAnsi" w:hAnsiTheme="majorHAnsi" w:cstheme="majorHAnsi"/>
          <w:szCs w:val="22"/>
        </w:rPr>
        <w:t xml:space="preserve"> Son aquellos que permiten intervenir la morfología urbana y la estructura </w:t>
      </w:r>
      <w:r w:rsidRPr="00B24A80">
        <w:rPr>
          <w:rFonts w:asciiTheme="majorHAnsi" w:hAnsiTheme="majorHAnsi" w:cstheme="majorHAnsi"/>
          <w:szCs w:val="22"/>
        </w:rPr>
        <w:lastRenderedPageBreak/>
        <w:t>predial a través de formas asociativas entre los propietarios con el fin de establecer una nueva configuración física y predial, asegurando el desarrollo y el financiamiento de las actuaciones urbanísticas. Dichos instrumentos son el reajuste de predios, la integración inmobiliaria y la cooperación entre partícipes;</w:t>
      </w:r>
    </w:p>
    <w:p w14:paraId="60488E4B" w14:textId="456FB6AD"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Norma urbanística. Se refiere a aquellas que regulan el uso, la edificabilidad, las formas de ocupación del suelo y los derechos y obligaciones derivados del mismo y son de cumplimiento obligatorio para la actuación urbanística;</w:t>
      </w:r>
    </w:p>
    <w:p w14:paraId="5A87AD62" w14:textId="220CD475"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Tecnologías de la </w:t>
      </w:r>
      <w:r w:rsidR="000B2A62" w:rsidRPr="00B24A80">
        <w:rPr>
          <w:rFonts w:asciiTheme="majorHAnsi" w:hAnsiTheme="majorHAnsi" w:cstheme="majorHAnsi"/>
          <w:szCs w:val="22"/>
        </w:rPr>
        <w:t>información. -</w:t>
      </w:r>
      <w:r w:rsidRPr="00B24A80">
        <w:rPr>
          <w:rFonts w:asciiTheme="majorHAnsi" w:hAnsiTheme="majorHAnsi" w:cstheme="majorHAnsi"/>
          <w:szCs w:val="22"/>
        </w:rPr>
        <w:t xml:space="preserve"> Las entidades reguladas por esta Resolución harán uso de tecnologías de la información y comunicación con el fin de mejorar la calidad de los servicios públicos y optimizar la gestión de trámites administrativos; </w:t>
      </w:r>
    </w:p>
    <w:p w14:paraId="22137626" w14:textId="70AB85A8"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Planeamiento urbanístico. Es el conjunto de instrumentos, disposiciones técnicas y normativas que determinan la organización espacial del uso y la ocupación del suelo urbano y rural, así como los derechos y obligaciones derivados de los mismos;</w:t>
      </w:r>
    </w:p>
    <w:p w14:paraId="5FA858B5" w14:textId="74330DB9"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Planes de Uso y Gestión del </w:t>
      </w:r>
      <w:r w:rsidR="000B2A62" w:rsidRPr="00B24A80">
        <w:rPr>
          <w:rFonts w:asciiTheme="majorHAnsi" w:hAnsiTheme="majorHAnsi" w:cstheme="majorHAnsi"/>
          <w:szCs w:val="22"/>
        </w:rPr>
        <w:t>Suelo. -</w:t>
      </w:r>
      <w:r w:rsidRPr="00B24A80">
        <w:rPr>
          <w:rFonts w:asciiTheme="majorHAnsi" w:hAnsiTheme="majorHAnsi" w:cstheme="majorHAnsi"/>
          <w:szCs w:val="22"/>
        </w:rPr>
        <w:t xml:space="preserve"> Los Planes de Uso y Gestión del Suelo son instrumentos de planificación y gestión que forman parte del Plan de Desarrollo y Ordenamiento Territorial - </w:t>
      </w:r>
      <w:r w:rsidR="004830FA" w:rsidRPr="00B24A80">
        <w:rPr>
          <w:rFonts w:asciiTheme="majorHAnsi" w:hAnsiTheme="majorHAnsi" w:cstheme="majorHAnsi"/>
          <w:szCs w:val="22"/>
        </w:rPr>
        <w:t>PDyOT</w:t>
      </w:r>
      <w:r w:rsidRPr="00B24A80">
        <w:rPr>
          <w:rFonts w:asciiTheme="majorHAnsi" w:hAnsiTheme="majorHAnsi" w:cstheme="majorHAnsi"/>
          <w:szCs w:val="22"/>
        </w:rPr>
        <w:t xml:space="preserve">. Permiten articular la norma urbanística con el </w:t>
      </w:r>
      <w:r w:rsidR="004830FA" w:rsidRPr="00B24A80">
        <w:rPr>
          <w:rFonts w:asciiTheme="majorHAnsi" w:hAnsiTheme="majorHAnsi" w:cstheme="majorHAnsi"/>
          <w:szCs w:val="22"/>
        </w:rPr>
        <w:t>PDyOT</w:t>
      </w:r>
      <w:r w:rsidRPr="00B24A80">
        <w:rPr>
          <w:rFonts w:asciiTheme="majorHAnsi" w:hAnsiTheme="majorHAnsi" w:cstheme="majorHAnsi"/>
          <w:szCs w:val="22"/>
        </w:rPr>
        <w:t xml:space="preserve"> con contenidos estandarizados y criterios generales, y a través de ellos los GAD municipales y metropolitanos pueden regular y gestionar el uso, la ocupación y transformación del suelo, conforme la visión de desarrollo y el modelo territorial deseado del cantón, garantizando la función social y ambiental de la propiedad y de la ciudad, en el ejercicio pleno de la ciudadanía;</w:t>
      </w:r>
    </w:p>
    <w:p w14:paraId="58600DD7" w14:textId="6B30EDEC"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Profesionales </w:t>
      </w:r>
      <w:r w:rsidR="000B2A62" w:rsidRPr="00B24A80">
        <w:rPr>
          <w:rFonts w:asciiTheme="majorHAnsi" w:hAnsiTheme="majorHAnsi" w:cstheme="majorHAnsi"/>
          <w:szCs w:val="22"/>
        </w:rPr>
        <w:t>competentes. -</w:t>
      </w:r>
      <w:r w:rsidRPr="00B24A80">
        <w:rPr>
          <w:rFonts w:asciiTheme="majorHAnsi" w:hAnsiTheme="majorHAnsi" w:cstheme="majorHAnsi"/>
          <w:szCs w:val="22"/>
        </w:rPr>
        <w:t xml:space="preserve"> Aquellas personas que poseen titulaciones académicas y profesionales habilitantes respecto del ejercicio de la actividad económica desarrollada y con arreglo a las competencias propias de sus específicas titulaciones, para ejecutar dichas actuaciones a la vista de las disposiciones legales vigentes para cada profesión; </w:t>
      </w:r>
    </w:p>
    <w:p w14:paraId="77FFD522" w14:textId="07A4EB2A" w:rsidR="00DC27E8" w:rsidRPr="00B24A80" w:rsidRDefault="000B2A62"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Promotor. -</w:t>
      </w:r>
      <w:r w:rsidR="007F5505" w:rsidRPr="00B24A80">
        <w:rPr>
          <w:rFonts w:asciiTheme="majorHAnsi" w:hAnsiTheme="majorHAnsi" w:cstheme="majorHAnsi"/>
          <w:szCs w:val="22"/>
        </w:rPr>
        <w:t xml:space="preserve"> Promotor la persona que promueve la actuación urbanística, haciendo las diligencias necesarias ante la administración municipal; </w:t>
      </w:r>
    </w:p>
    <w:p w14:paraId="2CA06600" w14:textId="671EB583"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Reajuste de </w:t>
      </w:r>
      <w:r w:rsidR="000B2A62" w:rsidRPr="00B24A80">
        <w:rPr>
          <w:rFonts w:asciiTheme="majorHAnsi" w:hAnsiTheme="majorHAnsi" w:cstheme="majorHAnsi"/>
          <w:szCs w:val="22"/>
        </w:rPr>
        <w:t>terreno. -</w:t>
      </w:r>
      <w:r w:rsidRPr="00B24A80">
        <w:rPr>
          <w:rFonts w:asciiTheme="majorHAnsi" w:hAnsiTheme="majorHAnsi" w:cstheme="majorHAnsi"/>
          <w:szCs w:val="22"/>
        </w:rPr>
        <w:t xml:space="preserve"> El reajuste de terrenos permite agrupar varios predios con el fin de reestructurarlos y subdividirlos en una conformación parcelaria nueva, por iniciativa pública o privada, en virtud de la determinación de un plan parcial y unidades de actuación urbanística, con el objeto de generar un reparto equitativo de las cargas y los beneficios producto de la intervención, y de establecer una nueva estructura urbana derivada del planeamiento urbanístico. Los propietarios de los predios implicados, debidamente organizados, garantizarán el cumplimiento de las cargas correspondientes al desarrollo de la actuación urbanística; </w:t>
      </w:r>
    </w:p>
    <w:p w14:paraId="2075D02A" w14:textId="4CB12ABE"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Simplificación de Trámites. La simplificación de trámites comprende las actividades que implementa la Administración Pública para mejorar los trámites que los administrados realizan ante ella, dirigidas a la mejora continua, simplicidad, claridad, transparencia, fácil acceso y disminución de cargas administrativas innecesarias tanto para el administrado como para la administración pública; </w:t>
      </w:r>
    </w:p>
    <w:p w14:paraId="62BF9DA4" w14:textId="13F23582"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Sistemas públicos de soporte. Son las infraestructuras para la dotación de servicios básicos y los equipamientos sociales y de servicio requeridos para el buen funcionamiento de los asentamientos humanos. Estos son al menos: las redes viales y de transporte en todas sus modalidades, las redes e instalaciones de comunicación, energía, agua, alcantarillado y manejo de desechos sólidos, el espacio público, áreas verdes, así como los equipamientos sociales y de servicios. Su capacidad de utilización máxima es condicionante para la determinación del aprovechamiento del suelo; </w:t>
      </w:r>
    </w:p>
    <w:p w14:paraId="6C0F9A3B" w14:textId="6E9F2865"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Unidades de actuación urbanística.- Las unidades de actuación urbanística son las áreas de gestión del suelo determinadas mediante el Plan de Uso y Gestión de Suelo o un plan parcial que lo desarrolle, y serán conformadas por uno o varios inmuebles que deben ser transformados, urbanizados o construidos, bajo un único proceso de habilitación, con el objeto de promover el uso racional del suelo, garantizar el cumplimiento de las normas </w:t>
      </w:r>
      <w:r w:rsidRPr="00B24A80">
        <w:rPr>
          <w:rFonts w:asciiTheme="majorHAnsi" w:hAnsiTheme="majorHAnsi" w:cstheme="majorHAnsi"/>
          <w:szCs w:val="22"/>
        </w:rPr>
        <w:lastRenderedPageBreak/>
        <w:t xml:space="preserve">urbanísticas, y proveer las infraestructuras y equipamientos públicos. Su delimitación responderá al interés general y asegurará la compensación equitativa de cargas y beneficios. </w:t>
      </w:r>
    </w:p>
    <w:p w14:paraId="2D9CBABA" w14:textId="637CC1DB"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Urbanización.</w:t>
      </w:r>
      <w:r w:rsidR="00BF5806">
        <w:rPr>
          <w:rFonts w:asciiTheme="majorHAnsi" w:hAnsiTheme="majorHAnsi" w:cstheme="majorHAnsi"/>
          <w:szCs w:val="22"/>
        </w:rPr>
        <w:t xml:space="preserve">- </w:t>
      </w:r>
      <w:r w:rsidR="00BF5806" w:rsidRPr="00BF5806">
        <w:rPr>
          <w:rFonts w:asciiTheme="majorHAnsi" w:hAnsiTheme="majorHAnsi" w:cstheme="majorHAnsi"/>
          <w:szCs w:val="22"/>
        </w:rPr>
        <w:t>La urbanización se refiere al proceso de desarrollo y expansión de áreas urbanas, que implica la transformación de terrenos rurales o no desarrollados en espacios habitables, comerciales e industriales. Este proceso puede incluir la construcción de viviendas, infraestructuras (como carreteras, servicios públicos y transporte), y la creación de espacios públicos.</w:t>
      </w:r>
      <w:r w:rsidRPr="00B24A80">
        <w:rPr>
          <w:rFonts w:asciiTheme="majorHAnsi" w:hAnsiTheme="majorHAnsi" w:cstheme="majorHAnsi"/>
          <w:szCs w:val="22"/>
        </w:rPr>
        <w:t xml:space="preserve">; y, </w:t>
      </w:r>
    </w:p>
    <w:p w14:paraId="70B43D9F" w14:textId="3D96B611" w:rsidR="00DC27E8" w:rsidRPr="00B24A80" w:rsidRDefault="007F5505" w:rsidP="00CA24CF">
      <w:pPr>
        <w:pStyle w:val="Prrafodelista"/>
        <w:numPr>
          <w:ilvl w:val="0"/>
          <w:numId w:val="91"/>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Vivienda adecuada y digna. Aquella que cuenta simultáneamente con los servicios de agua potable y saneamiento adecuado; electricidad de la red pública; gestión integral de desechos; condiciones materiales adecuadas; con espacio suficiente; ubicadas en zonas seguras; con accesibilidad; seguridad en la tenencia; asequible; y, adecuada a la realidad cultural. </w:t>
      </w:r>
    </w:p>
    <w:p w14:paraId="59D39060" w14:textId="77777777" w:rsidR="00683590" w:rsidRPr="00B24A80" w:rsidRDefault="00683590" w:rsidP="00683590">
      <w:pPr>
        <w:pStyle w:val="Prrafodelista"/>
        <w:pBdr>
          <w:top w:val="nil"/>
          <w:left w:val="nil"/>
          <w:bottom w:val="nil"/>
          <w:right w:val="nil"/>
          <w:between w:val="nil"/>
        </w:pBdr>
        <w:tabs>
          <w:tab w:val="left" w:pos="5954"/>
        </w:tabs>
        <w:ind w:right="-100"/>
        <w:rPr>
          <w:rFonts w:asciiTheme="majorHAnsi" w:hAnsiTheme="majorHAnsi" w:cstheme="majorHAnsi"/>
          <w:szCs w:val="22"/>
        </w:rPr>
      </w:pPr>
    </w:p>
    <w:p w14:paraId="4DACE49D" w14:textId="065D8F77" w:rsidR="00DC27E8" w:rsidRPr="00B24A80" w:rsidRDefault="007F5505" w:rsidP="00CA24CF">
      <w:pPr>
        <w:pStyle w:val="Prrafodelista"/>
        <w:widowControl/>
        <w:numPr>
          <w:ilvl w:val="0"/>
          <w:numId w:val="114"/>
        </w:numPr>
        <w:tabs>
          <w:tab w:val="left" w:pos="851"/>
        </w:tabs>
        <w:spacing w:after="240" w:line="276" w:lineRule="auto"/>
        <w:ind w:left="0" w:right="-100" w:firstLine="0"/>
        <w:rPr>
          <w:rFonts w:asciiTheme="majorHAnsi" w:hAnsiTheme="majorHAnsi" w:cstheme="majorHAnsi"/>
          <w:szCs w:val="22"/>
        </w:rPr>
      </w:pPr>
      <w:r w:rsidRPr="00B24A80">
        <w:rPr>
          <w:rFonts w:asciiTheme="majorHAnsi" w:hAnsiTheme="majorHAnsi" w:cstheme="majorHAnsi"/>
          <w:b/>
          <w:szCs w:val="22"/>
        </w:rPr>
        <w:t>Siglas y/o acrónimos. -</w:t>
      </w:r>
      <w:r w:rsidRPr="00B24A80">
        <w:rPr>
          <w:rFonts w:asciiTheme="majorHAnsi" w:hAnsiTheme="majorHAnsi" w:cstheme="majorHAnsi"/>
          <w:szCs w:val="22"/>
        </w:rPr>
        <w:t xml:space="preserve"> Para efectos de la presente resolución, se establecen las siguientes siglas y/o acrónimos: </w:t>
      </w:r>
    </w:p>
    <w:p w14:paraId="4E5586A5" w14:textId="77777777" w:rsidR="00404916" w:rsidRPr="00B24A80" w:rsidRDefault="00404916" w:rsidP="00404916">
      <w:pPr>
        <w:pStyle w:val="Prrafodelista"/>
        <w:widowControl/>
        <w:tabs>
          <w:tab w:val="left" w:pos="851"/>
        </w:tabs>
        <w:spacing w:after="240" w:line="276" w:lineRule="auto"/>
        <w:ind w:left="0" w:right="-100"/>
        <w:rPr>
          <w:rFonts w:asciiTheme="majorHAnsi" w:hAnsiTheme="majorHAnsi" w:cstheme="majorHAnsi"/>
          <w:szCs w:val="22"/>
        </w:rPr>
      </w:pPr>
    </w:p>
    <w:p w14:paraId="7CCB2B94" w14:textId="7DDFD128"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COS: Coeficiente de ocupación del suelo. </w:t>
      </w:r>
    </w:p>
    <w:p w14:paraId="1953D716" w14:textId="4ADE71A2"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COST: Coeficiente de ocupación del suelo total. </w:t>
      </w:r>
    </w:p>
    <w:p w14:paraId="1EB1B4BA" w14:textId="73C57200"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COOTAD: Código Orgánico de Organización Territorial, Autonomía y Descentralización</w:t>
      </w:r>
    </w:p>
    <w:p w14:paraId="03181C06" w14:textId="08E58DB0"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CTUGS: Consejo Técnico de Uso y Gestión del Suelo</w:t>
      </w:r>
    </w:p>
    <w:p w14:paraId="406F2675" w14:textId="60A11523"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ETAM: Error Técnico Aceptable de Medición. </w:t>
      </w:r>
    </w:p>
    <w:p w14:paraId="03232A94" w14:textId="47701071"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GADMC</w:t>
      </w:r>
      <w:r w:rsidR="00CD4E67">
        <w:rPr>
          <w:rFonts w:asciiTheme="majorHAnsi" w:hAnsiTheme="majorHAnsi" w:cstheme="majorHAnsi"/>
          <w:szCs w:val="22"/>
        </w:rPr>
        <w:t>JS</w:t>
      </w:r>
      <w:r w:rsidRPr="00B24A80">
        <w:rPr>
          <w:rFonts w:asciiTheme="majorHAnsi" w:hAnsiTheme="majorHAnsi" w:cstheme="majorHAnsi"/>
          <w:szCs w:val="22"/>
        </w:rPr>
        <w:t xml:space="preserve">: Gobierno Autónomo Descentralizado Municipal de </w:t>
      </w:r>
      <w:r w:rsidR="00E30701" w:rsidRPr="00B24A80">
        <w:rPr>
          <w:rFonts w:asciiTheme="majorHAnsi" w:hAnsiTheme="majorHAnsi" w:cstheme="majorHAnsi"/>
          <w:szCs w:val="22"/>
        </w:rPr>
        <w:t>La Joya de los Sachas</w:t>
      </w:r>
      <w:r w:rsidRPr="00B24A80">
        <w:rPr>
          <w:rFonts w:asciiTheme="majorHAnsi" w:hAnsiTheme="majorHAnsi" w:cstheme="majorHAnsi"/>
          <w:szCs w:val="22"/>
        </w:rPr>
        <w:t>.</w:t>
      </w:r>
    </w:p>
    <w:p w14:paraId="77251B98" w14:textId="4892CC93"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IPRUS: Informe Predial de Regulaciones de Uso del Suelo; </w:t>
      </w:r>
    </w:p>
    <w:p w14:paraId="65A0A063" w14:textId="776CFA5C"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LOOTUGS: Ley Orgánica de Ordenamiento Territorial, Uso y Gestión del Suelo. </w:t>
      </w:r>
    </w:p>
    <w:p w14:paraId="36D34324" w14:textId="1EFD228D"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NEC: Normas Ecuatorianas de la Construcción</w:t>
      </w:r>
    </w:p>
    <w:p w14:paraId="7B9ACF62" w14:textId="77777777"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MTD: Modelo Territorial de Desarrollo.</w:t>
      </w:r>
    </w:p>
    <w:p w14:paraId="36F2BAD3" w14:textId="776F158E"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POA: Plan Operativo Anual</w:t>
      </w:r>
    </w:p>
    <w:p w14:paraId="5E35E4C8" w14:textId="5C1F81CC" w:rsidR="00DC27E8" w:rsidRPr="00B24A80" w:rsidRDefault="004830FA"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PDyOT</w:t>
      </w:r>
      <w:r w:rsidR="007F5505" w:rsidRPr="00B24A80">
        <w:rPr>
          <w:rFonts w:asciiTheme="majorHAnsi" w:hAnsiTheme="majorHAnsi" w:cstheme="majorHAnsi"/>
          <w:szCs w:val="22"/>
        </w:rPr>
        <w:t xml:space="preserve">: Plan de Desarrollo y Ordenamiento Territorial. </w:t>
      </w:r>
    </w:p>
    <w:p w14:paraId="14F0AF11" w14:textId="30B8BE78"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PIDARA: Proyecto Integral de Diversificación Agroproductiva y Reconversión </w:t>
      </w:r>
      <w:r w:rsidR="00A35002">
        <w:rPr>
          <w:rFonts w:asciiTheme="majorHAnsi" w:hAnsiTheme="majorHAnsi" w:cstheme="majorHAnsi"/>
          <w:szCs w:val="22"/>
        </w:rPr>
        <w:t>Rural</w:t>
      </w:r>
    </w:p>
    <w:p w14:paraId="7A8A5B13" w14:textId="28C016B1"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PIATER: Proyecto de Innovación de Asistencia Técnica y Extensión Rural.</w:t>
      </w:r>
    </w:p>
    <w:p w14:paraId="5496BF4C" w14:textId="320E78F1"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 xml:space="preserve">PUGS: Plan de Uso y Gestión del Suelo. </w:t>
      </w:r>
    </w:p>
    <w:p w14:paraId="36359D01" w14:textId="0B34A1E2"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SENESCYT: Secretaría de Educación Superior, Ciencia, Tecnología e Innovación</w:t>
      </w:r>
      <w:r w:rsidR="00404916" w:rsidRPr="00B24A80">
        <w:rPr>
          <w:rFonts w:asciiTheme="majorHAnsi" w:hAnsiTheme="majorHAnsi" w:cstheme="majorHAnsi"/>
          <w:szCs w:val="22"/>
        </w:rPr>
        <w:t>.</w:t>
      </w:r>
    </w:p>
    <w:p w14:paraId="3C2F9E33" w14:textId="2D62A5DE" w:rsidR="00404916" w:rsidRPr="00B24A80" w:rsidRDefault="00404916"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SNGRE: Secretaría Nacional de Gestión de Riesgos y Emergencias</w:t>
      </w:r>
    </w:p>
    <w:p w14:paraId="41D4F366" w14:textId="2BA1686E" w:rsidR="00DC27E8" w:rsidRPr="00B24A80" w:rsidRDefault="007F5505" w:rsidP="00CA24CF">
      <w:pPr>
        <w:pStyle w:val="Prrafodelista"/>
        <w:numPr>
          <w:ilvl w:val="0"/>
          <w:numId w:val="117"/>
        </w:numPr>
        <w:pBdr>
          <w:top w:val="nil"/>
          <w:left w:val="nil"/>
          <w:bottom w:val="nil"/>
          <w:right w:val="nil"/>
          <w:between w:val="nil"/>
        </w:pBdr>
        <w:tabs>
          <w:tab w:val="left" w:pos="5954"/>
        </w:tabs>
        <w:ind w:right="-100"/>
        <w:rPr>
          <w:rFonts w:asciiTheme="majorHAnsi" w:hAnsiTheme="majorHAnsi" w:cstheme="majorHAnsi"/>
          <w:szCs w:val="22"/>
        </w:rPr>
      </w:pPr>
      <w:r w:rsidRPr="00B24A80">
        <w:rPr>
          <w:rFonts w:asciiTheme="majorHAnsi" w:hAnsiTheme="majorHAnsi" w:cstheme="majorHAnsi"/>
          <w:szCs w:val="22"/>
        </w:rPr>
        <w:t>UAU: Unidad de Actuación Urbanística.</w:t>
      </w:r>
    </w:p>
    <w:p w14:paraId="218A6733" w14:textId="79EBC01B" w:rsidR="00DC27E8" w:rsidRPr="00B24A80" w:rsidRDefault="007F5505" w:rsidP="003A597A">
      <w:pPr>
        <w:pStyle w:val="Ttulo1"/>
        <w:rPr>
          <w:rFonts w:cstheme="majorHAnsi"/>
          <w:sz w:val="22"/>
          <w:szCs w:val="22"/>
        </w:rPr>
      </w:pPr>
      <w:bookmarkStart w:id="414" w:name="bookmark=id.2qk79lc" w:colFirst="0" w:colLast="0"/>
      <w:bookmarkStart w:id="415" w:name="bookmark=id.4bewzdj" w:colFirst="0" w:colLast="0"/>
      <w:bookmarkStart w:id="416" w:name="_heading=h.15phjt5" w:colFirst="0" w:colLast="0"/>
      <w:bookmarkStart w:id="417" w:name="_Toc65711713"/>
      <w:bookmarkStart w:id="418" w:name="_Toc81085698"/>
      <w:bookmarkStart w:id="419" w:name="_Toc181374137"/>
      <w:bookmarkEnd w:id="414"/>
      <w:bookmarkEnd w:id="415"/>
      <w:bookmarkEnd w:id="416"/>
      <w:r w:rsidRPr="00B24A80">
        <w:rPr>
          <w:rFonts w:cstheme="majorHAnsi"/>
          <w:sz w:val="22"/>
          <w:szCs w:val="22"/>
        </w:rPr>
        <w:t>DISPOSICIONES GENERALES</w:t>
      </w:r>
      <w:bookmarkEnd w:id="417"/>
      <w:bookmarkEnd w:id="418"/>
      <w:bookmarkEnd w:id="419"/>
    </w:p>
    <w:p w14:paraId="372FDF6C" w14:textId="42FB59DB" w:rsidR="00A128DF" w:rsidRPr="00B24A80" w:rsidRDefault="007F5505" w:rsidP="00A128DF">
      <w:pPr>
        <w:spacing w:line="276" w:lineRule="auto"/>
        <w:rPr>
          <w:rFonts w:asciiTheme="majorHAnsi" w:eastAsia="Calibri" w:hAnsiTheme="majorHAnsi" w:cstheme="majorHAnsi"/>
          <w:sz w:val="22"/>
          <w:szCs w:val="22"/>
        </w:rPr>
      </w:pPr>
      <w:bookmarkStart w:id="420" w:name="bookmark=id.3pp52gy" w:colFirst="0" w:colLast="0"/>
      <w:bookmarkEnd w:id="420"/>
      <w:r w:rsidRPr="00B24A80">
        <w:rPr>
          <w:b/>
          <w:color w:val="000000"/>
          <w:sz w:val="22"/>
          <w:szCs w:val="22"/>
        </w:rPr>
        <w:t>PRIMERA. –</w:t>
      </w:r>
      <w:r w:rsidRPr="00B24A80">
        <w:rPr>
          <w:color w:val="000000"/>
          <w:sz w:val="22"/>
          <w:szCs w:val="22"/>
        </w:rPr>
        <w:t xml:space="preserve"> </w:t>
      </w:r>
      <w:r w:rsidR="00A128DF" w:rsidRPr="00B24A80">
        <w:rPr>
          <w:rFonts w:asciiTheme="majorHAnsi" w:eastAsia="Calibri" w:hAnsiTheme="majorHAnsi" w:cstheme="majorHAnsi"/>
          <w:sz w:val="22"/>
          <w:szCs w:val="22"/>
        </w:rPr>
        <w:t>Los propietarios de edificaciones privadas y las entidades públicas, en las que existan barreras arquitectónicas que impidan la circulación y acceso de personas con capacidades distintas, deben realizar las respectivas adecuaciones a accesos peatonales, circulaciones horizontales y verticales y equipamientos de servicio, de acuerdo a la normativa técnica establecida por el CONADIS, Normas NEC (Normas Ecuatorianas de la Construcción) y para lo cual, se establece un tiempo perentorio de dos años, a partir de la aprobación de la presente</w:t>
      </w:r>
      <w:r w:rsidR="008A1D3C" w:rsidRPr="00B24A80">
        <w:rPr>
          <w:rFonts w:asciiTheme="majorHAnsi" w:eastAsia="Calibri" w:hAnsiTheme="majorHAnsi" w:cstheme="majorHAnsi"/>
          <w:sz w:val="22"/>
          <w:szCs w:val="22"/>
        </w:rPr>
        <w:t xml:space="preserve"> ordenanza</w:t>
      </w:r>
      <w:r w:rsidR="00A128DF" w:rsidRPr="00B24A80">
        <w:rPr>
          <w:rFonts w:asciiTheme="majorHAnsi" w:eastAsia="Calibri" w:hAnsiTheme="majorHAnsi" w:cstheme="majorHAnsi"/>
          <w:sz w:val="22"/>
          <w:szCs w:val="22"/>
        </w:rPr>
        <w:t xml:space="preserve"> para que se cumpla con esta disposición, sin perjuicio de someterse a las sanciones respectivas en caso de su incumplimiento.</w:t>
      </w:r>
    </w:p>
    <w:p w14:paraId="7CDA0E41" w14:textId="0289736C" w:rsidR="00A128DF" w:rsidRPr="00B24A80" w:rsidRDefault="00A128DF" w:rsidP="00A128DF">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color w:val="000000"/>
          <w:sz w:val="22"/>
          <w:szCs w:val="22"/>
        </w:rPr>
        <w:t>SEGUNDA. -</w:t>
      </w:r>
      <w:r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sz w:val="22"/>
          <w:szCs w:val="22"/>
        </w:rPr>
        <w:t xml:space="preserve">La </w:t>
      </w:r>
      <w:r w:rsidR="006E0959" w:rsidRPr="00B24A80">
        <w:rPr>
          <w:rFonts w:asciiTheme="majorHAnsi" w:eastAsia="Calibri" w:hAnsiTheme="majorHAnsi" w:cstheme="majorHAnsi"/>
          <w:sz w:val="22"/>
          <w:szCs w:val="22"/>
        </w:rPr>
        <w:t xml:space="preserve">Dirección de Gestión Planificación y Ordenamiento Territorial </w:t>
      </w:r>
      <w:r w:rsidRPr="00B24A80">
        <w:rPr>
          <w:rFonts w:asciiTheme="majorHAnsi" w:eastAsia="Calibri" w:hAnsiTheme="majorHAnsi" w:cstheme="majorHAnsi"/>
          <w:sz w:val="22"/>
          <w:szCs w:val="22"/>
        </w:rPr>
        <w:t xml:space="preserve">ejercerá la administración del catálogo de proyectos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 xml:space="preserve">-PUGS-SACHA, y establecerá los procedimientos que sean pertinentes para el registro de nuevos proyectos generados por las Direcciones, </w:t>
      </w:r>
      <w:r w:rsidRPr="00B24A80">
        <w:rPr>
          <w:rFonts w:asciiTheme="majorHAnsi" w:eastAsia="Calibri" w:hAnsiTheme="majorHAnsi" w:cstheme="majorHAnsi"/>
          <w:sz w:val="22"/>
          <w:szCs w:val="22"/>
        </w:rPr>
        <w:lastRenderedPageBreak/>
        <w:t xml:space="preserve">Unidades Desconcentradas o Adscritas. </w:t>
      </w:r>
    </w:p>
    <w:p w14:paraId="5F5CFDA9" w14:textId="07DEAE5A" w:rsidR="00A128DF" w:rsidRPr="00B24A80" w:rsidRDefault="00A128DF" w:rsidP="00A128DF">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TERCERA</w:t>
      </w:r>
      <w:r w:rsidRPr="00B24A80">
        <w:rPr>
          <w:rFonts w:asciiTheme="majorHAnsi" w:eastAsia="Calibri" w:hAnsiTheme="majorHAnsi" w:cstheme="majorHAnsi"/>
          <w:sz w:val="22"/>
          <w:szCs w:val="22"/>
        </w:rPr>
        <w:t>. - La realización de estudios y ejecución de toda obra pública, referida a vialidad, infraestructura</w:t>
      </w:r>
      <w:r w:rsidR="009F132D"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de servicios de agua potable, alcantarillado y construcción de todo tipo</w:t>
      </w:r>
      <w:r w:rsidR="007A6315"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de equipamientos que consten en los respectivos POA de las Direcciones, Unidades</w:t>
      </w:r>
      <w:r w:rsidR="007A6315"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Desconcentradas o Adscritas, se ajustarán a las</w:t>
      </w:r>
      <w:r w:rsidR="007A6315"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 xml:space="preserve">prioridades estratégicas del desarrollo, definidas en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-PUGS-</w:t>
      </w:r>
      <w:r w:rsidR="007A6315" w:rsidRPr="00B24A80">
        <w:rPr>
          <w:rFonts w:asciiTheme="majorHAnsi" w:eastAsia="Calibri" w:hAnsiTheme="majorHAnsi" w:cstheme="majorHAnsi"/>
          <w:sz w:val="22"/>
          <w:szCs w:val="22"/>
        </w:rPr>
        <w:t xml:space="preserve"> SACHA</w:t>
      </w:r>
      <w:r w:rsidRPr="00B24A80">
        <w:rPr>
          <w:rFonts w:asciiTheme="majorHAnsi" w:eastAsia="Calibri" w:hAnsiTheme="majorHAnsi" w:cstheme="majorHAnsi"/>
          <w:sz w:val="22"/>
          <w:szCs w:val="22"/>
        </w:rPr>
        <w:t xml:space="preserve"> y</w:t>
      </w:r>
      <w:r w:rsidR="007A6315"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aprobadas por el Consejo Cantonal de Planificación.</w:t>
      </w:r>
    </w:p>
    <w:p w14:paraId="770E2358" w14:textId="696AA29B" w:rsidR="007A6315" w:rsidRPr="00B24A80" w:rsidRDefault="007A6315" w:rsidP="007A6315">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CUARTA</w:t>
      </w:r>
      <w:r w:rsidR="0066072D" w:rsidRPr="00B24A80">
        <w:rPr>
          <w:rFonts w:asciiTheme="majorHAnsi" w:eastAsia="Calibri" w:hAnsiTheme="majorHAnsi" w:cstheme="majorHAnsi"/>
          <w:sz w:val="22"/>
          <w:szCs w:val="22"/>
        </w:rPr>
        <w:t>. - Encárguese a la Secretaria G</w:t>
      </w:r>
      <w:r w:rsidRPr="00B24A80">
        <w:rPr>
          <w:rFonts w:asciiTheme="majorHAnsi" w:eastAsia="Calibri" w:hAnsiTheme="majorHAnsi" w:cstheme="majorHAnsi"/>
          <w:sz w:val="22"/>
          <w:szCs w:val="22"/>
        </w:rPr>
        <w:t xml:space="preserve">eneral y la Dirección de </w:t>
      </w:r>
      <w:r w:rsidR="0066072D" w:rsidRPr="00B24A80">
        <w:rPr>
          <w:rFonts w:asciiTheme="majorHAnsi" w:eastAsia="Calibri" w:hAnsiTheme="majorHAnsi" w:cstheme="majorHAnsi"/>
          <w:sz w:val="22"/>
          <w:szCs w:val="22"/>
        </w:rPr>
        <w:t xml:space="preserve">Gestión de Cooperación Internacional, Participación Ciudadana y </w:t>
      </w:r>
      <w:r w:rsidRPr="00B24A80">
        <w:rPr>
          <w:rFonts w:asciiTheme="majorHAnsi" w:eastAsia="Calibri" w:hAnsiTheme="majorHAnsi" w:cstheme="majorHAnsi"/>
          <w:sz w:val="22"/>
          <w:szCs w:val="22"/>
        </w:rPr>
        <w:t xml:space="preserve">Comunicación del GAD Municipal, difundir íntegramente los contenidos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-PUGS-SACHA</w:t>
      </w:r>
      <w:r w:rsidR="0066072D" w:rsidRPr="00B24A80">
        <w:rPr>
          <w:rFonts w:asciiTheme="majorHAnsi" w:eastAsia="Calibri" w:hAnsiTheme="majorHAnsi" w:cstheme="majorHAnsi"/>
          <w:sz w:val="22"/>
          <w:szCs w:val="22"/>
        </w:rPr>
        <w:t xml:space="preserve"> y la presente ordenanza</w:t>
      </w:r>
      <w:r w:rsidRPr="00B24A80">
        <w:rPr>
          <w:rFonts w:asciiTheme="majorHAnsi" w:eastAsia="Calibri" w:hAnsiTheme="majorHAnsi" w:cstheme="majorHAnsi"/>
          <w:sz w:val="22"/>
          <w:szCs w:val="22"/>
        </w:rPr>
        <w:t xml:space="preserve"> en concordancia con el artículo 48 del Código de Planificación y Finanzas Públicas.</w:t>
      </w:r>
    </w:p>
    <w:p w14:paraId="71FF7F95" w14:textId="5C9C68DE" w:rsidR="007A6315" w:rsidRPr="00B24A80" w:rsidRDefault="007A6315" w:rsidP="007A6315">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QUINTA:</w:t>
      </w:r>
      <w:r w:rsidRPr="00B24A80">
        <w:rPr>
          <w:rFonts w:asciiTheme="majorHAnsi" w:eastAsia="Calibri" w:hAnsiTheme="majorHAnsi" w:cstheme="majorHAnsi"/>
          <w:sz w:val="22"/>
          <w:szCs w:val="22"/>
        </w:rPr>
        <w:t xml:space="preserve"> La Dirección Financiera, en la elaboración del presupuesto anual del </w:t>
      </w:r>
      <w:r w:rsidR="006E0959" w:rsidRPr="00B24A80">
        <w:rPr>
          <w:rFonts w:asciiTheme="majorHAnsi" w:eastAsia="Calibri" w:hAnsiTheme="majorHAnsi" w:cstheme="majorHAnsi"/>
          <w:sz w:val="22"/>
          <w:szCs w:val="22"/>
        </w:rPr>
        <w:t>GADM del cantón La Joya de los Sachas</w:t>
      </w:r>
      <w:r w:rsidRPr="00B24A80">
        <w:rPr>
          <w:rFonts w:asciiTheme="majorHAnsi" w:eastAsia="Calibri" w:hAnsiTheme="majorHAnsi" w:cstheme="majorHAnsi"/>
          <w:sz w:val="22"/>
          <w:szCs w:val="22"/>
        </w:rPr>
        <w:t>, en función de la planificación y de las prioridades institucionales, asignará el presupuesto equivalente a los recursos obtenidos por concepto de la concesión onerosa de derechos de uso y edificabilidad operados a través de Proyectos o Planes Parciales Urbanísticos y Arquitectónicos para la ejecución de infraestructura, construcción de vivienda de interés social, equipamiento, sistemas públicos de soporte u otras actuaciones para la habilitación del suelo y la garantía del derecho a la ciudad, de conformidad con lo establecido en el Art.73 de la LOOTUGS.</w:t>
      </w:r>
    </w:p>
    <w:p w14:paraId="0B2D6542" w14:textId="1E5BA61A" w:rsidR="007A6315" w:rsidRPr="00B24A80" w:rsidRDefault="007A6315" w:rsidP="007A6315">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SEXTA. -</w:t>
      </w:r>
      <w:r w:rsidRPr="00B24A80">
        <w:rPr>
          <w:rFonts w:asciiTheme="majorHAnsi" w:eastAsia="Calibri" w:hAnsiTheme="majorHAnsi" w:cstheme="majorHAnsi"/>
          <w:sz w:val="22"/>
          <w:szCs w:val="22"/>
        </w:rPr>
        <w:t xml:space="preserve"> </w:t>
      </w:r>
      <w:r w:rsidR="00D01697" w:rsidRPr="00B24A80">
        <w:rPr>
          <w:rFonts w:asciiTheme="majorHAnsi" w:eastAsia="Calibri" w:hAnsiTheme="majorHAnsi" w:cstheme="majorHAnsi"/>
          <w:sz w:val="22"/>
          <w:szCs w:val="22"/>
        </w:rPr>
        <w:t xml:space="preserve">El Gobierno Autónomo Descentralizado Municipal del </w:t>
      </w:r>
      <w:r w:rsidR="00CD4F27" w:rsidRPr="00B24A80">
        <w:rPr>
          <w:rFonts w:asciiTheme="majorHAnsi" w:eastAsia="Calibri" w:hAnsiTheme="majorHAnsi" w:cstheme="majorHAnsi"/>
          <w:sz w:val="22"/>
          <w:szCs w:val="22"/>
        </w:rPr>
        <w:t>cantón La Joya de los Sachas</w:t>
      </w:r>
      <w:r w:rsidRPr="00B24A80">
        <w:rPr>
          <w:rFonts w:asciiTheme="majorHAnsi" w:eastAsia="Calibri" w:hAnsiTheme="majorHAnsi" w:cstheme="majorHAnsi"/>
          <w:sz w:val="22"/>
          <w:szCs w:val="22"/>
        </w:rPr>
        <w:t>, deberá contar con un equipo técnico multidisciplinario interno o externo responsable de la formulación, socialización, ajuste y presentación del Plan de Uso y Gestión del Suelo, así como de los respectivos Planes Urbanísticos Complementarios que correspondan.</w:t>
      </w:r>
    </w:p>
    <w:p w14:paraId="521F8FC6" w14:textId="3C9C42D8" w:rsidR="007A6315" w:rsidRPr="00B24A80" w:rsidRDefault="007A6315" w:rsidP="007A6315">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Estos equipos deberán contar con los mínimos recursos tecnológicos que les permitan analizar, interpretar, y preparar toda la información relacionada con el Plan de Uso y Gestión del Suelo, así como con los Planes Urbanísticos Complementarios, para cuyo efecto estarán como responsables la </w:t>
      </w:r>
      <w:r w:rsidR="00D01697" w:rsidRPr="00B24A80">
        <w:rPr>
          <w:rFonts w:asciiTheme="majorHAnsi" w:eastAsia="Calibri" w:hAnsiTheme="majorHAnsi" w:cstheme="majorHAnsi"/>
          <w:sz w:val="22"/>
          <w:szCs w:val="22"/>
        </w:rPr>
        <w:t>Dirección de Gestión Planificación</w:t>
      </w:r>
      <w:r w:rsidRPr="00B24A80">
        <w:rPr>
          <w:rFonts w:asciiTheme="majorHAnsi" w:eastAsia="Calibri" w:hAnsiTheme="majorHAnsi" w:cstheme="majorHAnsi"/>
          <w:sz w:val="22"/>
          <w:szCs w:val="22"/>
        </w:rPr>
        <w:t>.</w:t>
      </w:r>
      <w:r w:rsidR="00732CFA" w:rsidRPr="00B24A80">
        <w:rPr>
          <w:rFonts w:asciiTheme="majorHAnsi" w:eastAsia="Calibri" w:hAnsiTheme="majorHAnsi" w:cstheme="majorHAnsi"/>
          <w:sz w:val="22"/>
          <w:szCs w:val="22"/>
        </w:rPr>
        <w:t xml:space="preserve"> </w:t>
      </w:r>
    </w:p>
    <w:p w14:paraId="5AFE9582" w14:textId="7BE1B0C7" w:rsidR="00732CFA" w:rsidRPr="00B24A80" w:rsidRDefault="00732CFA" w:rsidP="00732CFA">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b/>
          <w:sz w:val="22"/>
          <w:szCs w:val="22"/>
        </w:rPr>
        <w:t>SEPTIMA.</w:t>
      </w:r>
      <w:r w:rsidRPr="00B24A80">
        <w:rPr>
          <w:rFonts w:asciiTheme="majorHAnsi" w:eastAsia="Calibri" w:hAnsiTheme="majorHAnsi" w:cstheme="majorHAnsi"/>
          <w:sz w:val="22"/>
          <w:szCs w:val="22"/>
        </w:rPr>
        <w:t xml:space="preserve"> - Los estándares urbanísticos específicos que formarán parte del componente urbanístico del Plan de Uso y Gestión del Suelo deberá sujetarse a las políticas y estándares nacionales vigentes y que se formulen por parte de las entidades </w:t>
      </w:r>
      <w:r w:rsidR="0066072D" w:rsidRPr="00B24A80">
        <w:rPr>
          <w:rFonts w:asciiTheme="majorHAnsi" w:eastAsia="Calibri" w:hAnsiTheme="majorHAnsi" w:cstheme="majorHAnsi"/>
          <w:sz w:val="22"/>
          <w:szCs w:val="22"/>
        </w:rPr>
        <w:t>sectoriales del G</w:t>
      </w:r>
      <w:r w:rsidRPr="00B24A80">
        <w:rPr>
          <w:rFonts w:asciiTheme="majorHAnsi" w:eastAsia="Calibri" w:hAnsiTheme="majorHAnsi" w:cstheme="majorHAnsi"/>
          <w:sz w:val="22"/>
          <w:szCs w:val="22"/>
        </w:rPr>
        <w:t>obierno Central competentes en cada una de sus ramas, entre éstas: ambiente, agua, agro, telecomunicaciones, riesgos, energía y recursos renovables, obra pública, equipamiento de salud, de educación, entre otras.</w:t>
      </w:r>
    </w:p>
    <w:p w14:paraId="2D9FEDC6" w14:textId="0F86D503" w:rsidR="00DC27E8" w:rsidRPr="00B24A80" w:rsidRDefault="00732CFA" w:rsidP="00732CFA">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OCTAVA. -</w:t>
      </w:r>
      <w:r w:rsidRPr="00B24A80">
        <w:rPr>
          <w:rFonts w:asciiTheme="majorHAnsi" w:eastAsia="Calibri" w:hAnsiTheme="majorHAnsi" w:cstheme="majorHAnsi"/>
          <w:color w:val="000000"/>
          <w:sz w:val="22"/>
          <w:szCs w:val="22"/>
        </w:rPr>
        <w:t xml:space="preserve"> </w:t>
      </w:r>
      <w:r w:rsidR="007F5505" w:rsidRPr="00B24A80">
        <w:rPr>
          <w:rFonts w:asciiTheme="majorHAnsi" w:eastAsia="Calibri" w:hAnsiTheme="majorHAnsi" w:cstheme="majorHAnsi"/>
          <w:color w:val="000000"/>
          <w:sz w:val="22"/>
          <w:szCs w:val="22"/>
        </w:rPr>
        <w:t>El Plan de</w:t>
      </w:r>
      <w:r w:rsidR="0066072D" w:rsidRPr="00B24A80">
        <w:rPr>
          <w:rFonts w:asciiTheme="majorHAnsi" w:eastAsia="Calibri" w:hAnsiTheme="majorHAnsi" w:cstheme="majorHAnsi"/>
          <w:sz w:val="22"/>
          <w:szCs w:val="22"/>
        </w:rPr>
        <w:t xml:space="preserve"> Uso y Gestión del Suelo del</w:t>
      </w:r>
      <w:r w:rsidR="00D01697" w:rsidRPr="00B24A80">
        <w:rPr>
          <w:rFonts w:asciiTheme="majorHAnsi" w:eastAsia="Calibri" w:hAnsiTheme="majorHAnsi" w:cstheme="majorHAnsi"/>
          <w:sz w:val="22"/>
          <w:szCs w:val="22"/>
        </w:rPr>
        <w:t xml:space="preserve"> Gobierno Autónomo</w:t>
      </w:r>
      <w:r w:rsidR="0066072D" w:rsidRPr="00B24A80">
        <w:rPr>
          <w:rFonts w:asciiTheme="majorHAnsi" w:eastAsia="Calibri" w:hAnsiTheme="majorHAnsi" w:cstheme="majorHAnsi"/>
          <w:sz w:val="22"/>
          <w:szCs w:val="22"/>
        </w:rPr>
        <w:t xml:space="preserve"> Descentralizado Municipal del c</w:t>
      </w:r>
      <w:r w:rsidR="00D01697" w:rsidRPr="00B24A80">
        <w:rPr>
          <w:rFonts w:asciiTheme="majorHAnsi" w:eastAsia="Calibri" w:hAnsiTheme="majorHAnsi" w:cstheme="majorHAnsi"/>
          <w:sz w:val="22"/>
          <w:szCs w:val="22"/>
        </w:rPr>
        <w:t>antón La Joya de los Sachas</w:t>
      </w:r>
      <w:r w:rsidR="007F5505" w:rsidRPr="00B24A80">
        <w:rPr>
          <w:rFonts w:asciiTheme="majorHAnsi" w:eastAsia="Calibri" w:hAnsiTheme="majorHAnsi" w:cstheme="majorHAnsi"/>
          <w:sz w:val="22"/>
          <w:szCs w:val="22"/>
        </w:rPr>
        <w:t xml:space="preserve"> entran en vigencia a partir su publicación</w:t>
      </w:r>
      <w:r w:rsidR="0066072D" w:rsidRPr="00B24A80">
        <w:rPr>
          <w:rFonts w:asciiTheme="majorHAnsi" w:eastAsia="Calibri" w:hAnsiTheme="majorHAnsi" w:cstheme="majorHAnsi"/>
          <w:sz w:val="22"/>
          <w:szCs w:val="22"/>
        </w:rPr>
        <w:t xml:space="preserve"> de la presente ordenanza, y su </w:t>
      </w:r>
      <w:r w:rsidR="007F5505" w:rsidRPr="00B24A80">
        <w:rPr>
          <w:rFonts w:asciiTheme="majorHAnsi" w:eastAsia="Calibri" w:hAnsiTheme="majorHAnsi" w:cstheme="majorHAnsi"/>
          <w:sz w:val="22"/>
          <w:szCs w:val="22"/>
        </w:rPr>
        <w:t>difusión se realiza mediante los medios oficiales de la institución, el Registro Oficial y otros espacios que considere necesario.</w:t>
      </w:r>
    </w:p>
    <w:p w14:paraId="6B719C5E" w14:textId="2901FED6" w:rsidR="00DC27E8" w:rsidRPr="00B24A80" w:rsidRDefault="00732CFA">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NOVENA</w:t>
      </w:r>
      <w:r w:rsidR="007F5505" w:rsidRPr="00B24A80">
        <w:rPr>
          <w:rFonts w:asciiTheme="majorHAnsi" w:eastAsia="Calibri" w:hAnsiTheme="majorHAnsi" w:cstheme="majorHAnsi"/>
          <w:b/>
          <w:color w:val="000000"/>
          <w:sz w:val="22"/>
          <w:szCs w:val="22"/>
        </w:rPr>
        <w:t>. -</w:t>
      </w:r>
      <w:r w:rsidR="007F5505" w:rsidRPr="00B24A80">
        <w:rPr>
          <w:rFonts w:asciiTheme="majorHAnsi" w:eastAsia="Calibri" w:hAnsiTheme="majorHAnsi" w:cstheme="majorHAnsi"/>
          <w:color w:val="000000"/>
          <w:sz w:val="22"/>
          <w:szCs w:val="22"/>
        </w:rPr>
        <w:t xml:space="preserve"> </w:t>
      </w:r>
      <w:r w:rsidR="007F5505" w:rsidRPr="00B24A80">
        <w:rPr>
          <w:rFonts w:asciiTheme="majorHAnsi" w:eastAsia="Calibri" w:hAnsiTheme="majorHAnsi" w:cstheme="majorHAnsi"/>
          <w:color w:val="37393D"/>
          <w:sz w:val="22"/>
          <w:szCs w:val="22"/>
        </w:rPr>
        <w:t xml:space="preserve">Los permisos y certificados otorgados </w:t>
      </w:r>
      <w:r w:rsidR="007F5505" w:rsidRPr="00B24A80">
        <w:rPr>
          <w:rFonts w:asciiTheme="majorHAnsi" w:eastAsia="Calibri" w:hAnsiTheme="majorHAnsi" w:cstheme="majorHAnsi"/>
          <w:sz w:val="22"/>
          <w:szCs w:val="22"/>
        </w:rPr>
        <w:t xml:space="preserve">por </w:t>
      </w:r>
      <w:r w:rsidR="0066072D" w:rsidRPr="00B24A80">
        <w:rPr>
          <w:rFonts w:asciiTheme="majorHAnsi" w:eastAsia="Calibri" w:hAnsiTheme="majorHAnsi" w:cstheme="majorHAnsi"/>
          <w:color w:val="37393D"/>
          <w:sz w:val="22"/>
          <w:szCs w:val="22"/>
        </w:rPr>
        <w:t>el GADM del cantón La</w:t>
      </w:r>
      <w:r w:rsidR="00E30701" w:rsidRPr="00B24A80">
        <w:rPr>
          <w:rFonts w:asciiTheme="majorHAnsi" w:eastAsia="Calibri" w:hAnsiTheme="majorHAnsi" w:cstheme="majorHAnsi"/>
          <w:color w:val="25282C"/>
          <w:sz w:val="22"/>
          <w:szCs w:val="22"/>
        </w:rPr>
        <w:t xml:space="preserve"> Joya de los Sachas</w:t>
      </w:r>
      <w:r w:rsidR="007D7568" w:rsidRPr="00B24A80">
        <w:rPr>
          <w:rFonts w:asciiTheme="majorHAnsi" w:eastAsia="Calibri" w:hAnsiTheme="majorHAnsi" w:cstheme="majorHAnsi"/>
          <w:sz w:val="22"/>
          <w:szCs w:val="22"/>
        </w:rPr>
        <w:t xml:space="preserve"> </w:t>
      </w:r>
      <w:r w:rsidR="007F5505" w:rsidRPr="00B24A80">
        <w:rPr>
          <w:rFonts w:asciiTheme="majorHAnsi" w:eastAsia="Calibri" w:hAnsiTheme="majorHAnsi" w:cstheme="majorHAnsi"/>
          <w:sz w:val="22"/>
          <w:szCs w:val="22"/>
        </w:rPr>
        <w:t xml:space="preserve">referentes a </w:t>
      </w:r>
      <w:r w:rsidR="007F5505" w:rsidRPr="00B24A80">
        <w:rPr>
          <w:rFonts w:asciiTheme="majorHAnsi" w:eastAsia="Calibri" w:hAnsiTheme="majorHAnsi" w:cstheme="majorHAnsi"/>
          <w:color w:val="37393D"/>
          <w:sz w:val="22"/>
          <w:szCs w:val="22"/>
        </w:rPr>
        <w:t xml:space="preserve">aprobación </w:t>
      </w:r>
      <w:r w:rsidR="007F5505" w:rsidRPr="00B24A80">
        <w:rPr>
          <w:rFonts w:asciiTheme="majorHAnsi" w:eastAsia="Calibri" w:hAnsiTheme="majorHAnsi" w:cstheme="majorHAnsi"/>
          <w:sz w:val="22"/>
          <w:szCs w:val="22"/>
        </w:rPr>
        <w:t xml:space="preserve">de </w:t>
      </w:r>
      <w:r w:rsidR="007F5505" w:rsidRPr="00B24A80">
        <w:rPr>
          <w:rFonts w:asciiTheme="majorHAnsi" w:eastAsia="Calibri" w:hAnsiTheme="majorHAnsi" w:cstheme="majorHAnsi"/>
          <w:color w:val="37393D"/>
          <w:sz w:val="22"/>
          <w:szCs w:val="22"/>
        </w:rPr>
        <w:t xml:space="preserve">planos, construcciones, </w:t>
      </w:r>
      <w:r w:rsidR="007F5505" w:rsidRPr="00B24A80">
        <w:rPr>
          <w:rFonts w:asciiTheme="majorHAnsi" w:eastAsia="Calibri" w:hAnsiTheme="majorHAnsi" w:cstheme="majorHAnsi"/>
          <w:sz w:val="22"/>
          <w:szCs w:val="22"/>
        </w:rPr>
        <w:t xml:space="preserve">fraccionamientos </w:t>
      </w:r>
      <w:r w:rsidR="007F5505" w:rsidRPr="00B24A80">
        <w:rPr>
          <w:rFonts w:asciiTheme="majorHAnsi" w:eastAsia="Calibri" w:hAnsiTheme="majorHAnsi" w:cstheme="majorHAnsi"/>
          <w:color w:val="37393D"/>
          <w:sz w:val="22"/>
          <w:szCs w:val="22"/>
        </w:rPr>
        <w:t xml:space="preserve">urbanizaciones, otorgados antes </w:t>
      </w:r>
      <w:r w:rsidR="007F5505" w:rsidRPr="00B24A80">
        <w:rPr>
          <w:rFonts w:asciiTheme="majorHAnsi" w:eastAsia="Calibri" w:hAnsiTheme="majorHAnsi" w:cstheme="majorHAnsi"/>
          <w:sz w:val="22"/>
          <w:szCs w:val="22"/>
        </w:rPr>
        <w:t xml:space="preserve">de la </w:t>
      </w:r>
      <w:r w:rsidR="007F5505" w:rsidRPr="00B24A80">
        <w:rPr>
          <w:rFonts w:asciiTheme="majorHAnsi" w:eastAsia="Calibri" w:hAnsiTheme="majorHAnsi" w:cstheme="majorHAnsi"/>
          <w:color w:val="37393D"/>
          <w:sz w:val="22"/>
          <w:szCs w:val="22"/>
        </w:rPr>
        <w:t xml:space="preserve">vigencia </w:t>
      </w:r>
      <w:r w:rsidR="007F5505" w:rsidRPr="00B24A80">
        <w:rPr>
          <w:rFonts w:asciiTheme="majorHAnsi" w:eastAsia="Calibri" w:hAnsiTheme="majorHAnsi" w:cstheme="majorHAnsi"/>
          <w:sz w:val="22"/>
          <w:szCs w:val="22"/>
        </w:rPr>
        <w:t xml:space="preserve">de </w:t>
      </w:r>
      <w:r w:rsidR="007F5505" w:rsidRPr="00B24A80">
        <w:rPr>
          <w:rFonts w:asciiTheme="majorHAnsi" w:eastAsia="Calibri" w:hAnsiTheme="majorHAnsi" w:cstheme="majorHAnsi"/>
          <w:color w:val="37393D"/>
          <w:sz w:val="22"/>
          <w:szCs w:val="22"/>
        </w:rPr>
        <w:t xml:space="preserve">esta Ordenanza, tendrá </w:t>
      </w:r>
      <w:r w:rsidR="007F5505" w:rsidRPr="00B24A80">
        <w:rPr>
          <w:rFonts w:asciiTheme="majorHAnsi" w:eastAsia="Calibri" w:hAnsiTheme="majorHAnsi" w:cstheme="majorHAnsi"/>
          <w:sz w:val="22"/>
          <w:szCs w:val="22"/>
        </w:rPr>
        <w:t xml:space="preserve">validez por el </w:t>
      </w:r>
      <w:r w:rsidR="007F5505" w:rsidRPr="00B24A80">
        <w:rPr>
          <w:rFonts w:asciiTheme="majorHAnsi" w:eastAsia="Calibri" w:hAnsiTheme="majorHAnsi" w:cstheme="majorHAnsi"/>
          <w:color w:val="37393D"/>
          <w:sz w:val="22"/>
          <w:szCs w:val="22"/>
        </w:rPr>
        <w:t xml:space="preserve">período de </w:t>
      </w:r>
      <w:r w:rsidR="007F5505" w:rsidRPr="00B24A80">
        <w:rPr>
          <w:rFonts w:asciiTheme="majorHAnsi" w:eastAsia="Calibri" w:hAnsiTheme="majorHAnsi" w:cstheme="majorHAnsi"/>
          <w:sz w:val="22"/>
          <w:szCs w:val="22"/>
        </w:rPr>
        <w:t xml:space="preserve">tiempo establecido en </w:t>
      </w:r>
      <w:r w:rsidR="007F5505" w:rsidRPr="00B24A80">
        <w:rPr>
          <w:rFonts w:asciiTheme="majorHAnsi" w:eastAsia="Calibri" w:hAnsiTheme="majorHAnsi" w:cstheme="majorHAnsi"/>
          <w:color w:val="37393D"/>
          <w:sz w:val="22"/>
          <w:szCs w:val="22"/>
        </w:rPr>
        <w:t xml:space="preserve">cada </w:t>
      </w:r>
      <w:r w:rsidR="007F5505" w:rsidRPr="00B24A80">
        <w:rPr>
          <w:rFonts w:asciiTheme="majorHAnsi" w:eastAsia="Calibri" w:hAnsiTheme="majorHAnsi" w:cstheme="majorHAnsi"/>
          <w:sz w:val="22"/>
          <w:szCs w:val="22"/>
        </w:rPr>
        <w:t>uno de ellos.</w:t>
      </w:r>
    </w:p>
    <w:p w14:paraId="4A8A2401" w14:textId="06264281" w:rsidR="00DC27E8" w:rsidRPr="00B24A80" w:rsidRDefault="0066072D">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lastRenderedPageBreak/>
        <w:t>DÉCIM</w:t>
      </w:r>
      <w:r w:rsidR="00683590" w:rsidRPr="00B24A80">
        <w:rPr>
          <w:rFonts w:asciiTheme="majorHAnsi" w:eastAsia="Calibri" w:hAnsiTheme="majorHAnsi" w:cstheme="majorHAnsi"/>
          <w:b/>
          <w:color w:val="000000"/>
          <w:sz w:val="22"/>
          <w:szCs w:val="22"/>
        </w:rPr>
        <w:t>A</w:t>
      </w:r>
      <w:r w:rsidR="007F5505" w:rsidRPr="00B24A80">
        <w:rPr>
          <w:rFonts w:asciiTheme="majorHAnsi" w:eastAsia="Calibri" w:hAnsiTheme="majorHAnsi" w:cstheme="majorHAnsi"/>
          <w:b/>
          <w:color w:val="000000"/>
          <w:sz w:val="22"/>
          <w:szCs w:val="22"/>
        </w:rPr>
        <w:t>. -</w:t>
      </w:r>
      <w:r w:rsidR="007F5505" w:rsidRPr="00B24A80">
        <w:rPr>
          <w:rFonts w:asciiTheme="majorHAnsi" w:eastAsia="Calibri" w:hAnsiTheme="majorHAnsi" w:cstheme="majorHAnsi"/>
          <w:color w:val="000000"/>
          <w:sz w:val="22"/>
          <w:szCs w:val="22"/>
        </w:rPr>
        <w:t xml:space="preserve"> </w:t>
      </w:r>
      <w:r w:rsidR="007F5505" w:rsidRPr="00B24A80">
        <w:rPr>
          <w:rFonts w:asciiTheme="majorHAnsi" w:eastAsia="Calibri" w:hAnsiTheme="majorHAnsi" w:cstheme="majorHAnsi"/>
          <w:sz w:val="22"/>
          <w:szCs w:val="22"/>
        </w:rPr>
        <w:t xml:space="preserve">Se establece como sistema de coordenadas oficial para todo trabajo o trámite dentro del territorio del </w:t>
      </w:r>
      <w:r w:rsidR="00CD4F27" w:rsidRPr="00B24A80">
        <w:rPr>
          <w:rFonts w:asciiTheme="majorHAnsi" w:eastAsia="Calibri" w:hAnsiTheme="majorHAnsi" w:cstheme="majorHAnsi"/>
          <w:sz w:val="22"/>
          <w:szCs w:val="22"/>
        </w:rPr>
        <w:t>cantón La Joya de los Sachas</w:t>
      </w:r>
      <w:r w:rsidR="007F5505" w:rsidRPr="00B24A80">
        <w:rPr>
          <w:rFonts w:asciiTheme="majorHAnsi" w:eastAsia="Calibri" w:hAnsiTheme="majorHAnsi" w:cstheme="majorHAnsi"/>
          <w:sz w:val="22"/>
          <w:szCs w:val="22"/>
        </w:rPr>
        <w:t xml:space="preserve">, hasta alguna disposición de carácter nacional en contrario; el sistema de Coordenadas UTM WGS 84 Zona </w:t>
      </w:r>
      <w:r w:rsidRPr="00F450AE">
        <w:rPr>
          <w:rFonts w:asciiTheme="majorHAnsi" w:eastAsia="Calibri" w:hAnsiTheme="majorHAnsi" w:cstheme="majorHAnsi"/>
          <w:color w:val="FF0000"/>
          <w:sz w:val="22"/>
          <w:szCs w:val="22"/>
        </w:rPr>
        <w:t>17</w:t>
      </w:r>
      <w:r w:rsidR="007F5505" w:rsidRPr="00B24A80">
        <w:rPr>
          <w:rFonts w:asciiTheme="majorHAnsi" w:eastAsia="Calibri" w:hAnsiTheme="majorHAnsi" w:cstheme="majorHAnsi"/>
          <w:sz w:val="22"/>
          <w:szCs w:val="22"/>
        </w:rPr>
        <w:t xml:space="preserve"> </w:t>
      </w:r>
      <w:r w:rsidR="00F450AE" w:rsidRPr="00F450AE">
        <w:rPr>
          <w:rFonts w:asciiTheme="majorHAnsi" w:eastAsia="Calibri" w:hAnsiTheme="majorHAnsi" w:cstheme="majorHAnsi"/>
          <w:color w:val="92D050"/>
          <w:sz w:val="22"/>
          <w:szCs w:val="22"/>
        </w:rPr>
        <w:t>18</w:t>
      </w:r>
      <w:r w:rsidR="00F450AE">
        <w:rPr>
          <w:rFonts w:asciiTheme="majorHAnsi" w:eastAsia="Calibri" w:hAnsiTheme="majorHAnsi" w:cstheme="majorHAnsi"/>
          <w:sz w:val="22"/>
          <w:szCs w:val="22"/>
        </w:rPr>
        <w:t xml:space="preserve"> </w:t>
      </w:r>
      <w:r w:rsidR="007F5505" w:rsidRPr="00B24A80">
        <w:rPr>
          <w:rFonts w:asciiTheme="majorHAnsi" w:eastAsia="Calibri" w:hAnsiTheme="majorHAnsi" w:cstheme="majorHAnsi"/>
          <w:sz w:val="22"/>
          <w:szCs w:val="22"/>
        </w:rPr>
        <w:t>Sur, el mismo que será debidamente expresado en estos términos. En el caso de que estos se hayan realizado en otros sistemas diferentes, es necesario establecer las debidas proyecciones.</w:t>
      </w:r>
    </w:p>
    <w:p w14:paraId="30941CF8" w14:textId="0FCE815F" w:rsidR="00DC27E8" w:rsidRDefault="0066072D">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b/>
          <w:color w:val="000000"/>
          <w:sz w:val="22"/>
          <w:szCs w:val="22"/>
        </w:rPr>
        <w:t>DÉCIMA PRIMERA</w:t>
      </w:r>
      <w:r w:rsidR="007F5505" w:rsidRPr="00B24A80">
        <w:rPr>
          <w:rFonts w:asciiTheme="majorHAnsi" w:eastAsia="Calibri" w:hAnsiTheme="majorHAnsi" w:cstheme="majorHAnsi"/>
          <w:b/>
          <w:color w:val="000000"/>
          <w:sz w:val="22"/>
          <w:szCs w:val="22"/>
        </w:rPr>
        <w:t>. -</w:t>
      </w:r>
      <w:r w:rsidR="007F5505"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En lo no previsto en esta Ordenanza, se aplicarán supletoriamente las disposiciones del Código Orgánico de Organización Territorial, Autonomía y Descentralización (COOTAD), la Ley Orgánica de Ordenamiento Territorial, Uso y Gestión del Suelo (LOOTUGS), la Ley Orgánica de Tierras Rurales y Territorios Ancestrales, así como las demás normativas conexas que resulten aplicables. Asimismo, se observarán las resoluciones y reglamentos emitidos por el ente rector competente, como el Concejo Técnico de Uso y Gestión del Suelo (CTUGS) y la Superintendencia de Ordenamiento Territorial (SOT).</w:t>
      </w:r>
    </w:p>
    <w:p w14:paraId="6D0CEA1E" w14:textId="55292CE6" w:rsidR="00BA4C8F" w:rsidRDefault="00BA4C8F" w:rsidP="00BA4C8F">
      <w:pPr>
        <w:spacing w:before="240" w:after="240" w:line="276" w:lineRule="auto"/>
        <w:ind w:right="113"/>
        <w:rPr>
          <w:rFonts w:asciiTheme="majorHAnsi" w:eastAsia="Calibri" w:hAnsiTheme="majorHAnsi" w:cstheme="majorHAnsi"/>
          <w:sz w:val="22"/>
          <w:szCs w:val="22"/>
        </w:rPr>
      </w:pPr>
      <w:r>
        <w:rPr>
          <w:rFonts w:asciiTheme="majorHAnsi" w:eastAsia="Calibri" w:hAnsiTheme="majorHAnsi" w:cstheme="majorHAnsi"/>
          <w:b/>
          <w:color w:val="000000"/>
          <w:sz w:val="22"/>
          <w:szCs w:val="22"/>
        </w:rPr>
        <w:t>DÉCIMA SEGUNDA</w:t>
      </w:r>
      <w:r w:rsidRPr="00B24A80">
        <w:rPr>
          <w:rFonts w:asciiTheme="majorHAnsi" w:eastAsia="Calibri" w:hAnsiTheme="majorHAnsi" w:cstheme="majorHAnsi"/>
          <w:b/>
          <w:color w:val="000000"/>
          <w:sz w:val="22"/>
          <w:szCs w:val="22"/>
        </w:rPr>
        <w:t>. -</w:t>
      </w:r>
      <w:r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sz w:val="22"/>
          <w:szCs w:val="22"/>
        </w:rPr>
        <w:t>En el caso de que el Ministerio rector de la política agraria, emita alguna resolución o criterio técnico que defina lote mínimo de fraccionamiento, construcciones, o usos de suelo; se realizará de manera inmediata la revisión de la zonificación rural.</w:t>
      </w:r>
    </w:p>
    <w:p w14:paraId="460E6F31" w14:textId="0B2B23E1" w:rsidR="006134BD" w:rsidRDefault="0025408E" w:rsidP="0025408E">
      <w:pPr>
        <w:pBdr>
          <w:top w:val="nil"/>
          <w:left w:val="nil"/>
          <w:bottom w:val="nil"/>
          <w:right w:val="nil"/>
          <w:between w:val="nil"/>
        </w:pBdr>
        <w:spacing w:before="240" w:line="276" w:lineRule="auto"/>
        <w:ind w:right="-100"/>
        <w:rPr>
          <w:rFonts w:asciiTheme="majorHAnsi" w:hAnsiTheme="majorHAnsi" w:cstheme="majorHAnsi"/>
          <w:sz w:val="22"/>
          <w:szCs w:val="22"/>
        </w:rPr>
      </w:pPr>
      <w:r>
        <w:rPr>
          <w:rFonts w:asciiTheme="majorHAnsi" w:hAnsiTheme="majorHAnsi" w:cstheme="majorHAnsi"/>
          <w:b/>
          <w:sz w:val="22"/>
          <w:szCs w:val="22"/>
        </w:rPr>
        <w:t>DÉCIMA</w:t>
      </w:r>
      <w:r w:rsidRPr="002E38CF">
        <w:rPr>
          <w:rFonts w:asciiTheme="majorHAnsi" w:hAnsiTheme="majorHAnsi" w:cstheme="majorHAnsi"/>
          <w:b/>
          <w:sz w:val="22"/>
          <w:szCs w:val="22"/>
        </w:rPr>
        <w:t xml:space="preserve"> </w:t>
      </w:r>
      <w:r>
        <w:rPr>
          <w:rFonts w:asciiTheme="majorHAnsi" w:hAnsiTheme="majorHAnsi" w:cstheme="majorHAnsi"/>
          <w:b/>
          <w:sz w:val="22"/>
          <w:szCs w:val="22"/>
        </w:rPr>
        <w:t>TERCERA</w:t>
      </w:r>
      <w:r w:rsidRPr="002E38CF">
        <w:rPr>
          <w:rFonts w:asciiTheme="majorHAnsi" w:hAnsiTheme="majorHAnsi" w:cstheme="majorHAnsi"/>
          <w:b/>
          <w:sz w:val="22"/>
          <w:szCs w:val="22"/>
        </w:rPr>
        <w:t>.</w:t>
      </w:r>
      <w:r>
        <w:rPr>
          <w:rFonts w:asciiTheme="majorHAnsi" w:hAnsiTheme="majorHAnsi" w:cstheme="majorHAnsi"/>
          <w:sz w:val="22"/>
          <w:szCs w:val="22"/>
        </w:rPr>
        <w:t xml:space="preserve"> - Se podrá generar normativas complementarias</w:t>
      </w:r>
      <w:r w:rsidR="001A3501">
        <w:rPr>
          <w:rFonts w:asciiTheme="majorHAnsi" w:hAnsiTheme="majorHAnsi" w:cstheme="majorHAnsi"/>
          <w:sz w:val="22"/>
          <w:szCs w:val="22"/>
        </w:rPr>
        <w:t xml:space="preserve"> posterior a la publicación en el registro oficial de la presente ordenanza,</w:t>
      </w:r>
      <w:r>
        <w:rPr>
          <w:rFonts w:asciiTheme="majorHAnsi" w:hAnsiTheme="majorHAnsi" w:cstheme="majorHAnsi"/>
          <w:sz w:val="22"/>
          <w:szCs w:val="22"/>
        </w:rPr>
        <w:t xml:space="preserve"> que refuercen</w:t>
      </w:r>
      <w:r w:rsidR="006134BD">
        <w:rPr>
          <w:rFonts w:asciiTheme="majorHAnsi" w:hAnsiTheme="majorHAnsi" w:cstheme="majorHAnsi"/>
          <w:sz w:val="22"/>
          <w:szCs w:val="22"/>
        </w:rPr>
        <w:t xml:space="preserve"> y viabilicen</w:t>
      </w:r>
      <w:r>
        <w:rPr>
          <w:rFonts w:asciiTheme="majorHAnsi" w:hAnsiTheme="majorHAnsi" w:cstheme="majorHAnsi"/>
          <w:sz w:val="22"/>
          <w:szCs w:val="22"/>
        </w:rPr>
        <w:t xml:space="preserve"> </w:t>
      </w:r>
      <w:r w:rsidR="001A3501">
        <w:rPr>
          <w:rFonts w:asciiTheme="majorHAnsi" w:hAnsiTheme="majorHAnsi" w:cstheme="majorHAnsi"/>
          <w:sz w:val="22"/>
          <w:szCs w:val="22"/>
        </w:rPr>
        <w:t>su</w:t>
      </w:r>
      <w:r w:rsidR="006134BD">
        <w:rPr>
          <w:rFonts w:asciiTheme="majorHAnsi" w:hAnsiTheme="majorHAnsi" w:cstheme="majorHAnsi"/>
          <w:sz w:val="22"/>
          <w:szCs w:val="22"/>
        </w:rPr>
        <w:t xml:space="preserve"> aplicación </w:t>
      </w:r>
      <w:r w:rsidR="001A3501">
        <w:rPr>
          <w:rFonts w:asciiTheme="majorHAnsi" w:hAnsiTheme="majorHAnsi" w:cstheme="majorHAnsi"/>
          <w:sz w:val="22"/>
          <w:szCs w:val="22"/>
        </w:rPr>
        <w:t>durante la vigencia de la misma</w:t>
      </w:r>
      <w:r w:rsidR="006134BD">
        <w:rPr>
          <w:rFonts w:asciiTheme="majorHAnsi" w:hAnsiTheme="majorHAnsi" w:cstheme="majorHAnsi"/>
          <w:sz w:val="22"/>
          <w:szCs w:val="22"/>
        </w:rPr>
        <w:t>.</w:t>
      </w:r>
    </w:p>
    <w:p w14:paraId="489812E6" w14:textId="13A5424C" w:rsidR="0025408E" w:rsidRPr="00B24A80" w:rsidRDefault="006134BD" w:rsidP="0025408E">
      <w:pPr>
        <w:pBdr>
          <w:top w:val="nil"/>
          <w:left w:val="nil"/>
          <w:bottom w:val="nil"/>
          <w:right w:val="nil"/>
          <w:between w:val="nil"/>
        </w:pBdr>
        <w:spacing w:before="240" w:line="276" w:lineRule="auto"/>
        <w:ind w:right="-100"/>
        <w:rPr>
          <w:rFonts w:asciiTheme="majorHAnsi" w:hAnsiTheme="majorHAnsi" w:cstheme="majorHAnsi"/>
          <w:sz w:val="22"/>
          <w:szCs w:val="22"/>
        </w:rPr>
      </w:pPr>
      <w:r>
        <w:rPr>
          <w:rFonts w:asciiTheme="majorHAnsi" w:hAnsiTheme="majorHAnsi" w:cstheme="majorHAnsi"/>
          <w:b/>
          <w:sz w:val="22"/>
          <w:szCs w:val="22"/>
        </w:rPr>
        <w:t>DÉCIMA</w:t>
      </w:r>
      <w:r w:rsidRPr="002E38CF">
        <w:rPr>
          <w:rFonts w:asciiTheme="majorHAnsi" w:hAnsiTheme="majorHAnsi" w:cstheme="majorHAnsi"/>
          <w:b/>
          <w:sz w:val="22"/>
          <w:szCs w:val="22"/>
        </w:rPr>
        <w:t xml:space="preserve"> </w:t>
      </w:r>
      <w:r>
        <w:rPr>
          <w:rFonts w:asciiTheme="majorHAnsi" w:hAnsiTheme="majorHAnsi" w:cstheme="majorHAnsi"/>
          <w:b/>
          <w:sz w:val="22"/>
          <w:szCs w:val="22"/>
        </w:rPr>
        <w:t>CUARTA</w:t>
      </w:r>
      <w:r w:rsidRPr="002E38CF">
        <w:rPr>
          <w:rFonts w:asciiTheme="majorHAnsi" w:hAnsiTheme="majorHAnsi" w:cstheme="majorHAnsi"/>
          <w:b/>
          <w:sz w:val="22"/>
          <w:szCs w:val="22"/>
        </w:rPr>
        <w:t>.</w:t>
      </w:r>
      <w:r>
        <w:rPr>
          <w:rFonts w:asciiTheme="majorHAnsi" w:hAnsiTheme="majorHAnsi" w:cstheme="majorHAnsi"/>
          <w:sz w:val="22"/>
          <w:szCs w:val="22"/>
        </w:rPr>
        <w:t xml:space="preserve"> – Ninguna norma complementaria podrá </w:t>
      </w:r>
      <w:r w:rsidR="0025408E">
        <w:rPr>
          <w:rFonts w:asciiTheme="majorHAnsi" w:hAnsiTheme="majorHAnsi" w:cstheme="majorHAnsi"/>
          <w:sz w:val="22"/>
          <w:szCs w:val="22"/>
        </w:rPr>
        <w:t>modifi</w:t>
      </w:r>
      <w:r>
        <w:rPr>
          <w:rFonts w:asciiTheme="majorHAnsi" w:hAnsiTheme="majorHAnsi" w:cstheme="majorHAnsi"/>
          <w:sz w:val="22"/>
          <w:szCs w:val="22"/>
        </w:rPr>
        <w:t>car</w:t>
      </w:r>
      <w:r w:rsidR="0025408E">
        <w:rPr>
          <w:rFonts w:asciiTheme="majorHAnsi" w:hAnsiTheme="majorHAnsi" w:cstheme="majorHAnsi"/>
          <w:sz w:val="22"/>
          <w:szCs w:val="22"/>
        </w:rPr>
        <w:t xml:space="preserve"> o contrapon</w:t>
      </w:r>
      <w:r>
        <w:rPr>
          <w:rFonts w:asciiTheme="majorHAnsi" w:hAnsiTheme="majorHAnsi" w:cstheme="majorHAnsi"/>
          <w:sz w:val="22"/>
          <w:szCs w:val="22"/>
        </w:rPr>
        <w:t>erse</w:t>
      </w:r>
      <w:r w:rsidR="0025408E">
        <w:rPr>
          <w:rFonts w:asciiTheme="majorHAnsi" w:hAnsiTheme="majorHAnsi" w:cstheme="majorHAnsi"/>
          <w:sz w:val="22"/>
          <w:szCs w:val="22"/>
        </w:rPr>
        <w:t xml:space="preserve"> el carácter técnico de la presente ordenanza. </w:t>
      </w:r>
    </w:p>
    <w:p w14:paraId="1196E858" w14:textId="2697EEF4" w:rsidR="00DC27E8" w:rsidRPr="00B24A80" w:rsidRDefault="003A597A" w:rsidP="003A597A">
      <w:pPr>
        <w:pStyle w:val="Ttulo1"/>
        <w:rPr>
          <w:rFonts w:cstheme="majorHAnsi"/>
          <w:sz w:val="22"/>
          <w:szCs w:val="22"/>
        </w:rPr>
      </w:pPr>
      <w:bookmarkStart w:id="421" w:name="_Toc65711714"/>
      <w:bookmarkStart w:id="422" w:name="_Toc81085699"/>
      <w:bookmarkStart w:id="423" w:name="_Toc181374138"/>
      <w:r w:rsidRPr="00B24A80">
        <w:rPr>
          <w:rFonts w:cstheme="majorHAnsi"/>
          <w:sz w:val="22"/>
          <w:szCs w:val="22"/>
        </w:rPr>
        <w:t>DISPOSICIÓ</w:t>
      </w:r>
      <w:r w:rsidR="007F5505" w:rsidRPr="00B24A80">
        <w:rPr>
          <w:rFonts w:cstheme="majorHAnsi"/>
          <w:sz w:val="22"/>
          <w:szCs w:val="22"/>
        </w:rPr>
        <w:t>N TRANSITORIA</w:t>
      </w:r>
      <w:bookmarkEnd w:id="421"/>
      <w:bookmarkEnd w:id="422"/>
      <w:bookmarkEnd w:id="423"/>
    </w:p>
    <w:p w14:paraId="3CC22156" w14:textId="059FB139" w:rsidR="003E3510" w:rsidRPr="003E3510" w:rsidRDefault="003E3510" w:rsidP="003E3510">
      <w:pPr>
        <w:pBdr>
          <w:top w:val="nil"/>
          <w:left w:val="nil"/>
          <w:bottom w:val="nil"/>
          <w:right w:val="nil"/>
          <w:between w:val="nil"/>
        </w:pBdr>
        <w:spacing w:before="240" w:line="276" w:lineRule="auto"/>
        <w:ind w:right="-100"/>
        <w:rPr>
          <w:rFonts w:asciiTheme="majorHAnsi" w:eastAsia="Calibri" w:hAnsiTheme="majorHAnsi" w:cstheme="majorHAnsi"/>
          <w:b/>
          <w:color w:val="000000"/>
          <w:sz w:val="22"/>
          <w:szCs w:val="22"/>
        </w:rPr>
      </w:pPr>
      <w:r w:rsidRPr="003E3510">
        <w:rPr>
          <w:rFonts w:asciiTheme="majorHAnsi" w:eastAsia="Calibri" w:hAnsiTheme="majorHAnsi" w:cstheme="majorHAnsi"/>
          <w:b/>
          <w:color w:val="000000"/>
          <w:sz w:val="22"/>
          <w:szCs w:val="22"/>
        </w:rPr>
        <w:t xml:space="preserve">PRIMERA. - </w:t>
      </w:r>
      <w:r w:rsidRPr="003E3510">
        <w:rPr>
          <w:rFonts w:asciiTheme="majorHAnsi" w:eastAsia="Calibri" w:hAnsiTheme="majorHAnsi" w:cstheme="majorHAnsi"/>
          <w:color w:val="000000"/>
          <w:sz w:val="22"/>
          <w:szCs w:val="22"/>
        </w:rPr>
        <w:t xml:space="preserve">La presente ordenanza entrara en vigencia a partir de su publicación en el registro oficial, con excepción en cuanto a los usos de suelos mismos que entraran en vigencia luego de transcurrido </w:t>
      </w:r>
      <w:r w:rsidRPr="006B0D7B">
        <w:rPr>
          <w:rFonts w:asciiTheme="majorHAnsi" w:eastAsia="Calibri" w:hAnsiTheme="majorHAnsi" w:cstheme="majorHAnsi"/>
          <w:color w:val="000000"/>
          <w:sz w:val="22"/>
          <w:szCs w:val="22"/>
          <w:highlight w:val="yellow"/>
        </w:rPr>
        <w:t>doce meses</w:t>
      </w:r>
      <w:r w:rsidRPr="003E3510">
        <w:rPr>
          <w:rFonts w:asciiTheme="majorHAnsi" w:eastAsia="Calibri" w:hAnsiTheme="majorHAnsi" w:cstheme="majorHAnsi"/>
          <w:color w:val="000000"/>
          <w:sz w:val="22"/>
          <w:szCs w:val="22"/>
        </w:rPr>
        <w:t xml:space="preserve"> contados a partir de su publicación, durante este período de tiempo la Dirección de Comunicación o quien hiciere sus veces deberán difundir por cualquier medio de comunicación lo relacionado a la nueva normativa de los usos de suelos garantizando, que sea esta de dominio público.</w:t>
      </w:r>
    </w:p>
    <w:p w14:paraId="655C2752" w14:textId="7A8AF621" w:rsidR="00DC27E8" w:rsidRDefault="003E3510">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425982">
        <w:rPr>
          <w:rFonts w:asciiTheme="majorHAnsi" w:eastAsia="Calibri" w:hAnsiTheme="majorHAnsi" w:cstheme="majorHAnsi"/>
          <w:b/>
          <w:color w:val="000000"/>
          <w:sz w:val="22"/>
          <w:szCs w:val="22"/>
        </w:rPr>
        <w:t>SEGUNDA</w:t>
      </w:r>
      <w:r w:rsidR="007F5505" w:rsidRPr="00425982">
        <w:rPr>
          <w:rFonts w:asciiTheme="majorHAnsi" w:eastAsia="Calibri" w:hAnsiTheme="majorHAnsi" w:cstheme="majorHAnsi"/>
          <w:b/>
          <w:color w:val="000000"/>
          <w:sz w:val="22"/>
          <w:szCs w:val="22"/>
          <w:shd w:val="clear" w:color="auto" w:fill="FFFFFF" w:themeFill="background1"/>
        </w:rPr>
        <w:t>. -</w:t>
      </w:r>
      <w:r w:rsidR="007F5505" w:rsidRPr="00425982">
        <w:rPr>
          <w:rFonts w:asciiTheme="majorHAnsi" w:eastAsia="Calibri" w:hAnsiTheme="majorHAnsi" w:cstheme="majorHAnsi"/>
          <w:color w:val="000000"/>
          <w:sz w:val="22"/>
          <w:szCs w:val="22"/>
          <w:shd w:val="clear" w:color="auto" w:fill="FFFFFF" w:themeFill="background1"/>
        </w:rPr>
        <w:t xml:space="preserve"> </w:t>
      </w:r>
      <w:r w:rsidR="007F5505" w:rsidRPr="00A402F2">
        <w:rPr>
          <w:rFonts w:asciiTheme="majorHAnsi" w:eastAsia="Calibri" w:hAnsiTheme="majorHAnsi" w:cstheme="majorHAnsi"/>
          <w:b/>
          <w:sz w:val="22"/>
          <w:szCs w:val="22"/>
          <w:shd w:val="clear" w:color="auto" w:fill="FFFFFF" w:themeFill="background1"/>
        </w:rPr>
        <w:t xml:space="preserve">Las actividades </w:t>
      </w:r>
      <w:r w:rsidR="00A402F2" w:rsidRPr="00A402F2">
        <w:rPr>
          <w:rFonts w:asciiTheme="majorHAnsi" w:eastAsia="Calibri" w:hAnsiTheme="majorHAnsi" w:cstheme="majorHAnsi"/>
          <w:b/>
          <w:sz w:val="22"/>
          <w:szCs w:val="22"/>
          <w:shd w:val="clear" w:color="auto" w:fill="FFFFFF" w:themeFill="background1"/>
        </w:rPr>
        <w:t>industriales</w:t>
      </w:r>
      <w:r w:rsidR="00A402F2">
        <w:rPr>
          <w:rFonts w:asciiTheme="majorHAnsi" w:eastAsia="Calibri" w:hAnsiTheme="majorHAnsi" w:cstheme="majorHAnsi"/>
          <w:sz w:val="22"/>
          <w:szCs w:val="22"/>
          <w:shd w:val="clear" w:color="auto" w:fill="FFFFFF" w:themeFill="background1"/>
        </w:rPr>
        <w:t>. -</w:t>
      </w:r>
      <w:r w:rsidR="007F5505" w:rsidRPr="00425982">
        <w:rPr>
          <w:rFonts w:asciiTheme="majorHAnsi" w:eastAsia="Calibri" w:hAnsiTheme="majorHAnsi" w:cstheme="majorHAnsi"/>
          <w:sz w:val="22"/>
          <w:szCs w:val="22"/>
          <w:shd w:val="clear" w:color="auto" w:fill="FFFFFF" w:themeFill="background1"/>
        </w:rPr>
        <w:t xml:space="preserve"> que operen dentro de la zona urbana</w:t>
      </w:r>
      <w:r w:rsidR="00252981" w:rsidRPr="00425982">
        <w:rPr>
          <w:rFonts w:asciiTheme="majorHAnsi" w:eastAsia="Calibri" w:hAnsiTheme="majorHAnsi" w:cstheme="majorHAnsi"/>
          <w:sz w:val="22"/>
          <w:szCs w:val="22"/>
          <w:shd w:val="clear" w:color="auto" w:fill="FFFFFF" w:themeFill="background1"/>
        </w:rPr>
        <w:t xml:space="preserve"> y rural</w:t>
      </w:r>
      <w:r w:rsidR="007F5505" w:rsidRPr="00425982">
        <w:rPr>
          <w:rFonts w:asciiTheme="majorHAnsi" w:eastAsia="Calibri" w:hAnsiTheme="majorHAnsi" w:cstheme="majorHAnsi"/>
          <w:sz w:val="22"/>
          <w:szCs w:val="22"/>
          <w:shd w:val="clear" w:color="auto" w:fill="FFFFFF" w:themeFill="background1"/>
        </w:rPr>
        <w:t xml:space="preserve"> que cuenten con la patente municipal y sean incompatibles con el Plan de Uso y Gestión del Suelo; seguirán en funcionamiento mediante la</w:t>
      </w:r>
      <w:r w:rsidR="00252981" w:rsidRPr="00425982">
        <w:rPr>
          <w:rFonts w:asciiTheme="majorHAnsi" w:eastAsia="Calibri" w:hAnsiTheme="majorHAnsi" w:cstheme="majorHAnsi"/>
          <w:sz w:val="22"/>
          <w:szCs w:val="22"/>
          <w:shd w:val="clear" w:color="auto" w:fill="FFFFFF" w:themeFill="background1"/>
        </w:rPr>
        <w:t xml:space="preserve"> autorización provisional hasta un tiempo máximo de </w:t>
      </w:r>
      <w:r w:rsidR="006F522C">
        <w:rPr>
          <w:rFonts w:asciiTheme="majorHAnsi" w:eastAsia="Calibri" w:hAnsiTheme="majorHAnsi" w:cstheme="majorHAnsi"/>
          <w:sz w:val="22"/>
          <w:szCs w:val="22"/>
          <w:shd w:val="clear" w:color="auto" w:fill="FFFFFF" w:themeFill="background1"/>
        </w:rPr>
        <w:t>5</w:t>
      </w:r>
      <w:r w:rsidR="00252981" w:rsidRPr="00425982">
        <w:rPr>
          <w:rFonts w:asciiTheme="majorHAnsi" w:eastAsia="Calibri" w:hAnsiTheme="majorHAnsi" w:cstheme="majorHAnsi"/>
          <w:sz w:val="22"/>
          <w:szCs w:val="22"/>
          <w:shd w:val="clear" w:color="auto" w:fill="FFFFFF" w:themeFill="background1"/>
        </w:rPr>
        <w:t xml:space="preserve"> años</w:t>
      </w:r>
      <w:r w:rsidR="00320415">
        <w:rPr>
          <w:rFonts w:asciiTheme="majorHAnsi" w:eastAsia="Calibri" w:hAnsiTheme="majorHAnsi" w:cstheme="majorHAnsi"/>
          <w:sz w:val="22"/>
          <w:szCs w:val="22"/>
          <w:shd w:val="clear" w:color="auto" w:fill="FFFFFF" w:themeFill="background1"/>
        </w:rPr>
        <w:t>, misma que</w:t>
      </w:r>
      <w:r w:rsidR="00252981" w:rsidRPr="00425982">
        <w:rPr>
          <w:rFonts w:asciiTheme="majorHAnsi" w:eastAsia="Calibri" w:hAnsiTheme="majorHAnsi" w:cstheme="majorHAnsi"/>
          <w:sz w:val="22"/>
          <w:szCs w:val="22"/>
          <w:shd w:val="clear" w:color="auto" w:fill="FFFFFF" w:themeFill="background1"/>
        </w:rPr>
        <w:t xml:space="preserve"> </w:t>
      </w:r>
      <w:r w:rsidR="00320415" w:rsidRPr="003E3510">
        <w:rPr>
          <w:rFonts w:asciiTheme="majorHAnsi" w:eastAsia="Calibri" w:hAnsiTheme="majorHAnsi" w:cstheme="majorHAnsi"/>
          <w:color w:val="000000"/>
          <w:sz w:val="22"/>
          <w:szCs w:val="22"/>
        </w:rPr>
        <w:t>entrar</w:t>
      </w:r>
      <w:r w:rsidR="00320415">
        <w:rPr>
          <w:rFonts w:asciiTheme="majorHAnsi" w:eastAsia="Calibri" w:hAnsiTheme="majorHAnsi" w:cstheme="majorHAnsi"/>
          <w:color w:val="000000"/>
          <w:sz w:val="22"/>
          <w:szCs w:val="22"/>
        </w:rPr>
        <w:t>á</w:t>
      </w:r>
      <w:r w:rsidR="00320415" w:rsidRPr="003E3510">
        <w:rPr>
          <w:rFonts w:asciiTheme="majorHAnsi" w:eastAsia="Calibri" w:hAnsiTheme="majorHAnsi" w:cstheme="majorHAnsi"/>
          <w:color w:val="000000"/>
          <w:sz w:val="22"/>
          <w:szCs w:val="22"/>
        </w:rPr>
        <w:t xml:space="preserve"> en vigencia a partir de su publicación en el registro oficial</w:t>
      </w:r>
      <w:r w:rsidR="00320415" w:rsidRPr="00425982">
        <w:rPr>
          <w:rFonts w:asciiTheme="majorHAnsi" w:eastAsia="Calibri" w:hAnsiTheme="majorHAnsi" w:cstheme="majorHAnsi"/>
          <w:sz w:val="22"/>
          <w:szCs w:val="22"/>
          <w:shd w:val="clear" w:color="auto" w:fill="FFFFFF" w:themeFill="background1"/>
        </w:rPr>
        <w:t xml:space="preserve"> </w:t>
      </w:r>
      <w:r w:rsidR="00252981" w:rsidRPr="00425982">
        <w:rPr>
          <w:rFonts w:asciiTheme="majorHAnsi" w:eastAsia="Calibri" w:hAnsiTheme="majorHAnsi" w:cstheme="majorHAnsi"/>
          <w:sz w:val="22"/>
          <w:szCs w:val="22"/>
          <w:shd w:val="clear" w:color="auto" w:fill="FFFFFF" w:themeFill="background1"/>
        </w:rPr>
        <w:t xml:space="preserve">y tendrán la obligación de reubicarse en </w:t>
      </w:r>
      <w:r w:rsidR="006A53CF" w:rsidRPr="00425982">
        <w:rPr>
          <w:rFonts w:asciiTheme="majorHAnsi" w:eastAsia="Calibri" w:hAnsiTheme="majorHAnsi" w:cstheme="majorHAnsi"/>
          <w:sz w:val="22"/>
          <w:szCs w:val="22"/>
          <w:shd w:val="clear" w:color="auto" w:fill="FFFFFF" w:themeFill="background1"/>
        </w:rPr>
        <w:t>la zona industrial determinada en este instrumento.</w:t>
      </w:r>
    </w:p>
    <w:p w14:paraId="0EED7A6A" w14:textId="3258BB51" w:rsidR="00425982" w:rsidRDefault="00425982">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425982">
        <w:rPr>
          <w:rFonts w:asciiTheme="majorHAnsi" w:eastAsia="Calibri" w:hAnsiTheme="majorHAnsi" w:cstheme="majorHAnsi"/>
          <w:sz w:val="22"/>
          <w:szCs w:val="22"/>
        </w:rPr>
        <w:t>En caso de incumplir con los plazos establecidos, se procederá a la suspensión del permiso de funcionamiento y del uso de suelo. Si, pese a la suspensión, se detecta la</w:t>
      </w:r>
      <w:r>
        <w:rPr>
          <w:rFonts w:asciiTheme="majorHAnsi" w:eastAsia="Calibri" w:hAnsiTheme="majorHAnsi" w:cstheme="majorHAnsi"/>
          <w:sz w:val="22"/>
          <w:szCs w:val="22"/>
        </w:rPr>
        <w:t xml:space="preserve"> continuidad de su funcionamiento se aplicará </w:t>
      </w:r>
      <w:r w:rsidRPr="00425982">
        <w:rPr>
          <w:rFonts w:asciiTheme="majorHAnsi" w:eastAsia="Calibri" w:hAnsiTheme="majorHAnsi" w:cstheme="majorHAnsi"/>
          <w:sz w:val="22"/>
          <w:szCs w:val="22"/>
        </w:rPr>
        <w:t xml:space="preserve">una sanción equivalente </w:t>
      </w:r>
      <w:r w:rsidRPr="00425982">
        <w:rPr>
          <w:rFonts w:asciiTheme="majorHAnsi" w:eastAsia="Calibri" w:hAnsiTheme="majorHAnsi" w:cstheme="majorHAnsi"/>
          <w:sz w:val="22"/>
          <w:szCs w:val="22"/>
          <w:highlight w:val="yellow"/>
        </w:rPr>
        <w:t>a xxxx RSBU</w:t>
      </w:r>
    </w:p>
    <w:p w14:paraId="1B5D6D34" w14:textId="2DC6D095" w:rsidR="00DC27E8" w:rsidRDefault="00A402F2">
      <w:pPr>
        <w:pBdr>
          <w:top w:val="nil"/>
          <w:left w:val="nil"/>
          <w:bottom w:val="nil"/>
          <w:right w:val="nil"/>
          <w:between w:val="nil"/>
        </w:pBdr>
        <w:spacing w:before="240" w:line="276" w:lineRule="auto"/>
        <w:ind w:right="-100"/>
        <w:rPr>
          <w:rFonts w:asciiTheme="majorHAnsi" w:eastAsia="Calibri" w:hAnsiTheme="majorHAnsi" w:cstheme="majorHAnsi"/>
          <w:sz w:val="22"/>
          <w:szCs w:val="22"/>
        </w:rPr>
      </w:pPr>
      <w:r w:rsidRPr="00A402F2">
        <w:rPr>
          <w:rFonts w:asciiTheme="majorHAnsi" w:eastAsia="Calibri" w:hAnsiTheme="majorHAnsi" w:cstheme="majorHAnsi"/>
          <w:b/>
          <w:sz w:val="22"/>
          <w:szCs w:val="22"/>
        </w:rPr>
        <w:t>TERCERA</w:t>
      </w:r>
      <w:r w:rsidR="007F5505" w:rsidRPr="00A402F2">
        <w:rPr>
          <w:rFonts w:asciiTheme="majorHAnsi" w:eastAsia="Calibri" w:hAnsiTheme="majorHAnsi" w:cstheme="majorHAnsi"/>
          <w:b/>
          <w:color w:val="000000"/>
          <w:sz w:val="22"/>
          <w:szCs w:val="22"/>
        </w:rPr>
        <w:t xml:space="preserve">. </w:t>
      </w:r>
      <w:r w:rsidR="00AC11AB" w:rsidRPr="00A402F2">
        <w:rPr>
          <w:rFonts w:asciiTheme="majorHAnsi" w:eastAsia="Calibri" w:hAnsiTheme="majorHAnsi" w:cstheme="majorHAnsi"/>
          <w:b/>
          <w:color w:val="000000"/>
          <w:sz w:val="22"/>
          <w:szCs w:val="22"/>
        </w:rPr>
        <w:t>–</w:t>
      </w:r>
      <w:r w:rsidR="007F5505" w:rsidRPr="00B24A80">
        <w:rPr>
          <w:rFonts w:asciiTheme="majorHAnsi" w:eastAsia="Calibri" w:hAnsiTheme="majorHAnsi" w:cstheme="majorHAnsi"/>
          <w:color w:val="000000"/>
          <w:sz w:val="22"/>
          <w:szCs w:val="22"/>
        </w:rPr>
        <w:t xml:space="preserve"> </w:t>
      </w:r>
      <w:r w:rsidR="00AC11AB" w:rsidRPr="00A402F2">
        <w:rPr>
          <w:rFonts w:asciiTheme="majorHAnsi" w:eastAsia="Calibri" w:hAnsiTheme="majorHAnsi" w:cstheme="majorHAnsi"/>
          <w:b/>
          <w:sz w:val="22"/>
          <w:szCs w:val="22"/>
        </w:rPr>
        <w:t xml:space="preserve">Los Centros de </w:t>
      </w:r>
      <w:r w:rsidRPr="00A402F2">
        <w:rPr>
          <w:rFonts w:asciiTheme="majorHAnsi" w:eastAsia="Calibri" w:hAnsiTheme="majorHAnsi" w:cstheme="majorHAnsi"/>
          <w:b/>
          <w:sz w:val="22"/>
          <w:szCs w:val="22"/>
        </w:rPr>
        <w:t>Tolerancia. -</w:t>
      </w:r>
      <w:r>
        <w:rPr>
          <w:rFonts w:asciiTheme="majorHAnsi" w:eastAsia="Calibri" w:hAnsiTheme="majorHAnsi" w:cstheme="majorHAnsi"/>
          <w:sz w:val="22"/>
          <w:szCs w:val="22"/>
        </w:rPr>
        <w:t xml:space="preserve"> </w:t>
      </w:r>
      <w:r w:rsidR="007F5505" w:rsidRPr="00B24A80">
        <w:rPr>
          <w:rFonts w:asciiTheme="majorHAnsi" w:eastAsia="Calibri" w:hAnsiTheme="majorHAnsi" w:cstheme="majorHAnsi"/>
          <w:sz w:val="22"/>
          <w:szCs w:val="22"/>
        </w:rPr>
        <w:t xml:space="preserve"> seguirán funcionando mediante la autorización provisional siempre y cuando obtengan la respectiva autorización de la autoridad competente en </w:t>
      </w:r>
      <w:r w:rsidR="007F5505" w:rsidRPr="00B24A80">
        <w:rPr>
          <w:rFonts w:asciiTheme="majorHAnsi" w:eastAsia="Calibri" w:hAnsiTheme="majorHAnsi" w:cstheme="majorHAnsi"/>
          <w:sz w:val="22"/>
          <w:szCs w:val="22"/>
        </w:rPr>
        <w:lastRenderedPageBreak/>
        <w:t>cuanto al cumplimiento de índices de saneamiento, seguridad y adecuad</w:t>
      </w:r>
      <w:r w:rsidR="00683590" w:rsidRPr="00B24A80">
        <w:rPr>
          <w:rFonts w:asciiTheme="majorHAnsi" w:eastAsia="Calibri" w:hAnsiTheme="majorHAnsi" w:cstheme="majorHAnsi"/>
          <w:sz w:val="22"/>
          <w:szCs w:val="22"/>
        </w:rPr>
        <w:t xml:space="preserve">as condiciones de funcionalidad y se ubiquen como </w:t>
      </w:r>
      <w:r w:rsidR="00683590" w:rsidRPr="00A402F2">
        <w:rPr>
          <w:rFonts w:asciiTheme="majorHAnsi" w:eastAsia="Calibri" w:hAnsiTheme="majorHAnsi" w:cstheme="majorHAnsi"/>
          <w:sz w:val="22"/>
          <w:szCs w:val="22"/>
        </w:rPr>
        <w:t>mínimo 1km fuera</w:t>
      </w:r>
      <w:r w:rsidR="00683590" w:rsidRPr="00B24A80">
        <w:rPr>
          <w:rFonts w:asciiTheme="majorHAnsi" w:eastAsia="Calibri" w:hAnsiTheme="majorHAnsi" w:cstheme="majorHAnsi"/>
          <w:sz w:val="22"/>
          <w:szCs w:val="22"/>
        </w:rPr>
        <w:t xml:space="preserve"> del </w:t>
      </w:r>
      <w:r w:rsidR="003A597A" w:rsidRPr="00B24A80">
        <w:rPr>
          <w:rFonts w:asciiTheme="majorHAnsi" w:eastAsia="Calibri" w:hAnsiTheme="majorHAnsi" w:cstheme="majorHAnsi"/>
          <w:sz w:val="22"/>
          <w:szCs w:val="22"/>
        </w:rPr>
        <w:t>límite</w:t>
      </w:r>
      <w:r w:rsidR="00683590" w:rsidRPr="00B24A80">
        <w:rPr>
          <w:rFonts w:asciiTheme="majorHAnsi" w:eastAsia="Calibri" w:hAnsiTheme="majorHAnsi" w:cstheme="majorHAnsi"/>
          <w:sz w:val="22"/>
          <w:szCs w:val="22"/>
        </w:rPr>
        <w:t xml:space="preserve"> urbano.</w:t>
      </w:r>
      <w:r w:rsidR="006A53CF">
        <w:rPr>
          <w:rFonts w:asciiTheme="majorHAnsi" w:eastAsia="Calibri" w:hAnsiTheme="majorHAnsi" w:cstheme="majorHAnsi"/>
          <w:sz w:val="22"/>
          <w:szCs w:val="22"/>
        </w:rPr>
        <w:t xml:space="preserve"> </w:t>
      </w:r>
    </w:p>
    <w:p w14:paraId="2B8D0C75" w14:textId="38BB7906" w:rsidR="006A53CF" w:rsidRPr="00B24A80" w:rsidRDefault="006A53CF">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Pr>
          <w:rFonts w:asciiTheme="majorHAnsi" w:eastAsia="Calibri" w:hAnsiTheme="majorHAnsi" w:cstheme="majorHAnsi"/>
          <w:sz w:val="22"/>
          <w:szCs w:val="22"/>
        </w:rPr>
        <w:t xml:space="preserve">Se determina un tiempo de </w:t>
      </w:r>
      <w:r w:rsidRPr="006A2CD4">
        <w:rPr>
          <w:rFonts w:asciiTheme="majorHAnsi" w:eastAsia="Calibri" w:hAnsiTheme="majorHAnsi" w:cstheme="majorHAnsi"/>
          <w:sz w:val="22"/>
          <w:szCs w:val="22"/>
          <w:highlight w:val="yellow"/>
        </w:rPr>
        <w:t>un año</w:t>
      </w:r>
      <w:r>
        <w:rPr>
          <w:rFonts w:asciiTheme="majorHAnsi" w:eastAsia="Calibri" w:hAnsiTheme="majorHAnsi" w:cstheme="majorHAnsi"/>
          <w:sz w:val="22"/>
          <w:szCs w:val="22"/>
        </w:rPr>
        <w:t xml:space="preserve"> para reubicarse</w:t>
      </w:r>
      <w:r w:rsidR="003E3394">
        <w:rPr>
          <w:rFonts w:asciiTheme="majorHAnsi" w:eastAsia="Calibri" w:hAnsiTheme="majorHAnsi" w:cstheme="majorHAnsi"/>
          <w:sz w:val="22"/>
          <w:szCs w:val="22"/>
        </w:rPr>
        <w:t xml:space="preserve"> conforme lo establece en el </w:t>
      </w:r>
      <w:r>
        <w:rPr>
          <w:rFonts w:asciiTheme="majorHAnsi" w:eastAsia="Calibri" w:hAnsiTheme="majorHAnsi" w:cstheme="majorHAnsi"/>
          <w:sz w:val="22"/>
          <w:szCs w:val="22"/>
        </w:rPr>
        <w:t>PUGS.</w:t>
      </w:r>
    </w:p>
    <w:p w14:paraId="5BBE33D0" w14:textId="2C2E9EA1" w:rsidR="00AC11AB" w:rsidRDefault="00A402F2" w:rsidP="00AC11AB">
      <w:pPr>
        <w:widowControl/>
        <w:spacing w:before="100" w:beforeAutospacing="1" w:after="100" w:afterAutospacing="1"/>
        <w:rPr>
          <w:rFonts w:asciiTheme="majorHAnsi" w:eastAsia="Calibri" w:hAnsiTheme="majorHAnsi" w:cstheme="majorHAnsi"/>
          <w:sz w:val="22"/>
          <w:szCs w:val="22"/>
        </w:rPr>
      </w:pPr>
      <w:r>
        <w:rPr>
          <w:rFonts w:asciiTheme="majorHAnsi" w:eastAsia="Calibri" w:hAnsiTheme="majorHAnsi" w:cstheme="majorHAnsi"/>
          <w:b/>
          <w:color w:val="000000"/>
          <w:sz w:val="22"/>
          <w:szCs w:val="22"/>
        </w:rPr>
        <w:t>CUARTA</w:t>
      </w:r>
      <w:r w:rsidR="00AC11AB" w:rsidRPr="00B24A80">
        <w:rPr>
          <w:rFonts w:asciiTheme="majorHAnsi" w:eastAsia="Calibri" w:hAnsiTheme="majorHAnsi" w:cstheme="majorHAnsi"/>
          <w:b/>
          <w:color w:val="000000"/>
          <w:sz w:val="22"/>
          <w:szCs w:val="22"/>
        </w:rPr>
        <w:t xml:space="preserve">. - Continuidad de Actividades Comerciales y de Servicios. - </w:t>
      </w:r>
      <w:r w:rsidR="00AC11AB" w:rsidRPr="00B24A80">
        <w:rPr>
          <w:rFonts w:asciiTheme="majorHAnsi" w:eastAsia="Calibri" w:hAnsiTheme="majorHAnsi" w:cstheme="majorHAnsi"/>
          <w:sz w:val="22"/>
          <w:szCs w:val="22"/>
        </w:rPr>
        <w:t xml:space="preserve">Las actividades comerciales y de servicios que actualmente cuenten con permisos de funcionamiento o patentes y que, con la vigencia de esta actualización del PUGS, resulten incompatibles con los usos asignados a las respectivas zonas de planeamiento, podrán continuar operando </w:t>
      </w:r>
      <w:r w:rsidR="00BE6D97">
        <w:rPr>
          <w:rFonts w:asciiTheme="majorHAnsi" w:eastAsia="Calibri" w:hAnsiTheme="majorHAnsi" w:cstheme="majorHAnsi"/>
          <w:sz w:val="22"/>
          <w:szCs w:val="22"/>
        </w:rPr>
        <w:t xml:space="preserve">por </w:t>
      </w:r>
      <w:r w:rsidR="00BE6D97" w:rsidRPr="00415926">
        <w:rPr>
          <w:rFonts w:asciiTheme="majorHAnsi" w:eastAsia="Calibri" w:hAnsiTheme="majorHAnsi" w:cstheme="majorHAnsi"/>
          <w:sz w:val="22"/>
          <w:szCs w:val="22"/>
          <w:highlight w:val="yellow"/>
        </w:rPr>
        <w:t>un año</w:t>
      </w:r>
      <w:r w:rsidR="00BE6D97">
        <w:rPr>
          <w:rFonts w:asciiTheme="majorHAnsi" w:eastAsia="Calibri" w:hAnsiTheme="majorHAnsi" w:cstheme="majorHAnsi"/>
          <w:sz w:val="22"/>
          <w:szCs w:val="22"/>
        </w:rPr>
        <w:t xml:space="preserve"> </w:t>
      </w:r>
      <w:r w:rsidR="00E8579D" w:rsidRPr="003E3510">
        <w:rPr>
          <w:rFonts w:asciiTheme="majorHAnsi" w:eastAsia="Calibri" w:hAnsiTheme="majorHAnsi" w:cstheme="majorHAnsi"/>
          <w:color w:val="000000"/>
          <w:sz w:val="22"/>
          <w:szCs w:val="22"/>
        </w:rPr>
        <w:t>a partir de su publicación en el registro oficial</w:t>
      </w:r>
      <w:r w:rsidR="00E8579D">
        <w:rPr>
          <w:rFonts w:asciiTheme="majorHAnsi" w:eastAsia="Calibri" w:hAnsiTheme="majorHAnsi" w:cstheme="majorHAnsi"/>
          <w:sz w:val="22"/>
          <w:szCs w:val="22"/>
        </w:rPr>
        <w:t xml:space="preserve">, </w:t>
      </w:r>
      <w:r w:rsidR="00BE6D97">
        <w:rPr>
          <w:rFonts w:asciiTheme="majorHAnsi" w:eastAsia="Calibri" w:hAnsiTheme="majorHAnsi" w:cstheme="majorHAnsi"/>
          <w:sz w:val="22"/>
          <w:szCs w:val="22"/>
        </w:rPr>
        <w:t>bajo</w:t>
      </w:r>
      <w:r w:rsidR="00AC11AB" w:rsidRPr="00B24A80">
        <w:rPr>
          <w:rFonts w:asciiTheme="majorHAnsi" w:eastAsia="Calibri" w:hAnsiTheme="majorHAnsi" w:cstheme="majorHAnsi"/>
          <w:sz w:val="22"/>
          <w:szCs w:val="22"/>
        </w:rPr>
        <w:t xml:space="preserve"> un permiso provisional. Este permiso estará condicionado a la obtención de una autorización por parte de la autoridad competente, la cual evaluará y verificará el cumplimiento de los índices de saneamiento, seguridad, y condiciones de funcionalidad adecuadas</w:t>
      </w:r>
      <w:r w:rsidR="00E8579D">
        <w:rPr>
          <w:rFonts w:asciiTheme="majorHAnsi" w:eastAsia="Calibri" w:hAnsiTheme="majorHAnsi" w:cstheme="majorHAnsi"/>
          <w:sz w:val="22"/>
          <w:szCs w:val="22"/>
        </w:rPr>
        <w:t>.</w:t>
      </w:r>
    </w:p>
    <w:p w14:paraId="21C73991" w14:textId="10305D4D" w:rsidR="00744BD6" w:rsidRPr="00B24A80" w:rsidRDefault="00BE6D97" w:rsidP="00AC11AB">
      <w:pPr>
        <w:widowControl/>
        <w:spacing w:before="100" w:beforeAutospacing="1" w:after="100" w:afterAutospacing="1"/>
        <w:rPr>
          <w:rFonts w:asciiTheme="majorHAnsi" w:eastAsia="Calibri" w:hAnsiTheme="majorHAnsi" w:cstheme="majorHAnsi"/>
          <w:b/>
          <w:color w:val="000000"/>
          <w:sz w:val="22"/>
          <w:szCs w:val="22"/>
        </w:rPr>
      </w:pPr>
      <w:r>
        <w:rPr>
          <w:rFonts w:asciiTheme="majorHAnsi" w:eastAsia="Calibri" w:hAnsiTheme="majorHAnsi" w:cstheme="majorHAnsi"/>
          <w:b/>
          <w:color w:val="000000"/>
          <w:sz w:val="22"/>
          <w:szCs w:val="22"/>
        </w:rPr>
        <w:t>QUINTA</w:t>
      </w:r>
      <w:r w:rsidRPr="00744BD6">
        <w:rPr>
          <w:rFonts w:asciiTheme="majorHAnsi" w:eastAsia="Calibri" w:hAnsiTheme="majorHAnsi" w:cstheme="majorHAnsi"/>
          <w:b/>
          <w:color w:val="000000"/>
          <w:sz w:val="22"/>
          <w:szCs w:val="22"/>
        </w:rPr>
        <w:t>. -</w:t>
      </w:r>
      <w:r w:rsidR="00744BD6" w:rsidRPr="00744BD6">
        <w:rPr>
          <w:rFonts w:asciiTheme="majorHAnsi" w:eastAsia="Calibri" w:hAnsiTheme="majorHAnsi" w:cstheme="majorHAnsi"/>
          <w:b/>
          <w:color w:val="000000"/>
          <w:sz w:val="22"/>
          <w:szCs w:val="22"/>
        </w:rPr>
        <w:t xml:space="preserve"> </w:t>
      </w:r>
      <w:r w:rsidR="00744BD6" w:rsidRPr="00744BD6">
        <w:rPr>
          <w:rFonts w:asciiTheme="majorHAnsi" w:eastAsia="Calibri" w:hAnsiTheme="majorHAnsi" w:cstheme="majorHAnsi"/>
          <w:color w:val="000000"/>
          <w:sz w:val="22"/>
          <w:szCs w:val="22"/>
        </w:rPr>
        <w:t xml:space="preserve">Se condiciona los Usos del suelo relacionados a las actividades al uso específico </w:t>
      </w:r>
      <w:r>
        <w:rPr>
          <w:rFonts w:asciiTheme="majorHAnsi" w:eastAsia="Calibri" w:hAnsiTheme="majorHAnsi" w:cstheme="majorHAnsi"/>
          <w:color w:val="000000"/>
          <w:sz w:val="22"/>
          <w:szCs w:val="22"/>
        </w:rPr>
        <w:t>como</w:t>
      </w:r>
      <w:r w:rsidR="00744BD6" w:rsidRPr="00744BD6">
        <w:rPr>
          <w:rFonts w:asciiTheme="majorHAnsi" w:eastAsia="Calibri" w:hAnsiTheme="majorHAnsi" w:cstheme="majorHAnsi"/>
          <w:color w:val="000000"/>
          <w:sz w:val="22"/>
          <w:szCs w:val="22"/>
        </w:rPr>
        <w:t xml:space="preserve"> actividades </w:t>
      </w:r>
      <w:r>
        <w:rPr>
          <w:rFonts w:asciiTheme="majorHAnsi" w:eastAsia="Calibri" w:hAnsiTheme="majorHAnsi" w:cstheme="majorHAnsi"/>
          <w:color w:val="000000"/>
          <w:sz w:val="22"/>
          <w:szCs w:val="22"/>
        </w:rPr>
        <w:t xml:space="preserve">de </w:t>
      </w:r>
      <w:r w:rsidR="00744BD6" w:rsidRPr="00744BD6">
        <w:rPr>
          <w:rFonts w:asciiTheme="majorHAnsi" w:eastAsia="Calibri" w:hAnsiTheme="majorHAnsi" w:cstheme="majorHAnsi"/>
          <w:color w:val="000000"/>
          <w:sz w:val="22"/>
          <w:szCs w:val="22"/>
        </w:rPr>
        <w:t>“bares, tabernas, coctelería, discotecas, (con suministro predominante de bebidas alcohólicas) cervecerías, Karaokes y PUBs,</w:t>
      </w:r>
      <w:r>
        <w:rPr>
          <w:rFonts w:asciiTheme="majorHAnsi" w:eastAsia="Calibri" w:hAnsiTheme="majorHAnsi" w:cstheme="majorHAnsi"/>
          <w:color w:val="000000"/>
          <w:sz w:val="22"/>
          <w:szCs w:val="22"/>
        </w:rPr>
        <w:t xml:space="preserve"> que</w:t>
      </w:r>
      <w:r w:rsidR="00744BD6" w:rsidRPr="00744BD6">
        <w:rPr>
          <w:rFonts w:asciiTheme="majorHAnsi" w:eastAsia="Calibri" w:hAnsiTheme="majorHAnsi" w:cstheme="majorHAnsi"/>
          <w:color w:val="000000"/>
          <w:sz w:val="22"/>
          <w:szCs w:val="22"/>
        </w:rPr>
        <w:t xml:space="preserve"> no son compatibles, se emplacen según las directrices establecidas en la presente ordenanza. Por lo cual, deberán relocalizar el equipamiento a una zona compatible para el efecto y cuyos usos de suelo que no han sido expresamente asignados en cada sector deberán relocalizar hacia sectores en los que se permita su emplazamiento cuyo plazo</w:t>
      </w:r>
      <w:r w:rsidR="00487F18">
        <w:rPr>
          <w:rFonts w:asciiTheme="majorHAnsi" w:eastAsia="Calibri" w:hAnsiTheme="majorHAnsi" w:cstheme="majorHAnsi"/>
          <w:color w:val="000000"/>
          <w:sz w:val="22"/>
          <w:szCs w:val="22"/>
        </w:rPr>
        <w:t xml:space="preserve"> será de </w:t>
      </w:r>
      <w:r w:rsidR="00487F18" w:rsidRPr="000A055F">
        <w:rPr>
          <w:rFonts w:asciiTheme="majorHAnsi" w:eastAsia="Calibri" w:hAnsiTheme="majorHAnsi" w:cstheme="majorHAnsi"/>
          <w:color w:val="000000"/>
          <w:sz w:val="22"/>
          <w:szCs w:val="22"/>
          <w:highlight w:val="yellow"/>
        </w:rPr>
        <w:t>5 años</w:t>
      </w:r>
      <w:r w:rsidR="00487F18">
        <w:rPr>
          <w:rFonts w:asciiTheme="majorHAnsi" w:eastAsia="Calibri" w:hAnsiTheme="majorHAnsi" w:cstheme="majorHAnsi"/>
          <w:color w:val="000000"/>
          <w:sz w:val="22"/>
          <w:szCs w:val="22"/>
        </w:rPr>
        <w:t xml:space="preserve"> a partir de </w:t>
      </w:r>
      <w:r w:rsidR="00D70230">
        <w:rPr>
          <w:rFonts w:asciiTheme="majorHAnsi" w:eastAsia="Calibri" w:hAnsiTheme="majorHAnsi" w:cstheme="majorHAnsi"/>
          <w:color w:val="000000"/>
          <w:sz w:val="22"/>
          <w:szCs w:val="22"/>
        </w:rPr>
        <w:t>la</w:t>
      </w:r>
      <w:r w:rsidR="00487F18">
        <w:rPr>
          <w:rFonts w:asciiTheme="majorHAnsi" w:eastAsia="Calibri" w:hAnsiTheme="majorHAnsi" w:cstheme="majorHAnsi"/>
          <w:color w:val="000000"/>
          <w:sz w:val="22"/>
          <w:szCs w:val="22"/>
        </w:rPr>
        <w:t xml:space="preserve"> publicación </w:t>
      </w:r>
      <w:r w:rsidR="00570CF9">
        <w:rPr>
          <w:rFonts w:asciiTheme="majorHAnsi" w:eastAsia="Calibri" w:hAnsiTheme="majorHAnsi" w:cstheme="majorHAnsi"/>
          <w:color w:val="000000"/>
          <w:sz w:val="22"/>
          <w:szCs w:val="22"/>
        </w:rPr>
        <w:t xml:space="preserve">de la presente </w:t>
      </w:r>
      <w:r w:rsidR="00D00C13">
        <w:rPr>
          <w:rFonts w:asciiTheme="majorHAnsi" w:eastAsia="Calibri" w:hAnsiTheme="majorHAnsi" w:cstheme="majorHAnsi"/>
          <w:color w:val="000000"/>
          <w:sz w:val="22"/>
          <w:szCs w:val="22"/>
        </w:rPr>
        <w:t>ordenanza</w:t>
      </w:r>
      <w:r w:rsidR="008D4A55">
        <w:rPr>
          <w:rFonts w:asciiTheme="majorHAnsi" w:eastAsia="Calibri" w:hAnsiTheme="majorHAnsi" w:cstheme="majorHAnsi"/>
          <w:color w:val="000000"/>
          <w:sz w:val="22"/>
          <w:szCs w:val="22"/>
        </w:rPr>
        <w:t xml:space="preserve"> en el </w:t>
      </w:r>
      <w:r w:rsidR="00D70230">
        <w:rPr>
          <w:rFonts w:asciiTheme="majorHAnsi" w:eastAsia="Calibri" w:hAnsiTheme="majorHAnsi" w:cstheme="majorHAnsi"/>
          <w:color w:val="000000"/>
          <w:sz w:val="22"/>
          <w:szCs w:val="22"/>
        </w:rPr>
        <w:t>R</w:t>
      </w:r>
      <w:r w:rsidR="008D4A55">
        <w:rPr>
          <w:rFonts w:asciiTheme="majorHAnsi" w:eastAsia="Calibri" w:hAnsiTheme="majorHAnsi" w:cstheme="majorHAnsi"/>
          <w:color w:val="000000"/>
          <w:sz w:val="22"/>
          <w:szCs w:val="22"/>
        </w:rPr>
        <w:t xml:space="preserve">egistro </w:t>
      </w:r>
      <w:r w:rsidR="00D70230">
        <w:rPr>
          <w:rFonts w:asciiTheme="majorHAnsi" w:eastAsia="Calibri" w:hAnsiTheme="majorHAnsi" w:cstheme="majorHAnsi"/>
          <w:color w:val="000000"/>
          <w:sz w:val="22"/>
          <w:szCs w:val="22"/>
        </w:rPr>
        <w:t>O</w:t>
      </w:r>
      <w:r w:rsidR="008D4A55">
        <w:rPr>
          <w:rFonts w:asciiTheme="majorHAnsi" w:eastAsia="Calibri" w:hAnsiTheme="majorHAnsi" w:cstheme="majorHAnsi"/>
          <w:color w:val="000000"/>
          <w:sz w:val="22"/>
          <w:szCs w:val="22"/>
        </w:rPr>
        <w:t>ficial.</w:t>
      </w:r>
    </w:p>
    <w:p w14:paraId="40A55B2A" w14:textId="20E27B8E" w:rsidR="00BD1B79" w:rsidRPr="00B24A80" w:rsidRDefault="00BE6D97" w:rsidP="00BD1B79">
      <w:pPr>
        <w:pBdr>
          <w:top w:val="nil"/>
          <w:left w:val="nil"/>
          <w:bottom w:val="nil"/>
          <w:right w:val="nil"/>
          <w:between w:val="nil"/>
        </w:pBdr>
        <w:spacing w:before="240" w:after="280" w:line="276" w:lineRule="auto"/>
        <w:rPr>
          <w:rFonts w:asciiTheme="majorHAnsi" w:eastAsia="Calibri" w:hAnsiTheme="majorHAnsi" w:cstheme="majorHAnsi"/>
          <w:color w:val="000000"/>
          <w:sz w:val="22"/>
          <w:szCs w:val="22"/>
        </w:rPr>
      </w:pPr>
      <w:r>
        <w:rPr>
          <w:rFonts w:asciiTheme="majorHAnsi" w:eastAsia="Calibri" w:hAnsiTheme="majorHAnsi" w:cstheme="majorHAnsi"/>
          <w:b/>
          <w:color w:val="000000"/>
          <w:sz w:val="22"/>
          <w:szCs w:val="22"/>
        </w:rPr>
        <w:t>SE</w:t>
      </w:r>
      <w:r w:rsidR="000065A0">
        <w:rPr>
          <w:rFonts w:asciiTheme="majorHAnsi" w:eastAsia="Calibri" w:hAnsiTheme="majorHAnsi" w:cstheme="majorHAnsi"/>
          <w:b/>
          <w:color w:val="000000"/>
          <w:sz w:val="22"/>
          <w:szCs w:val="22"/>
        </w:rPr>
        <w:t>XTA</w:t>
      </w:r>
      <w:r w:rsidR="00BD1B79" w:rsidRPr="00B24A80">
        <w:rPr>
          <w:rFonts w:asciiTheme="majorHAnsi" w:eastAsia="Calibri" w:hAnsiTheme="majorHAnsi" w:cstheme="majorHAnsi"/>
          <w:color w:val="000000"/>
          <w:sz w:val="22"/>
          <w:szCs w:val="22"/>
        </w:rPr>
        <w:t xml:space="preserve">. - Se </w:t>
      </w:r>
      <w:r w:rsidR="006D16F6" w:rsidRPr="00B24A80">
        <w:rPr>
          <w:rFonts w:asciiTheme="majorHAnsi" w:eastAsia="Calibri" w:hAnsiTheme="majorHAnsi" w:cstheme="majorHAnsi"/>
          <w:color w:val="000000"/>
          <w:sz w:val="22"/>
          <w:szCs w:val="22"/>
        </w:rPr>
        <w:t xml:space="preserve">fortalecerá la Unidad de Control Territorial </w:t>
      </w:r>
      <w:r w:rsidR="00BD1B79" w:rsidRPr="00B24A80">
        <w:rPr>
          <w:rFonts w:asciiTheme="majorHAnsi" w:eastAsia="Calibri" w:hAnsiTheme="majorHAnsi" w:cstheme="majorHAnsi"/>
          <w:color w:val="000000"/>
          <w:sz w:val="22"/>
          <w:szCs w:val="22"/>
        </w:rPr>
        <w:t>misma que estará a cargo del seguimiento, control e implantación de la presente norma</w:t>
      </w:r>
      <w:r w:rsidR="00EF2B1F">
        <w:rPr>
          <w:rFonts w:asciiTheme="majorHAnsi" w:eastAsia="Calibri" w:hAnsiTheme="majorHAnsi" w:cstheme="majorHAnsi"/>
          <w:color w:val="000000"/>
          <w:sz w:val="22"/>
          <w:szCs w:val="22"/>
        </w:rPr>
        <w:t xml:space="preserve">, </w:t>
      </w:r>
      <w:r w:rsidR="00E526D2">
        <w:rPr>
          <w:rFonts w:asciiTheme="majorHAnsi" w:eastAsia="Calibri" w:hAnsiTheme="majorHAnsi" w:cstheme="majorHAnsi"/>
          <w:color w:val="000000"/>
          <w:sz w:val="22"/>
          <w:szCs w:val="22"/>
        </w:rPr>
        <w:t xml:space="preserve">hará de sus veces </w:t>
      </w:r>
      <w:r w:rsidR="00EF2B1F">
        <w:rPr>
          <w:rFonts w:asciiTheme="majorHAnsi" w:eastAsia="Calibri" w:hAnsiTheme="majorHAnsi" w:cstheme="majorHAnsi"/>
          <w:color w:val="000000"/>
          <w:sz w:val="22"/>
          <w:szCs w:val="22"/>
        </w:rPr>
        <w:t xml:space="preserve">el </w:t>
      </w:r>
      <w:r w:rsidR="008F04C2">
        <w:rPr>
          <w:rFonts w:asciiTheme="majorHAnsi" w:eastAsia="Calibri" w:hAnsiTheme="majorHAnsi" w:cstheme="majorHAnsi"/>
          <w:color w:val="000000"/>
          <w:sz w:val="22"/>
          <w:szCs w:val="22"/>
        </w:rPr>
        <w:t xml:space="preserve">Jefe de </w:t>
      </w:r>
      <w:r w:rsidR="00EF2B1F">
        <w:rPr>
          <w:rFonts w:asciiTheme="majorHAnsi" w:eastAsia="Calibri" w:hAnsiTheme="majorHAnsi" w:cstheme="majorHAnsi"/>
          <w:color w:val="000000"/>
          <w:sz w:val="22"/>
          <w:szCs w:val="22"/>
        </w:rPr>
        <w:t xml:space="preserve">Ordenamiento Territorial, mientras se designe al Jefe de </w:t>
      </w:r>
      <w:r w:rsidR="008F04C2">
        <w:rPr>
          <w:rFonts w:asciiTheme="majorHAnsi" w:eastAsia="Calibri" w:hAnsiTheme="majorHAnsi" w:cstheme="majorHAnsi"/>
          <w:color w:val="000000"/>
          <w:sz w:val="22"/>
          <w:szCs w:val="22"/>
        </w:rPr>
        <w:t xml:space="preserve">Construcciones, </w:t>
      </w:r>
      <w:r w:rsidR="00EF2B1F">
        <w:rPr>
          <w:rFonts w:asciiTheme="majorHAnsi" w:eastAsia="Calibri" w:hAnsiTheme="majorHAnsi" w:cstheme="majorHAnsi"/>
          <w:color w:val="000000"/>
          <w:sz w:val="22"/>
          <w:szCs w:val="22"/>
        </w:rPr>
        <w:t>conforme el orgánico estructural vigente</w:t>
      </w:r>
      <w:r w:rsidR="008F04C2">
        <w:rPr>
          <w:rFonts w:asciiTheme="majorHAnsi" w:eastAsia="Calibri" w:hAnsiTheme="majorHAnsi" w:cstheme="majorHAnsi"/>
          <w:color w:val="000000"/>
          <w:sz w:val="22"/>
          <w:szCs w:val="22"/>
        </w:rPr>
        <w:t>.</w:t>
      </w:r>
    </w:p>
    <w:p w14:paraId="447BE9AD" w14:textId="0411816E" w:rsidR="00A23887" w:rsidRPr="00B24A80" w:rsidRDefault="00B43030" w:rsidP="00A23887">
      <w:pPr>
        <w:spacing w:before="240" w:line="276" w:lineRule="auto"/>
        <w:ind w:right="113"/>
        <w:rPr>
          <w:rFonts w:asciiTheme="majorHAnsi" w:eastAsia="Calibri" w:hAnsiTheme="majorHAnsi" w:cstheme="majorHAnsi"/>
          <w:sz w:val="22"/>
          <w:szCs w:val="22"/>
        </w:rPr>
      </w:pPr>
      <w:r>
        <w:rPr>
          <w:rFonts w:asciiTheme="majorHAnsi" w:eastAsia="Calibri" w:hAnsiTheme="majorHAnsi" w:cstheme="majorHAnsi"/>
          <w:b/>
          <w:color w:val="000000"/>
          <w:sz w:val="22"/>
          <w:szCs w:val="22"/>
        </w:rPr>
        <w:t>SÉPTIMA</w:t>
      </w:r>
      <w:r w:rsidR="00A23887" w:rsidRPr="00B24A80">
        <w:rPr>
          <w:rFonts w:asciiTheme="majorHAnsi" w:eastAsia="Calibri" w:hAnsiTheme="majorHAnsi" w:cstheme="majorHAnsi"/>
          <w:b/>
          <w:color w:val="000000"/>
          <w:sz w:val="22"/>
          <w:szCs w:val="22"/>
        </w:rPr>
        <w:t xml:space="preserve">. - </w:t>
      </w:r>
      <w:r w:rsidR="00A23887" w:rsidRPr="00B24A80">
        <w:rPr>
          <w:rFonts w:asciiTheme="majorHAnsi" w:eastAsia="Calibri" w:hAnsiTheme="majorHAnsi" w:cstheme="majorHAnsi"/>
          <w:sz w:val="22"/>
          <w:szCs w:val="22"/>
        </w:rPr>
        <w:t xml:space="preserve">Todos los usos que no han sido expresamente asignados a cada uno </w:t>
      </w:r>
      <w:r w:rsidR="00BE6D97">
        <w:rPr>
          <w:rFonts w:asciiTheme="majorHAnsi" w:eastAsia="Calibri" w:hAnsiTheme="majorHAnsi" w:cstheme="majorHAnsi"/>
          <w:sz w:val="22"/>
          <w:szCs w:val="22"/>
        </w:rPr>
        <w:t>de los Polígonos de Intervención Territorial,</w:t>
      </w:r>
      <w:r w:rsidR="00A23887" w:rsidRPr="00B24A80">
        <w:rPr>
          <w:rFonts w:asciiTheme="majorHAnsi" w:eastAsia="Calibri" w:hAnsiTheme="majorHAnsi" w:cstheme="majorHAnsi"/>
          <w:sz w:val="22"/>
          <w:szCs w:val="22"/>
        </w:rPr>
        <w:t xml:space="preserve"> deberán relocalizarse hacia los sectores en los que se permite su emplazamiento. De esta situación se notificará a los propietarios de los establecimientos a petición de parte interesada y/o GAD Municipal de </w:t>
      </w:r>
      <w:r w:rsidR="00E30701" w:rsidRPr="00B24A80">
        <w:rPr>
          <w:rFonts w:asciiTheme="majorHAnsi" w:eastAsia="Calibri" w:hAnsiTheme="majorHAnsi" w:cstheme="majorHAnsi"/>
          <w:color w:val="25282C"/>
          <w:sz w:val="22"/>
          <w:szCs w:val="22"/>
        </w:rPr>
        <w:t>La Joya de los Sachas</w:t>
      </w:r>
      <w:r w:rsidR="00A23887" w:rsidRPr="00B24A80">
        <w:rPr>
          <w:rFonts w:asciiTheme="majorHAnsi" w:eastAsia="Calibri" w:hAnsiTheme="majorHAnsi" w:cstheme="majorHAnsi"/>
          <w:sz w:val="22"/>
          <w:szCs w:val="22"/>
        </w:rPr>
        <w:t>.</w:t>
      </w:r>
    </w:p>
    <w:p w14:paraId="4F1B85B0" w14:textId="5290E8AA" w:rsidR="00A23887" w:rsidRPr="00B24A80" w:rsidRDefault="00A23887" w:rsidP="00A23887">
      <w:pPr>
        <w:tabs>
          <w:tab w:val="left" w:pos="7513"/>
        </w:tabs>
        <w:spacing w:before="240" w:line="276" w:lineRule="auto"/>
        <w:ind w:right="-28"/>
        <w:rPr>
          <w:rFonts w:asciiTheme="majorHAnsi" w:eastAsia="Calibri" w:hAnsiTheme="majorHAnsi" w:cstheme="majorHAnsi"/>
          <w:sz w:val="22"/>
          <w:szCs w:val="22"/>
        </w:rPr>
      </w:pPr>
      <w:r w:rsidRPr="00B24A80">
        <w:rPr>
          <w:rFonts w:asciiTheme="majorHAnsi" w:eastAsia="Calibri" w:hAnsiTheme="majorHAnsi" w:cstheme="majorHAnsi"/>
          <w:sz w:val="22"/>
          <w:szCs w:val="22"/>
        </w:rPr>
        <w:t>No obstante, de lo señalado, los propietarios de</w:t>
      </w:r>
      <w:r w:rsidR="00076093">
        <w:rPr>
          <w:rFonts w:asciiTheme="majorHAnsi" w:eastAsia="Calibri" w:hAnsiTheme="majorHAnsi" w:cstheme="majorHAnsi"/>
          <w:sz w:val="22"/>
          <w:szCs w:val="22"/>
        </w:rPr>
        <w:t xml:space="preserve"> las actividades económicas y</w:t>
      </w:r>
      <w:r w:rsidRPr="00B24A80">
        <w:rPr>
          <w:rFonts w:asciiTheme="majorHAnsi" w:eastAsia="Calibri" w:hAnsiTheme="majorHAnsi" w:cstheme="majorHAnsi"/>
          <w:sz w:val="22"/>
          <w:szCs w:val="22"/>
        </w:rPr>
        <w:t xml:space="preserve"> establecimientos considerados como usos de suelo incompatibles, podrán, luego de la notificación acogerse voluntariamente a una Auditoría Ambiental, la cual tendrá como objetivos:</w:t>
      </w:r>
    </w:p>
    <w:p w14:paraId="6DE49DE1" w14:textId="5A401947" w:rsidR="00A23887" w:rsidRPr="00B24A80" w:rsidRDefault="00A23887" w:rsidP="00A23887">
      <w:pPr>
        <w:tabs>
          <w:tab w:val="left" w:pos="7513"/>
        </w:tabs>
        <w:spacing w:before="240" w:after="240" w:line="276" w:lineRule="auto"/>
        <w:ind w:left="260" w:right="113"/>
        <w:rPr>
          <w:rFonts w:asciiTheme="majorHAnsi" w:eastAsia="Calibri" w:hAnsiTheme="majorHAnsi" w:cstheme="majorHAnsi"/>
          <w:sz w:val="22"/>
          <w:szCs w:val="22"/>
        </w:rPr>
      </w:pPr>
      <w:r w:rsidRPr="00B24A80">
        <w:rPr>
          <w:rFonts w:asciiTheme="majorHAnsi" w:eastAsia="Calibri" w:hAnsiTheme="majorHAnsi" w:cstheme="majorHAnsi"/>
          <w:sz w:val="22"/>
          <w:szCs w:val="22"/>
        </w:rPr>
        <w:t>a) Determinar el grado de cumplimiento de las normativas vigentes en materia ambiental, tanto a nivel local - incluyendo las co</w:t>
      </w:r>
      <w:r w:rsidR="003843F4" w:rsidRPr="00B24A80">
        <w:rPr>
          <w:rFonts w:asciiTheme="majorHAnsi" w:eastAsia="Calibri" w:hAnsiTheme="majorHAnsi" w:cstheme="majorHAnsi"/>
          <w:sz w:val="22"/>
          <w:szCs w:val="22"/>
        </w:rPr>
        <w:t>nstantes en la presente ordenanza</w:t>
      </w:r>
      <w:r w:rsidRPr="00B24A80">
        <w:rPr>
          <w:rFonts w:asciiTheme="majorHAnsi" w:eastAsia="Calibri" w:hAnsiTheme="majorHAnsi" w:cstheme="majorHAnsi"/>
          <w:sz w:val="22"/>
          <w:szCs w:val="22"/>
        </w:rPr>
        <w:t xml:space="preserve"> como a nivel nacional, tales como el Código de la Salud y la Ley de Prevención</w:t>
      </w:r>
      <w:r w:rsidR="003843F4" w:rsidRPr="00B24A80">
        <w:rPr>
          <w:rFonts w:asciiTheme="majorHAnsi" w:eastAsia="Calibri" w:hAnsiTheme="majorHAnsi" w:cstheme="majorHAnsi"/>
          <w:sz w:val="22"/>
          <w:szCs w:val="22"/>
        </w:rPr>
        <w:t xml:space="preserve"> de riesgos</w:t>
      </w:r>
      <w:r w:rsidRPr="00B24A80">
        <w:rPr>
          <w:rFonts w:asciiTheme="majorHAnsi" w:eastAsia="Calibri" w:hAnsiTheme="majorHAnsi" w:cstheme="majorHAnsi"/>
          <w:sz w:val="22"/>
          <w:szCs w:val="22"/>
        </w:rPr>
        <w:t xml:space="preserve"> y Control de la Contaminación Ambiental y sus Reglamentos.</w:t>
      </w:r>
    </w:p>
    <w:p w14:paraId="7689C4FC" w14:textId="77777777" w:rsidR="00A23887" w:rsidRPr="00B24A80" w:rsidRDefault="00A23887" w:rsidP="00A23887">
      <w:pPr>
        <w:spacing w:before="240" w:after="240" w:line="276" w:lineRule="auto"/>
        <w:ind w:left="260" w:right="1060"/>
        <w:rPr>
          <w:rFonts w:asciiTheme="majorHAnsi" w:eastAsia="Calibri" w:hAnsiTheme="majorHAnsi" w:cstheme="majorHAnsi"/>
          <w:sz w:val="22"/>
          <w:szCs w:val="22"/>
        </w:rPr>
      </w:pPr>
      <w:r w:rsidRPr="00B24A80">
        <w:rPr>
          <w:rFonts w:asciiTheme="majorHAnsi" w:eastAsia="Calibri" w:hAnsiTheme="majorHAnsi" w:cstheme="majorHAnsi"/>
          <w:sz w:val="22"/>
          <w:szCs w:val="22"/>
        </w:rPr>
        <w:t>b) Evaluar los sistemas de gestión ambiental empleados; y,</w:t>
      </w:r>
    </w:p>
    <w:p w14:paraId="1E56E851" w14:textId="04BA2DF1" w:rsidR="00A23887" w:rsidRPr="00B24A80" w:rsidRDefault="00A23887" w:rsidP="00A23887">
      <w:pPr>
        <w:spacing w:before="240" w:after="240" w:line="276" w:lineRule="auto"/>
        <w:ind w:left="260" w:right="114"/>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c) Determinar la coherencia de la gestión ambiental de la </w:t>
      </w:r>
      <w:r w:rsidR="003843F4" w:rsidRPr="00B24A80">
        <w:rPr>
          <w:rFonts w:asciiTheme="majorHAnsi" w:eastAsia="Calibri" w:hAnsiTheme="majorHAnsi" w:cstheme="majorHAnsi"/>
          <w:sz w:val="22"/>
          <w:szCs w:val="22"/>
        </w:rPr>
        <w:t>actividad</w:t>
      </w:r>
      <w:r w:rsidRPr="00B24A80">
        <w:rPr>
          <w:rFonts w:asciiTheme="majorHAnsi" w:eastAsia="Calibri" w:hAnsiTheme="majorHAnsi" w:cstheme="majorHAnsi"/>
          <w:sz w:val="22"/>
          <w:szCs w:val="22"/>
        </w:rPr>
        <w:t xml:space="preserve"> con la normativa vigente en la materia.</w:t>
      </w:r>
    </w:p>
    <w:p w14:paraId="071B2D24" w14:textId="48680869" w:rsidR="00A23887" w:rsidRPr="00B24A80" w:rsidRDefault="00A23887" w:rsidP="00A23887">
      <w:pPr>
        <w:spacing w:after="240" w:line="276" w:lineRule="auto"/>
        <w:ind w:right="114"/>
        <w:rPr>
          <w:rFonts w:asciiTheme="majorHAnsi" w:eastAsia="Calibri" w:hAnsiTheme="majorHAnsi" w:cstheme="majorHAnsi"/>
          <w:sz w:val="22"/>
          <w:szCs w:val="22"/>
        </w:rPr>
      </w:pPr>
      <w:r w:rsidRPr="00B24A80">
        <w:rPr>
          <w:rFonts w:asciiTheme="majorHAnsi" w:eastAsia="Calibri" w:hAnsiTheme="majorHAnsi" w:cstheme="majorHAnsi"/>
          <w:sz w:val="22"/>
          <w:szCs w:val="22"/>
        </w:rPr>
        <w:t>Este proceso de integración ambiental será su</w:t>
      </w:r>
      <w:r w:rsidR="007D7568" w:rsidRPr="00B24A80">
        <w:rPr>
          <w:rFonts w:asciiTheme="majorHAnsi" w:eastAsia="Calibri" w:hAnsiTheme="majorHAnsi" w:cstheme="majorHAnsi"/>
          <w:sz w:val="22"/>
          <w:szCs w:val="22"/>
        </w:rPr>
        <w:t>pervisado y evaluado por el Conc</w:t>
      </w:r>
      <w:r w:rsidRPr="00B24A80">
        <w:rPr>
          <w:rFonts w:asciiTheme="majorHAnsi" w:eastAsia="Calibri" w:hAnsiTheme="majorHAnsi" w:cstheme="majorHAnsi"/>
          <w:sz w:val="22"/>
          <w:szCs w:val="22"/>
        </w:rPr>
        <w:t xml:space="preserve">ejo </w:t>
      </w:r>
      <w:r w:rsidR="00D64EA4">
        <w:rPr>
          <w:rFonts w:asciiTheme="majorHAnsi" w:eastAsia="Calibri" w:hAnsiTheme="majorHAnsi" w:cstheme="majorHAnsi"/>
          <w:sz w:val="22"/>
          <w:szCs w:val="22"/>
        </w:rPr>
        <w:t>Municipal, de manera conjunta con la Dirección de Gestión Ambiental,</w:t>
      </w:r>
      <w:r w:rsidRPr="00B24A80">
        <w:rPr>
          <w:rFonts w:asciiTheme="majorHAnsi" w:eastAsia="Calibri" w:hAnsiTheme="majorHAnsi" w:cstheme="majorHAnsi"/>
          <w:sz w:val="22"/>
          <w:szCs w:val="22"/>
        </w:rPr>
        <w:t xml:space="preserve"> estableciendo en cada caso </w:t>
      </w:r>
      <w:r w:rsidRPr="00B24A80">
        <w:rPr>
          <w:rFonts w:asciiTheme="majorHAnsi" w:eastAsia="Calibri" w:hAnsiTheme="majorHAnsi" w:cstheme="majorHAnsi"/>
          <w:sz w:val="22"/>
          <w:szCs w:val="22"/>
        </w:rPr>
        <w:lastRenderedPageBreak/>
        <w:t>claramente los plazos para la ejecución de la Auditoría Ambiental y la implementación de su Programa de Medidas Correctoras, así como la periodicidad de la Auditoria en el futuro.</w:t>
      </w:r>
    </w:p>
    <w:p w14:paraId="389F7D05" w14:textId="2F603424" w:rsidR="00A23887" w:rsidRPr="00B24A80" w:rsidRDefault="00A23887" w:rsidP="00A23887">
      <w:pPr>
        <w:spacing w:after="240" w:line="276" w:lineRule="auto"/>
        <w:ind w:right="114"/>
        <w:rPr>
          <w:rFonts w:asciiTheme="majorHAnsi" w:eastAsia="Calibri" w:hAnsiTheme="majorHAnsi" w:cstheme="majorHAnsi"/>
          <w:sz w:val="22"/>
          <w:szCs w:val="22"/>
        </w:rPr>
      </w:pPr>
      <w:r w:rsidRPr="00B24A80">
        <w:rPr>
          <w:rFonts w:asciiTheme="majorHAnsi" w:eastAsia="Calibri" w:hAnsiTheme="majorHAnsi" w:cstheme="majorHAnsi"/>
          <w:sz w:val="22"/>
          <w:szCs w:val="22"/>
        </w:rPr>
        <w:t>Si la Implementación del Programa de Medidas Correctoras no logra el cumplimiento de las normativas vigente</w:t>
      </w:r>
      <w:r w:rsidR="00376750" w:rsidRPr="00B24A80">
        <w:rPr>
          <w:rFonts w:asciiTheme="majorHAnsi" w:eastAsia="Calibri" w:hAnsiTheme="majorHAnsi" w:cstheme="majorHAnsi"/>
          <w:sz w:val="22"/>
          <w:szCs w:val="22"/>
        </w:rPr>
        <w:t xml:space="preserve">s, por motivos de fuerza mayor </w:t>
      </w:r>
      <w:r w:rsidRPr="00B24A80">
        <w:rPr>
          <w:rFonts w:asciiTheme="majorHAnsi" w:eastAsia="Calibri" w:hAnsiTheme="majorHAnsi" w:cstheme="majorHAnsi"/>
          <w:sz w:val="22"/>
          <w:szCs w:val="22"/>
        </w:rPr>
        <w:t xml:space="preserve">de cualquier naturaleza no puede realizarse tal implementación; por lo tanto, se producirá la relocalización del uso de suelo o establecimiento, siguiendo para el efecto las disposiciones </w:t>
      </w:r>
      <w:r w:rsidR="003843F4" w:rsidRPr="00B24A80">
        <w:rPr>
          <w:rFonts w:asciiTheme="majorHAnsi" w:eastAsia="Calibri" w:hAnsiTheme="majorHAnsi" w:cstheme="majorHAnsi"/>
          <w:sz w:val="22"/>
          <w:szCs w:val="22"/>
        </w:rPr>
        <w:t>establecidas en la presente.</w:t>
      </w:r>
    </w:p>
    <w:p w14:paraId="598BF278" w14:textId="05F5B60A" w:rsidR="00A23887" w:rsidRPr="00B24A80" w:rsidRDefault="00A23887" w:rsidP="00A23887">
      <w:pPr>
        <w:spacing w:after="240" w:line="276" w:lineRule="auto"/>
        <w:ind w:right="114"/>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En consecuencia, la Municipalidad, a través de la </w:t>
      </w:r>
      <w:r w:rsidR="006E0959" w:rsidRPr="00B24A80">
        <w:rPr>
          <w:rFonts w:asciiTheme="majorHAnsi" w:eastAsia="Calibri" w:hAnsiTheme="majorHAnsi" w:cstheme="majorHAnsi"/>
          <w:sz w:val="22"/>
          <w:szCs w:val="22"/>
        </w:rPr>
        <w:t xml:space="preserve">Dirección de Gestión Planificación y Ordenamiento Territorial </w:t>
      </w:r>
      <w:r w:rsidRPr="00B24A80">
        <w:rPr>
          <w:rFonts w:asciiTheme="majorHAnsi" w:eastAsia="Calibri" w:hAnsiTheme="majorHAnsi" w:cstheme="majorHAnsi"/>
          <w:sz w:val="22"/>
          <w:szCs w:val="22"/>
        </w:rPr>
        <w:t>ratificará la permanencia de los usos de suelo que luego de la implementación del respectivo Programa de Medidas Correctoras, hayan logrado integrarse ambientalmente cumpliendo la normativa vigente.</w:t>
      </w:r>
    </w:p>
    <w:p w14:paraId="68E1D4A3" w14:textId="77777777" w:rsidR="00A23887" w:rsidRPr="00B24A80" w:rsidRDefault="00A23887" w:rsidP="00A23887">
      <w:pPr>
        <w:spacing w:after="240" w:line="276" w:lineRule="auto"/>
        <w:ind w:right="113"/>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ejecución de la Auditoría Ambiental y la formulación e implantación del Programa de Medidas Correctoras, será de responsabilidad técnica y económica de los interesados. </w:t>
      </w:r>
    </w:p>
    <w:p w14:paraId="75D556BE" w14:textId="543E412A" w:rsidR="00DC27E8" w:rsidRPr="00B24A80" w:rsidRDefault="00D14EE9">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Pr>
          <w:rFonts w:asciiTheme="majorHAnsi" w:eastAsia="Calibri" w:hAnsiTheme="majorHAnsi" w:cstheme="majorHAnsi"/>
          <w:b/>
          <w:color w:val="000000"/>
          <w:sz w:val="22"/>
          <w:szCs w:val="22"/>
        </w:rPr>
        <w:t>OCTAV</w:t>
      </w:r>
      <w:r w:rsidR="00D525E1">
        <w:rPr>
          <w:rFonts w:asciiTheme="majorHAnsi" w:eastAsia="Calibri" w:hAnsiTheme="majorHAnsi" w:cstheme="majorHAnsi"/>
          <w:b/>
          <w:color w:val="000000"/>
          <w:sz w:val="22"/>
          <w:szCs w:val="22"/>
        </w:rPr>
        <w:t>A</w:t>
      </w:r>
      <w:r w:rsidR="007F5505" w:rsidRPr="00B24A80">
        <w:rPr>
          <w:rFonts w:asciiTheme="majorHAnsi" w:eastAsia="Calibri" w:hAnsiTheme="majorHAnsi" w:cstheme="majorHAnsi"/>
          <w:b/>
          <w:color w:val="000000"/>
          <w:sz w:val="22"/>
          <w:szCs w:val="22"/>
        </w:rPr>
        <w:t>. -</w:t>
      </w:r>
      <w:r w:rsidR="007F5505" w:rsidRPr="00B24A80">
        <w:rPr>
          <w:rFonts w:asciiTheme="majorHAnsi" w:eastAsia="Calibri" w:hAnsiTheme="majorHAnsi" w:cstheme="majorHAnsi"/>
          <w:color w:val="000000"/>
          <w:sz w:val="22"/>
          <w:szCs w:val="22"/>
        </w:rPr>
        <w:t xml:space="preserve"> </w:t>
      </w:r>
      <w:r w:rsidR="007F5505" w:rsidRPr="00B24A80">
        <w:rPr>
          <w:rFonts w:asciiTheme="majorHAnsi" w:eastAsia="Calibri" w:hAnsiTheme="majorHAnsi" w:cstheme="majorHAnsi"/>
          <w:sz w:val="22"/>
          <w:szCs w:val="22"/>
        </w:rPr>
        <w:t>En un plazo máximo de 90 días,</w:t>
      </w:r>
      <w:r w:rsidR="00623D1D">
        <w:rPr>
          <w:rFonts w:asciiTheme="majorHAnsi" w:eastAsia="Calibri" w:hAnsiTheme="majorHAnsi" w:cstheme="majorHAnsi"/>
          <w:sz w:val="22"/>
          <w:szCs w:val="22"/>
        </w:rPr>
        <w:t xml:space="preserve"> a partir de la aprobación de la presente ordenanza,</w:t>
      </w:r>
      <w:r w:rsidR="007F5505" w:rsidRPr="00B24A80">
        <w:rPr>
          <w:rFonts w:asciiTheme="majorHAnsi" w:eastAsia="Calibri" w:hAnsiTheme="majorHAnsi" w:cstheme="majorHAnsi"/>
          <w:sz w:val="22"/>
          <w:szCs w:val="22"/>
        </w:rPr>
        <w:t xml:space="preserve"> se harán las reformas necesarias a la Ordenanza de cobros administrativos en las que se incorporará todas las tasas generadas con la presente ordenanza</w:t>
      </w:r>
      <w:r w:rsidR="00623D1D">
        <w:rPr>
          <w:rFonts w:asciiTheme="majorHAnsi" w:eastAsia="Calibri" w:hAnsiTheme="majorHAnsi" w:cstheme="majorHAnsi"/>
          <w:sz w:val="22"/>
          <w:szCs w:val="22"/>
        </w:rPr>
        <w:t>.</w:t>
      </w:r>
    </w:p>
    <w:p w14:paraId="4E0455DF" w14:textId="59BA517E" w:rsidR="00DC27E8" w:rsidRPr="00B24A80" w:rsidRDefault="001158E6">
      <w:pPr>
        <w:pBdr>
          <w:top w:val="nil"/>
          <w:left w:val="nil"/>
          <w:bottom w:val="nil"/>
          <w:right w:val="nil"/>
          <w:between w:val="nil"/>
        </w:pBdr>
        <w:spacing w:before="240" w:line="276" w:lineRule="auto"/>
        <w:ind w:right="-100"/>
        <w:rPr>
          <w:rFonts w:asciiTheme="majorHAnsi" w:hAnsiTheme="majorHAnsi" w:cstheme="majorHAnsi"/>
          <w:sz w:val="22"/>
          <w:szCs w:val="22"/>
        </w:rPr>
      </w:pPr>
      <w:r>
        <w:rPr>
          <w:rFonts w:asciiTheme="majorHAnsi" w:eastAsia="Calibri" w:hAnsiTheme="majorHAnsi" w:cstheme="majorHAnsi"/>
          <w:b/>
          <w:sz w:val="22"/>
          <w:szCs w:val="22"/>
        </w:rPr>
        <w:t>NOVENA</w:t>
      </w:r>
      <w:r w:rsidR="007F5505" w:rsidRPr="00B24A80">
        <w:rPr>
          <w:rFonts w:asciiTheme="majorHAnsi" w:eastAsia="Calibri" w:hAnsiTheme="majorHAnsi" w:cstheme="majorHAnsi"/>
          <w:b/>
          <w:sz w:val="22"/>
          <w:szCs w:val="22"/>
        </w:rPr>
        <w:t>.-</w:t>
      </w:r>
      <w:r w:rsidR="007F5505" w:rsidRPr="00B24A80">
        <w:rPr>
          <w:rFonts w:asciiTheme="majorHAnsi" w:hAnsiTheme="majorHAnsi" w:cstheme="majorHAnsi"/>
          <w:sz w:val="22"/>
          <w:szCs w:val="22"/>
        </w:rPr>
        <w:t xml:space="preserve"> En el plazo máximo de </w:t>
      </w:r>
      <w:r w:rsidR="00985E88" w:rsidRPr="00985E88">
        <w:rPr>
          <w:rFonts w:asciiTheme="majorHAnsi" w:hAnsiTheme="majorHAnsi" w:cstheme="majorHAnsi"/>
          <w:sz w:val="22"/>
          <w:szCs w:val="22"/>
          <w:highlight w:val="yellow"/>
        </w:rPr>
        <w:t>seis meses</w:t>
      </w:r>
      <w:r w:rsidR="007F5505" w:rsidRPr="00B24A80">
        <w:rPr>
          <w:rFonts w:asciiTheme="majorHAnsi" w:hAnsiTheme="majorHAnsi" w:cstheme="majorHAnsi"/>
          <w:sz w:val="22"/>
          <w:szCs w:val="22"/>
        </w:rPr>
        <w:t>, contado a partir de la aprobación de</w:t>
      </w:r>
      <w:r w:rsidR="00D56A51">
        <w:rPr>
          <w:rFonts w:asciiTheme="majorHAnsi" w:hAnsiTheme="majorHAnsi" w:cstheme="majorHAnsi"/>
          <w:sz w:val="22"/>
          <w:szCs w:val="22"/>
        </w:rPr>
        <w:t xml:space="preserve"> </w:t>
      </w:r>
      <w:r w:rsidR="007F5505" w:rsidRPr="00B24A80">
        <w:rPr>
          <w:rFonts w:asciiTheme="majorHAnsi" w:hAnsiTheme="majorHAnsi" w:cstheme="majorHAnsi"/>
          <w:sz w:val="22"/>
          <w:szCs w:val="22"/>
        </w:rPr>
        <w:t>l</w:t>
      </w:r>
      <w:r w:rsidR="00D56A51">
        <w:rPr>
          <w:rFonts w:asciiTheme="majorHAnsi" w:hAnsiTheme="majorHAnsi" w:cstheme="majorHAnsi"/>
          <w:sz w:val="22"/>
          <w:szCs w:val="22"/>
        </w:rPr>
        <w:t xml:space="preserve">a </w:t>
      </w:r>
      <w:r w:rsidR="007F5505" w:rsidRPr="00B24A80">
        <w:rPr>
          <w:rFonts w:asciiTheme="majorHAnsi" w:hAnsiTheme="majorHAnsi" w:cstheme="majorHAnsi"/>
          <w:sz w:val="22"/>
          <w:szCs w:val="22"/>
        </w:rPr>
        <w:t>presente o</w:t>
      </w:r>
      <w:r w:rsidR="00D56A51">
        <w:rPr>
          <w:rFonts w:asciiTheme="majorHAnsi" w:hAnsiTheme="majorHAnsi" w:cstheme="majorHAnsi"/>
          <w:sz w:val="22"/>
          <w:szCs w:val="22"/>
        </w:rPr>
        <w:t>rdenanza</w:t>
      </w:r>
      <w:r w:rsidR="007F5505" w:rsidRPr="00B24A80">
        <w:rPr>
          <w:rFonts w:asciiTheme="majorHAnsi" w:hAnsiTheme="majorHAnsi" w:cstheme="majorHAnsi"/>
          <w:sz w:val="22"/>
          <w:szCs w:val="22"/>
        </w:rPr>
        <w:t>; la Dirección Administrativa y de Planificación realizarán un Plan de implementación progresivo de</w:t>
      </w:r>
      <w:r w:rsidR="00376750" w:rsidRPr="00B24A80">
        <w:rPr>
          <w:rFonts w:asciiTheme="majorHAnsi" w:hAnsiTheme="majorHAnsi" w:cstheme="majorHAnsi"/>
          <w:sz w:val="22"/>
          <w:szCs w:val="22"/>
        </w:rPr>
        <w:t>l</w:t>
      </w:r>
      <w:r w:rsidR="007F5505" w:rsidRPr="00B24A80">
        <w:rPr>
          <w:rFonts w:asciiTheme="majorHAnsi" w:hAnsiTheme="majorHAnsi" w:cstheme="majorHAnsi"/>
          <w:sz w:val="22"/>
          <w:szCs w:val="22"/>
        </w:rPr>
        <w:t xml:space="preserve"> trámites en </w:t>
      </w:r>
      <w:r w:rsidR="007D7568" w:rsidRPr="00B24A80">
        <w:rPr>
          <w:rFonts w:asciiTheme="majorHAnsi" w:hAnsiTheme="majorHAnsi" w:cstheme="majorHAnsi"/>
          <w:sz w:val="22"/>
          <w:szCs w:val="22"/>
        </w:rPr>
        <w:t>IPRUS</w:t>
      </w:r>
      <w:r w:rsidR="007F5505" w:rsidRPr="00B24A80">
        <w:rPr>
          <w:rFonts w:asciiTheme="majorHAnsi" w:hAnsiTheme="majorHAnsi" w:cstheme="majorHAnsi"/>
          <w:sz w:val="22"/>
          <w:szCs w:val="22"/>
        </w:rPr>
        <w:t>, conforme a su capacidad institucional, mediante la aplicación de tecnologías de la información de los servicios relacionados a los procedimientos de aprobación de permisos, autorizaciones e informes previos de construcción, con base a los procedimientos definidos por el GAD en concordancia con lo estipulado en la Ley Orgánica para la Optimización y Eficiencia de Trámites Administrativos y con lo definido en la presente Resolución</w:t>
      </w:r>
    </w:p>
    <w:p w14:paraId="5119DF5F" w14:textId="428045FA" w:rsidR="00AF1AEF" w:rsidRPr="00B24A80" w:rsidRDefault="00D525E1" w:rsidP="00AF1AEF">
      <w:pPr>
        <w:pBdr>
          <w:top w:val="nil"/>
          <w:left w:val="nil"/>
          <w:bottom w:val="nil"/>
          <w:right w:val="nil"/>
          <w:between w:val="nil"/>
        </w:pBdr>
        <w:spacing w:before="240" w:line="276" w:lineRule="auto"/>
        <w:ind w:right="-100"/>
        <w:rPr>
          <w:rFonts w:asciiTheme="majorHAnsi" w:hAnsiTheme="majorHAnsi" w:cstheme="majorHAnsi"/>
          <w:sz w:val="22"/>
          <w:szCs w:val="22"/>
        </w:rPr>
      </w:pPr>
      <w:r>
        <w:rPr>
          <w:rFonts w:asciiTheme="majorHAnsi" w:eastAsia="Calibri" w:hAnsiTheme="majorHAnsi" w:cstheme="majorHAnsi"/>
          <w:b/>
          <w:sz w:val="22"/>
          <w:szCs w:val="22"/>
        </w:rPr>
        <w:t>DÉCIMA</w:t>
      </w:r>
      <w:r w:rsidR="00AF1AEF" w:rsidRPr="00B24A80">
        <w:rPr>
          <w:rFonts w:asciiTheme="majorHAnsi" w:eastAsia="Calibri" w:hAnsiTheme="majorHAnsi" w:cstheme="majorHAnsi"/>
          <w:b/>
          <w:sz w:val="22"/>
          <w:szCs w:val="22"/>
        </w:rPr>
        <w:t>. -</w:t>
      </w:r>
      <w:r w:rsidR="00AF1AEF" w:rsidRPr="00B24A80">
        <w:rPr>
          <w:rFonts w:asciiTheme="majorHAnsi" w:hAnsiTheme="majorHAnsi" w:cstheme="majorHAnsi"/>
          <w:sz w:val="22"/>
          <w:szCs w:val="22"/>
        </w:rPr>
        <w:t>.</w:t>
      </w:r>
      <w:r w:rsidR="005F489F" w:rsidRPr="00B24A80">
        <w:rPr>
          <w:rFonts w:asciiTheme="majorHAnsi" w:hAnsiTheme="majorHAnsi" w:cstheme="majorHAnsi"/>
          <w:sz w:val="22"/>
          <w:szCs w:val="22"/>
        </w:rPr>
        <w:t xml:space="preserve"> </w:t>
      </w:r>
      <w:r w:rsidR="00903947" w:rsidRPr="00B24A80">
        <w:rPr>
          <w:rFonts w:asciiTheme="majorHAnsi" w:hAnsiTheme="majorHAnsi" w:cstheme="majorHAnsi"/>
          <w:sz w:val="22"/>
          <w:szCs w:val="22"/>
        </w:rPr>
        <w:t xml:space="preserve">Transcurrido el </w:t>
      </w:r>
      <w:r w:rsidR="008A1D3C" w:rsidRPr="00B24A80">
        <w:rPr>
          <w:rFonts w:asciiTheme="majorHAnsi" w:hAnsiTheme="majorHAnsi" w:cstheme="majorHAnsi"/>
          <w:sz w:val="22"/>
          <w:szCs w:val="22"/>
        </w:rPr>
        <w:t xml:space="preserve">plazo máximo de </w:t>
      </w:r>
      <w:r w:rsidR="008A1D3C" w:rsidRPr="006C633F">
        <w:rPr>
          <w:rFonts w:asciiTheme="majorHAnsi" w:hAnsiTheme="majorHAnsi" w:cstheme="majorHAnsi"/>
          <w:sz w:val="22"/>
          <w:szCs w:val="22"/>
          <w:highlight w:val="yellow"/>
        </w:rPr>
        <w:t>tres (3) años</w:t>
      </w:r>
      <w:r w:rsidR="008A1D3C" w:rsidRPr="00B24A80">
        <w:rPr>
          <w:rFonts w:asciiTheme="majorHAnsi" w:hAnsiTheme="majorHAnsi" w:cstheme="majorHAnsi"/>
          <w:sz w:val="22"/>
          <w:szCs w:val="22"/>
        </w:rPr>
        <w:t xml:space="preserve">, </w:t>
      </w:r>
      <w:r w:rsidR="00E03C18">
        <w:rPr>
          <w:rFonts w:asciiTheme="majorHAnsi" w:hAnsiTheme="majorHAnsi" w:cstheme="majorHAnsi"/>
          <w:sz w:val="22"/>
          <w:szCs w:val="22"/>
        </w:rPr>
        <w:t xml:space="preserve">a partir </w:t>
      </w:r>
      <w:r w:rsidR="008A1D3C" w:rsidRPr="00B24A80">
        <w:rPr>
          <w:rFonts w:asciiTheme="majorHAnsi" w:hAnsiTheme="majorHAnsi" w:cstheme="majorHAnsi"/>
          <w:sz w:val="22"/>
          <w:szCs w:val="22"/>
        </w:rPr>
        <w:t xml:space="preserve">de la </w:t>
      </w:r>
      <w:r w:rsidR="00E03C18">
        <w:rPr>
          <w:rFonts w:asciiTheme="majorHAnsi" w:hAnsiTheme="majorHAnsi" w:cstheme="majorHAnsi"/>
          <w:sz w:val="22"/>
          <w:szCs w:val="22"/>
        </w:rPr>
        <w:t>publicación en el registro oficial</w:t>
      </w:r>
      <w:r w:rsidR="008A1D3C" w:rsidRPr="00B24A80">
        <w:rPr>
          <w:rFonts w:asciiTheme="majorHAnsi" w:hAnsiTheme="majorHAnsi" w:cstheme="majorHAnsi"/>
          <w:sz w:val="22"/>
          <w:szCs w:val="22"/>
        </w:rPr>
        <w:t xml:space="preserve"> del presente instrumento, </w:t>
      </w:r>
      <w:r w:rsidR="00903947" w:rsidRPr="00B24A80">
        <w:rPr>
          <w:rFonts w:asciiTheme="majorHAnsi" w:hAnsiTheme="majorHAnsi" w:cstheme="majorHAnsi"/>
          <w:sz w:val="22"/>
          <w:szCs w:val="22"/>
        </w:rPr>
        <w:t xml:space="preserve">se quedará establecido el lote mínimo de fraccionamiento </w:t>
      </w:r>
      <w:r w:rsidR="008A1D3C" w:rsidRPr="00B24A80">
        <w:rPr>
          <w:rFonts w:asciiTheme="majorHAnsi" w:hAnsiTheme="majorHAnsi" w:cstheme="majorHAnsi"/>
          <w:sz w:val="22"/>
          <w:szCs w:val="22"/>
        </w:rPr>
        <w:t>en el polígono de intervención territorial “Centro Poblado Rural”</w:t>
      </w:r>
      <w:r w:rsidR="00903947" w:rsidRPr="00B24A80">
        <w:rPr>
          <w:rFonts w:asciiTheme="majorHAnsi" w:hAnsiTheme="majorHAnsi" w:cstheme="majorHAnsi"/>
          <w:sz w:val="22"/>
          <w:szCs w:val="22"/>
        </w:rPr>
        <w:t xml:space="preserve"> de 400 m2</w:t>
      </w:r>
      <w:r w:rsidR="008A1D3C" w:rsidRPr="00B24A80">
        <w:rPr>
          <w:rFonts w:asciiTheme="majorHAnsi" w:hAnsiTheme="majorHAnsi" w:cstheme="majorHAnsi"/>
          <w:sz w:val="22"/>
          <w:szCs w:val="22"/>
        </w:rPr>
        <w:t>, luego de subsanar todos los procesos administrativos de catastro y fraccionamiento predial relacionados con el polígono en mención y solicitados por la ciudadanía al GAD Municipal.</w:t>
      </w:r>
    </w:p>
    <w:p w14:paraId="026DA86E" w14:textId="1D0DD9B0" w:rsidR="00CD3841" w:rsidRPr="00B24A80" w:rsidRDefault="00D525E1" w:rsidP="00AF1AEF">
      <w:pPr>
        <w:pBdr>
          <w:top w:val="nil"/>
          <w:left w:val="nil"/>
          <w:bottom w:val="nil"/>
          <w:right w:val="nil"/>
          <w:between w:val="nil"/>
        </w:pBdr>
        <w:spacing w:before="240" w:line="276" w:lineRule="auto"/>
        <w:ind w:right="-100"/>
        <w:rPr>
          <w:rFonts w:asciiTheme="majorHAnsi" w:hAnsiTheme="majorHAnsi" w:cstheme="majorHAnsi"/>
          <w:sz w:val="22"/>
          <w:szCs w:val="22"/>
        </w:rPr>
      </w:pPr>
      <w:r>
        <w:rPr>
          <w:rFonts w:asciiTheme="majorHAnsi" w:hAnsiTheme="majorHAnsi" w:cstheme="majorHAnsi"/>
          <w:b/>
          <w:sz w:val="22"/>
          <w:szCs w:val="22"/>
        </w:rPr>
        <w:t>DÉCIM</w:t>
      </w:r>
      <w:r w:rsidR="008664DA">
        <w:rPr>
          <w:rFonts w:asciiTheme="majorHAnsi" w:hAnsiTheme="majorHAnsi" w:cstheme="majorHAnsi"/>
          <w:b/>
          <w:sz w:val="22"/>
          <w:szCs w:val="22"/>
        </w:rPr>
        <w:t>A</w:t>
      </w:r>
      <w:r>
        <w:rPr>
          <w:rFonts w:asciiTheme="majorHAnsi" w:hAnsiTheme="majorHAnsi" w:cstheme="majorHAnsi"/>
          <w:b/>
          <w:sz w:val="22"/>
          <w:szCs w:val="22"/>
        </w:rPr>
        <w:t xml:space="preserve"> </w:t>
      </w:r>
      <w:r w:rsidR="00AC45C3">
        <w:rPr>
          <w:rFonts w:asciiTheme="majorHAnsi" w:hAnsiTheme="majorHAnsi" w:cstheme="majorHAnsi"/>
          <w:b/>
          <w:sz w:val="22"/>
          <w:szCs w:val="22"/>
        </w:rPr>
        <w:t>PRIMER</w:t>
      </w:r>
      <w:r>
        <w:rPr>
          <w:rFonts w:asciiTheme="majorHAnsi" w:hAnsiTheme="majorHAnsi" w:cstheme="majorHAnsi"/>
          <w:b/>
          <w:sz w:val="22"/>
          <w:szCs w:val="22"/>
        </w:rPr>
        <w:t>A</w:t>
      </w:r>
      <w:r w:rsidRPr="00B24A80">
        <w:rPr>
          <w:rFonts w:asciiTheme="majorHAnsi" w:hAnsiTheme="majorHAnsi" w:cstheme="majorHAnsi"/>
          <w:b/>
          <w:sz w:val="22"/>
          <w:szCs w:val="22"/>
        </w:rPr>
        <w:t>. -</w:t>
      </w:r>
      <w:r w:rsidR="00903947" w:rsidRPr="00B24A80">
        <w:rPr>
          <w:rFonts w:asciiTheme="majorHAnsi" w:hAnsiTheme="majorHAnsi" w:cstheme="majorHAnsi"/>
          <w:sz w:val="22"/>
          <w:szCs w:val="22"/>
        </w:rPr>
        <w:t xml:space="preserve">  En casos excepcionales de lotes inferiores a </w:t>
      </w:r>
      <w:r w:rsidR="00945517">
        <w:rPr>
          <w:rFonts w:asciiTheme="majorHAnsi" w:hAnsiTheme="majorHAnsi" w:cstheme="majorHAnsi"/>
          <w:sz w:val="22"/>
          <w:szCs w:val="22"/>
        </w:rPr>
        <w:t xml:space="preserve">400 </w:t>
      </w:r>
      <w:r w:rsidR="00CD3841" w:rsidRPr="00B24A80">
        <w:rPr>
          <w:rFonts w:asciiTheme="majorHAnsi" w:hAnsiTheme="majorHAnsi" w:cstheme="majorHAnsi"/>
          <w:sz w:val="22"/>
          <w:szCs w:val="22"/>
        </w:rPr>
        <w:t xml:space="preserve">m2 </w:t>
      </w:r>
      <w:r w:rsidR="00903947" w:rsidRPr="00B24A80">
        <w:rPr>
          <w:rFonts w:asciiTheme="majorHAnsi" w:hAnsiTheme="majorHAnsi" w:cstheme="majorHAnsi"/>
          <w:sz w:val="22"/>
          <w:szCs w:val="22"/>
        </w:rPr>
        <w:t>establecidos en</w:t>
      </w:r>
      <w:r w:rsidR="00CD3841" w:rsidRPr="00B24A80">
        <w:rPr>
          <w:rFonts w:asciiTheme="majorHAnsi" w:hAnsiTheme="majorHAnsi" w:cstheme="majorHAnsi"/>
          <w:sz w:val="22"/>
          <w:szCs w:val="22"/>
        </w:rPr>
        <w:t xml:space="preserve"> los “Centros Poblados Rurales” podrán </w:t>
      </w:r>
      <w:r w:rsidR="00903947" w:rsidRPr="00B24A80">
        <w:rPr>
          <w:rFonts w:asciiTheme="majorHAnsi" w:hAnsiTheme="majorHAnsi" w:cstheme="majorHAnsi"/>
          <w:sz w:val="22"/>
          <w:szCs w:val="22"/>
        </w:rPr>
        <w:t xml:space="preserve">realizar </w:t>
      </w:r>
      <w:r w:rsidRPr="00B24A80">
        <w:rPr>
          <w:rFonts w:asciiTheme="majorHAnsi" w:hAnsiTheme="majorHAnsi" w:cstheme="majorHAnsi"/>
          <w:sz w:val="22"/>
          <w:szCs w:val="22"/>
        </w:rPr>
        <w:t>su regularización</w:t>
      </w:r>
      <w:r w:rsidR="00903947" w:rsidRPr="00B24A80">
        <w:rPr>
          <w:rFonts w:asciiTheme="majorHAnsi" w:hAnsiTheme="majorHAnsi" w:cstheme="majorHAnsi"/>
          <w:sz w:val="22"/>
          <w:szCs w:val="22"/>
        </w:rPr>
        <w:t xml:space="preserve"> y tenencia de </w:t>
      </w:r>
      <w:r w:rsidRPr="00B24A80">
        <w:rPr>
          <w:rFonts w:asciiTheme="majorHAnsi" w:hAnsiTheme="majorHAnsi" w:cstheme="majorHAnsi"/>
          <w:sz w:val="22"/>
          <w:szCs w:val="22"/>
        </w:rPr>
        <w:t>tierra con</w:t>
      </w:r>
      <w:r w:rsidR="00CD3841" w:rsidRPr="00B24A80">
        <w:rPr>
          <w:rFonts w:asciiTheme="majorHAnsi" w:hAnsiTheme="majorHAnsi" w:cstheme="majorHAnsi"/>
          <w:sz w:val="22"/>
          <w:szCs w:val="22"/>
        </w:rPr>
        <w:t xml:space="preserve"> la presentación de los siguientes documentos:</w:t>
      </w:r>
    </w:p>
    <w:p w14:paraId="01026455" w14:textId="41B4FE4B" w:rsidR="00CD3841" w:rsidRPr="00B24A80" w:rsidRDefault="00CD3841" w:rsidP="00D525E1">
      <w:pPr>
        <w:pBdr>
          <w:top w:val="nil"/>
          <w:left w:val="nil"/>
          <w:bottom w:val="nil"/>
          <w:right w:val="nil"/>
          <w:between w:val="nil"/>
        </w:pBdr>
        <w:spacing w:after="0" w:line="276" w:lineRule="auto"/>
        <w:ind w:right="-100"/>
        <w:rPr>
          <w:rFonts w:asciiTheme="majorHAnsi" w:hAnsiTheme="majorHAnsi" w:cstheme="majorHAnsi"/>
          <w:sz w:val="22"/>
          <w:szCs w:val="22"/>
        </w:rPr>
      </w:pPr>
      <w:r w:rsidRPr="00B24A80">
        <w:rPr>
          <w:rFonts w:asciiTheme="majorHAnsi" w:hAnsiTheme="majorHAnsi" w:cstheme="majorHAnsi"/>
          <w:sz w:val="22"/>
          <w:szCs w:val="22"/>
        </w:rPr>
        <w:t xml:space="preserve">1.- Solicitud </w:t>
      </w:r>
      <w:r w:rsidR="00903947" w:rsidRPr="00B24A80">
        <w:rPr>
          <w:rFonts w:asciiTheme="majorHAnsi" w:hAnsiTheme="majorHAnsi" w:cstheme="majorHAnsi"/>
          <w:sz w:val="22"/>
          <w:szCs w:val="22"/>
        </w:rPr>
        <w:t>dirigida</w:t>
      </w:r>
      <w:r w:rsidRPr="00B24A80">
        <w:rPr>
          <w:rFonts w:asciiTheme="majorHAnsi" w:hAnsiTheme="majorHAnsi" w:cstheme="majorHAnsi"/>
          <w:sz w:val="22"/>
          <w:szCs w:val="22"/>
        </w:rPr>
        <w:t xml:space="preserve"> a la máxima autoridad para legalización de la tenencia de la tierra.</w:t>
      </w:r>
    </w:p>
    <w:p w14:paraId="7151F5E1" w14:textId="11ED9E97" w:rsidR="00CD3841" w:rsidRPr="00B24A80" w:rsidRDefault="00CD3841" w:rsidP="00D525E1">
      <w:pPr>
        <w:pBdr>
          <w:top w:val="nil"/>
          <w:left w:val="nil"/>
          <w:bottom w:val="nil"/>
          <w:right w:val="nil"/>
          <w:between w:val="nil"/>
        </w:pBdr>
        <w:spacing w:after="0" w:line="276" w:lineRule="auto"/>
        <w:ind w:right="-100"/>
        <w:rPr>
          <w:rFonts w:asciiTheme="majorHAnsi" w:hAnsiTheme="majorHAnsi" w:cstheme="majorHAnsi"/>
          <w:sz w:val="22"/>
          <w:szCs w:val="22"/>
        </w:rPr>
      </w:pPr>
      <w:r w:rsidRPr="00B24A80">
        <w:rPr>
          <w:rFonts w:asciiTheme="majorHAnsi" w:hAnsiTheme="majorHAnsi" w:cstheme="majorHAnsi"/>
          <w:sz w:val="22"/>
          <w:szCs w:val="22"/>
        </w:rPr>
        <w:t>2.- Copia de la cédula y papeleta de votación.</w:t>
      </w:r>
    </w:p>
    <w:p w14:paraId="63E9D335" w14:textId="56A66FCF" w:rsidR="00CD3841" w:rsidRPr="00B24A80" w:rsidRDefault="00CD3841" w:rsidP="00D525E1">
      <w:pPr>
        <w:pBdr>
          <w:top w:val="nil"/>
          <w:left w:val="nil"/>
          <w:bottom w:val="nil"/>
          <w:right w:val="nil"/>
          <w:between w:val="nil"/>
        </w:pBdr>
        <w:spacing w:after="0" w:line="276" w:lineRule="auto"/>
        <w:ind w:right="-100"/>
        <w:rPr>
          <w:rFonts w:asciiTheme="majorHAnsi" w:hAnsiTheme="majorHAnsi" w:cstheme="majorHAnsi"/>
          <w:sz w:val="22"/>
          <w:szCs w:val="22"/>
        </w:rPr>
      </w:pPr>
      <w:r w:rsidRPr="00B24A80">
        <w:rPr>
          <w:rFonts w:asciiTheme="majorHAnsi" w:hAnsiTheme="majorHAnsi" w:cstheme="majorHAnsi"/>
          <w:sz w:val="22"/>
          <w:szCs w:val="22"/>
        </w:rPr>
        <w:t xml:space="preserve">3.- Levantamiento planimétrico </w:t>
      </w:r>
      <w:r w:rsidR="00D525E1" w:rsidRPr="00B24A80">
        <w:rPr>
          <w:rFonts w:asciiTheme="majorHAnsi" w:hAnsiTheme="majorHAnsi" w:cstheme="majorHAnsi"/>
          <w:sz w:val="22"/>
          <w:szCs w:val="22"/>
        </w:rPr>
        <w:t>georreferenciado</w:t>
      </w:r>
      <w:r w:rsidRPr="00B24A80">
        <w:rPr>
          <w:rFonts w:asciiTheme="majorHAnsi" w:hAnsiTheme="majorHAnsi" w:cstheme="majorHAnsi"/>
          <w:sz w:val="22"/>
          <w:szCs w:val="22"/>
        </w:rPr>
        <w:t xml:space="preserve"> elaborado por un profesional registrado en el GADMCJS, donde conste áreas, coordenadas, linderos, eje de vía, datos del propietario, datos del profesional con número de registro del SENECYT.</w:t>
      </w:r>
    </w:p>
    <w:p w14:paraId="0BC5EA0E" w14:textId="186FE3CD" w:rsidR="00CD3841" w:rsidRPr="00B24A80" w:rsidRDefault="00CD3841" w:rsidP="00D525E1">
      <w:pPr>
        <w:pBdr>
          <w:top w:val="nil"/>
          <w:left w:val="nil"/>
          <w:bottom w:val="nil"/>
          <w:right w:val="nil"/>
          <w:between w:val="nil"/>
        </w:pBdr>
        <w:spacing w:after="0" w:line="276" w:lineRule="auto"/>
        <w:ind w:right="-100"/>
        <w:rPr>
          <w:rFonts w:asciiTheme="majorHAnsi" w:hAnsiTheme="majorHAnsi" w:cstheme="majorHAnsi"/>
          <w:sz w:val="22"/>
          <w:szCs w:val="22"/>
        </w:rPr>
      </w:pPr>
      <w:r w:rsidRPr="00B24A80">
        <w:rPr>
          <w:rFonts w:asciiTheme="majorHAnsi" w:hAnsiTheme="majorHAnsi" w:cstheme="majorHAnsi"/>
          <w:sz w:val="22"/>
          <w:szCs w:val="22"/>
        </w:rPr>
        <w:t>4.- Declaración Juramentada ante el Notario Público del tiempo de la posesión de la tierra.</w:t>
      </w:r>
    </w:p>
    <w:p w14:paraId="1782EDF7" w14:textId="11180697" w:rsidR="00CD3841" w:rsidRPr="00B24A80" w:rsidRDefault="00CD3841" w:rsidP="00D525E1">
      <w:pPr>
        <w:pBdr>
          <w:top w:val="nil"/>
          <w:left w:val="nil"/>
          <w:bottom w:val="nil"/>
          <w:right w:val="nil"/>
          <w:between w:val="nil"/>
        </w:pBdr>
        <w:spacing w:after="0" w:line="276" w:lineRule="auto"/>
        <w:ind w:right="-100"/>
        <w:rPr>
          <w:rFonts w:asciiTheme="majorHAnsi" w:hAnsiTheme="majorHAnsi" w:cstheme="majorHAnsi"/>
          <w:sz w:val="22"/>
          <w:szCs w:val="22"/>
        </w:rPr>
      </w:pPr>
      <w:r w:rsidRPr="00B24A80">
        <w:rPr>
          <w:rFonts w:asciiTheme="majorHAnsi" w:hAnsiTheme="majorHAnsi" w:cstheme="majorHAnsi"/>
          <w:sz w:val="22"/>
          <w:szCs w:val="22"/>
        </w:rPr>
        <w:t>5.- Certificado Administrativo de Riesgos.</w:t>
      </w:r>
    </w:p>
    <w:p w14:paraId="06F99426" w14:textId="673C9687" w:rsidR="00903947" w:rsidRPr="00B24A80" w:rsidRDefault="00AD5F06" w:rsidP="00D525E1">
      <w:pPr>
        <w:pBdr>
          <w:top w:val="nil"/>
          <w:left w:val="nil"/>
          <w:bottom w:val="nil"/>
          <w:right w:val="nil"/>
          <w:between w:val="nil"/>
        </w:pBdr>
        <w:spacing w:after="0" w:line="276" w:lineRule="auto"/>
        <w:ind w:right="-100"/>
        <w:rPr>
          <w:rFonts w:asciiTheme="majorHAnsi" w:hAnsiTheme="majorHAnsi" w:cstheme="majorHAnsi"/>
          <w:sz w:val="22"/>
          <w:szCs w:val="22"/>
        </w:rPr>
      </w:pPr>
      <w:r>
        <w:rPr>
          <w:rFonts w:asciiTheme="majorHAnsi" w:hAnsiTheme="majorHAnsi" w:cstheme="majorHAnsi"/>
          <w:sz w:val="22"/>
          <w:szCs w:val="22"/>
        </w:rPr>
        <w:t>6</w:t>
      </w:r>
      <w:r w:rsidR="00903947" w:rsidRPr="00B24A80">
        <w:rPr>
          <w:rFonts w:asciiTheme="majorHAnsi" w:hAnsiTheme="majorHAnsi" w:cstheme="majorHAnsi"/>
          <w:sz w:val="22"/>
          <w:szCs w:val="22"/>
        </w:rPr>
        <w:t>.- Certificado de no adeudar al municipio.</w:t>
      </w:r>
    </w:p>
    <w:p w14:paraId="5F93C8FF" w14:textId="13F90893" w:rsidR="00903947" w:rsidRDefault="00AD5F06" w:rsidP="00D525E1">
      <w:pPr>
        <w:pBdr>
          <w:top w:val="nil"/>
          <w:left w:val="nil"/>
          <w:bottom w:val="nil"/>
          <w:right w:val="nil"/>
          <w:between w:val="nil"/>
        </w:pBdr>
        <w:spacing w:after="0" w:line="276" w:lineRule="auto"/>
        <w:ind w:right="-100"/>
        <w:rPr>
          <w:rFonts w:asciiTheme="majorHAnsi" w:hAnsiTheme="majorHAnsi" w:cstheme="majorHAnsi"/>
          <w:sz w:val="22"/>
          <w:szCs w:val="22"/>
        </w:rPr>
      </w:pPr>
      <w:r>
        <w:rPr>
          <w:rFonts w:asciiTheme="majorHAnsi" w:hAnsiTheme="majorHAnsi" w:cstheme="majorHAnsi"/>
          <w:sz w:val="22"/>
          <w:szCs w:val="22"/>
        </w:rPr>
        <w:t>7</w:t>
      </w:r>
      <w:r w:rsidR="00903947" w:rsidRPr="00B24A80">
        <w:rPr>
          <w:rFonts w:asciiTheme="majorHAnsi" w:hAnsiTheme="majorHAnsi" w:cstheme="majorHAnsi"/>
          <w:sz w:val="22"/>
          <w:szCs w:val="22"/>
        </w:rPr>
        <w:t>.- De existir, adjuntar el contrato de compra venta.</w:t>
      </w:r>
    </w:p>
    <w:p w14:paraId="12860A72" w14:textId="77777777" w:rsidR="00D525E1" w:rsidRDefault="00D525E1" w:rsidP="00D525E1">
      <w:pPr>
        <w:pBdr>
          <w:top w:val="nil"/>
          <w:left w:val="nil"/>
          <w:bottom w:val="nil"/>
          <w:right w:val="nil"/>
          <w:between w:val="nil"/>
        </w:pBdr>
        <w:spacing w:after="0" w:line="276" w:lineRule="auto"/>
        <w:ind w:right="-100"/>
        <w:rPr>
          <w:rFonts w:asciiTheme="majorHAnsi" w:hAnsiTheme="majorHAnsi" w:cstheme="majorHAnsi"/>
          <w:sz w:val="22"/>
          <w:szCs w:val="22"/>
        </w:rPr>
      </w:pPr>
    </w:p>
    <w:p w14:paraId="6E7706B7" w14:textId="5AFE62B5" w:rsidR="00A81045" w:rsidRPr="00A81045" w:rsidRDefault="00BD6C96" w:rsidP="00A81045">
      <w:pPr>
        <w:pBdr>
          <w:top w:val="nil"/>
          <w:left w:val="nil"/>
          <w:bottom w:val="nil"/>
          <w:right w:val="nil"/>
          <w:between w:val="nil"/>
        </w:pBdr>
        <w:spacing w:line="276" w:lineRule="auto"/>
        <w:ind w:right="-100"/>
        <w:rPr>
          <w:rFonts w:asciiTheme="majorHAnsi" w:hAnsiTheme="majorHAnsi" w:cstheme="majorHAnsi"/>
          <w:sz w:val="22"/>
          <w:szCs w:val="22"/>
        </w:rPr>
      </w:pPr>
      <w:r w:rsidRPr="00BD6C96">
        <w:rPr>
          <w:rFonts w:asciiTheme="majorHAnsi" w:hAnsiTheme="majorHAnsi" w:cstheme="majorHAnsi"/>
          <w:b/>
          <w:sz w:val="22"/>
          <w:szCs w:val="22"/>
        </w:rPr>
        <w:t>D</w:t>
      </w:r>
      <w:r w:rsidR="00D525E1">
        <w:rPr>
          <w:rFonts w:asciiTheme="majorHAnsi" w:hAnsiTheme="majorHAnsi" w:cstheme="majorHAnsi"/>
          <w:b/>
          <w:sz w:val="22"/>
          <w:szCs w:val="22"/>
        </w:rPr>
        <w:t>É</w:t>
      </w:r>
      <w:r w:rsidRPr="00BD6C96">
        <w:rPr>
          <w:rFonts w:asciiTheme="majorHAnsi" w:hAnsiTheme="majorHAnsi" w:cstheme="majorHAnsi"/>
          <w:b/>
          <w:sz w:val="22"/>
          <w:szCs w:val="22"/>
        </w:rPr>
        <w:t>CIM</w:t>
      </w:r>
      <w:r w:rsidR="00BD7C48">
        <w:rPr>
          <w:rFonts w:asciiTheme="majorHAnsi" w:hAnsiTheme="majorHAnsi" w:cstheme="majorHAnsi"/>
          <w:b/>
          <w:sz w:val="22"/>
          <w:szCs w:val="22"/>
        </w:rPr>
        <w:t>A</w:t>
      </w:r>
      <w:r w:rsidRPr="00BD6C96">
        <w:rPr>
          <w:rFonts w:asciiTheme="majorHAnsi" w:hAnsiTheme="majorHAnsi" w:cstheme="majorHAnsi"/>
          <w:b/>
          <w:sz w:val="22"/>
          <w:szCs w:val="22"/>
        </w:rPr>
        <w:t xml:space="preserve"> </w:t>
      </w:r>
      <w:r w:rsidR="00D525E1">
        <w:rPr>
          <w:rFonts w:asciiTheme="majorHAnsi" w:hAnsiTheme="majorHAnsi" w:cstheme="majorHAnsi"/>
          <w:b/>
          <w:sz w:val="22"/>
          <w:szCs w:val="22"/>
        </w:rPr>
        <w:t>SE</w:t>
      </w:r>
      <w:r w:rsidR="00BD7C48">
        <w:rPr>
          <w:rFonts w:asciiTheme="majorHAnsi" w:hAnsiTheme="majorHAnsi" w:cstheme="majorHAnsi"/>
          <w:b/>
          <w:sz w:val="22"/>
          <w:szCs w:val="22"/>
        </w:rPr>
        <w:t>GUND</w:t>
      </w:r>
      <w:r w:rsidR="00D525E1">
        <w:rPr>
          <w:rFonts w:asciiTheme="majorHAnsi" w:hAnsiTheme="majorHAnsi" w:cstheme="majorHAnsi"/>
          <w:b/>
          <w:sz w:val="22"/>
          <w:szCs w:val="22"/>
        </w:rPr>
        <w:t>A</w:t>
      </w:r>
      <w:r w:rsidR="00A81045" w:rsidRPr="00BD6C96">
        <w:rPr>
          <w:rFonts w:asciiTheme="majorHAnsi" w:hAnsiTheme="majorHAnsi" w:cstheme="majorHAnsi"/>
          <w:b/>
          <w:sz w:val="22"/>
          <w:szCs w:val="22"/>
        </w:rPr>
        <w:t>. -</w:t>
      </w:r>
      <w:r w:rsidRPr="00BD6C96">
        <w:rPr>
          <w:rFonts w:asciiTheme="majorHAnsi" w:hAnsiTheme="majorHAnsi" w:cstheme="majorHAnsi"/>
          <w:b/>
          <w:sz w:val="22"/>
          <w:szCs w:val="22"/>
        </w:rPr>
        <w:t xml:space="preserve"> </w:t>
      </w:r>
      <w:r>
        <w:rPr>
          <w:rFonts w:asciiTheme="majorHAnsi" w:hAnsiTheme="majorHAnsi" w:cstheme="majorHAnsi"/>
          <w:b/>
          <w:sz w:val="22"/>
          <w:szCs w:val="22"/>
        </w:rPr>
        <w:t xml:space="preserve"> </w:t>
      </w:r>
      <w:r w:rsidR="00A81045" w:rsidRPr="00A81045">
        <w:rPr>
          <w:rFonts w:asciiTheme="majorHAnsi" w:hAnsiTheme="majorHAnsi" w:cstheme="majorHAnsi"/>
          <w:sz w:val="22"/>
          <w:szCs w:val="22"/>
        </w:rPr>
        <w:t>En casos excepcion</w:t>
      </w:r>
      <w:r w:rsidR="00F4689A">
        <w:rPr>
          <w:rFonts w:asciiTheme="majorHAnsi" w:hAnsiTheme="majorHAnsi" w:cstheme="majorHAnsi"/>
          <w:sz w:val="22"/>
          <w:szCs w:val="22"/>
        </w:rPr>
        <w:t xml:space="preserve">ales de lotes inferiores a los </w:t>
      </w:r>
      <w:r w:rsidR="00A81045" w:rsidRPr="00A81045">
        <w:rPr>
          <w:rFonts w:asciiTheme="majorHAnsi" w:hAnsiTheme="majorHAnsi" w:cstheme="majorHAnsi"/>
          <w:sz w:val="22"/>
          <w:szCs w:val="22"/>
        </w:rPr>
        <w:t>establecidos</w:t>
      </w:r>
      <w:r w:rsidR="00F4689A">
        <w:rPr>
          <w:rFonts w:asciiTheme="majorHAnsi" w:hAnsiTheme="majorHAnsi" w:cstheme="majorHAnsi"/>
          <w:sz w:val="22"/>
          <w:szCs w:val="22"/>
        </w:rPr>
        <w:t xml:space="preserve"> en el polígono</w:t>
      </w:r>
      <w:r w:rsidR="00A81045" w:rsidRPr="00A81045">
        <w:rPr>
          <w:rFonts w:asciiTheme="majorHAnsi" w:hAnsiTheme="majorHAnsi" w:cstheme="majorHAnsi"/>
          <w:sz w:val="22"/>
          <w:szCs w:val="22"/>
        </w:rPr>
        <w:t xml:space="preserve"> de intervención territorial</w:t>
      </w:r>
      <w:r w:rsidR="00F4689A">
        <w:rPr>
          <w:rFonts w:asciiTheme="majorHAnsi" w:hAnsiTheme="majorHAnsi" w:cstheme="majorHAnsi"/>
          <w:sz w:val="22"/>
          <w:szCs w:val="22"/>
        </w:rPr>
        <w:t xml:space="preserve"> (PIT4-AAF </w:t>
      </w:r>
      <w:r w:rsidR="00F4689A" w:rsidRPr="00F4689A">
        <w:rPr>
          <w:rFonts w:asciiTheme="majorHAnsi" w:hAnsiTheme="majorHAnsi" w:cstheme="majorHAnsi"/>
          <w:sz w:val="22"/>
          <w:szCs w:val="22"/>
        </w:rPr>
        <w:t>Actividades Agropecuarias y Forestales</w:t>
      </w:r>
      <w:r w:rsidR="00F4689A">
        <w:rPr>
          <w:rFonts w:asciiTheme="majorHAnsi" w:hAnsiTheme="majorHAnsi" w:cstheme="majorHAnsi"/>
          <w:sz w:val="22"/>
          <w:szCs w:val="22"/>
        </w:rPr>
        <w:t xml:space="preserve">), </w:t>
      </w:r>
      <w:r w:rsidR="00A81045" w:rsidRPr="00A81045">
        <w:rPr>
          <w:rFonts w:asciiTheme="majorHAnsi" w:hAnsiTheme="majorHAnsi" w:cstheme="majorHAnsi"/>
          <w:sz w:val="22"/>
          <w:szCs w:val="22"/>
        </w:rPr>
        <w:t>podrán realizar su regularización y tenencia de tierra, en el plazo de un año luego de aprobada la presente ordenanza, con la presentación de los siguientes documentos:</w:t>
      </w:r>
    </w:p>
    <w:p w14:paraId="67499882" w14:textId="77777777"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1.- Solicitud dirigida a la máxima autoridad para legalización de la tenencia de la tierra.</w:t>
      </w:r>
    </w:p>
    <w:p w14:paraId="0D6CA126" w14:textId="77777777"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2.- Copia de la cédula y papeleta de votación.</w:t>
      </w:r>
    </w:p>
    <w:p w14:paraId="1B6EF431" w14:textId="36BD1432"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 xml:space="preserve">3.- Levantamiento planimétrico </w:t>
      </w:r>
      <w:r w:rsidR="00F4689A" w:rsidRPr="00A81045">
        <w:rPr>
          <w:rFonts w:asciiTheme="majorHAnsi" w:hAnsiTheme="majorHAnsi" w:cstheme="majorHAnsi"/>
          <w:sz w:val="22"/>
          <w:szCs w:val="22"/>
        </w:rPr>
        <w:t>georreferenciado</w:t>
      </w:r>
      <w:r w:rsidRPr="00A81045">
        <w:rPr>
          <w:rFonts w:asciiTheme="majorHAnsi" w:hAnsiTheme="majorHAnsi" w:cstheme="majorHAnsi"/>
          <w:sz w:val="22"/>
          <w:szCs w:val="22"/>
        </w:rPr>
        <w:t xml:space="preserve"> elaborado por un profesional registrado en el GADMCJS, donde conste del lote inicial: áreas, coordenadas, linderos, eje de vía, datos del propietario, datos del profesional con número de registro del SENECYT.</w:t>
      </w:r>
    </w:p>
    <w:p w14:paraId="0A9AB6EC" w14:textId="25391190"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4.- Declaración Juramentada ante el Notario Público del tiempo de la posesión de la tierra antes de</w:t>
      </w:r>
      <w:r w:rsidR="00FD5968">
        <w:rPr>
          <w:rFonts w:asciiTheme="majorHAnsi" w:hAnsiTheme="majorHAnsi" w:cstheme="majorHAnsi"/>
          <w:sz w:val="22"/>
          <w:szCs w:val="22"/>
        </w:rPr>
        <w:t xml:space="preserve"> la aplicación del Plan de Uso y Gestión del Suelo</w:t>
      </w:r>
      <w:r w:rsidR="00A86F89">
        <w:rPr>
          <w:rFonts w:asciiTheme="majorHAnsi" w:hAnsiTheme="majorHAnsi" w:cstheme="majorHAnsi"/>
          <w:sz w:val="22"/>
          <w:szCs w:val="22"/>
        </w:rPr>
        <w:t xml:space="preserve"> del</w:t>
      </w:r>
      <w:r w:rsidRPr="00A81045">
        <w:rPr>
          <w:rFonts w:asciiTheme="majorHAnsi" w:hAnsiTheme="majorHAnsi" w:cstheme="majorHAnsi"/>
          <w:sz w:val="22"/>
          <w:szCs w:val="22"/>
        </w:rPr>
        <w:t xml:space="preserve"> año 2022.</w:t>
      </w:r>
    </w:p>
    <w:p w14:paraId="6C683B45" w14:textId="77777777"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5. Planilla de luz</w:t>
      </w:r>
    </w:p>
    <w:p w14:paraId="75B6C777" w14:textId="77777777"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6.- Certificado Administrativo de Riesgos.</w:t>
      </w:r>
    </w:p>
    <w:p w14:paraId="000F14C0" w14:textId="77777777" w:rsidR="00A81045" w:rsidRP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7.- Certificado de no adeudar al municipio.</w:t>
      </w:r>
    </w:p>
    <w:p w14:paraId="52BFE20E" w14:textId="2AA373D8" w:rsidR="00A81045" w:rsidRDefault="00A81045" w:rsidP="00F4689A">
      <w:pPr>
        <w:pBdr>
          <w:top w:val="nil"/>
          <w:left w:val="nil"/>
          <w:bottom w:val="nil"/>
          <w:right w:val="nil"/>
          <w:between w:val="nil"/>
        </w:pBdr>
        <w:spacing w:after="0" w:line="276" w:lineRule="auto"/>
        <w:ind w:right="-100"/>
        <w:rPr>
          <w:rFonts w:asciiTheme="majorHAnsi" w:hAnsiTheme="majorHAnsi" w:cstheme="majorHAnsi"/>
          <w:sz w:val="22"/>
          <w:szCs w:val="22"/>
        </w:rPr>
      </w:pPr>
      <w:r w:rsidRPr="00A81045">
        <w:rPr>
          <w:rFonts w:asciiTheme="majorHAnsi" w:hAnsiTheme="majorHAnsi" w:cstheme="majorHAnsi"/>
          <w:sz w:val="22"/>
          <w:szCs w:val="22"/>
        </w:rPr>
        <w:t xml:space="preserve">8.- De existir, adjuntar el contrato de </w:t>
      </w:r>
      <w:r w:rsidR="00387AB5" w:rsidRPr="00A81045">
        <w:rPr>
          <w:rFonts w:asciiTheme="majorHAnsi" w:hAnsiTheme="majorHAnsi" w:cstheme="majorHAnsi"/>
          <w:sz w:val="22"/>
          <w:szCs w:val="22"/>
        </w:rPr>
        <w:t>compraventa</w:t>
      </w:r>
      <w:r w:rsidR="00387AB5">
        <w:rPr>
          <w:rFonts w:asciiTheme="majorHAnsi" w:hAnsiTheme="majorHAnsi" w:cstheme="majorHAnsi"/>
          <w:sz w:val="22"/>
          <w:szCs w:val="22"/>
        </w:rPr>
        <w:t>.</w:t>
      </w:r>
    </w:p>
    <w:p w14:paraId="6D89F30F" w14:textId="77777777" w:rsidR="006E2026" w:rsidRDefault="006E2026" w:rsidP="00F4689A">
      <w:pPr>
        <w:pBdr>
          <w:top w:val="nil"/>
          <w:left w:val="nil"/>
          <w:bottom w:val="nil"/>
          <w:right w:val="nil"/>
          <w:between w:val="nil"/>
        </w:pBdr>
        <w:spacing w:after="0" w:line="276" w:lineRule="auto"/>
        <w:ind w:right="-100"/>
        <w:rPr>
          <w:rFonts w:asciiTheme="majorHAnsi" w:hAnsiTheme="majorHAnsi" w:cstheme="majorHAnsi"/>
          <w:sz w:val="22"/>
          <w:szCs w:val="22"/>
        </w:rPr>
      </w:pPr>
    </w:p>
    <w:p w14:paraId="587BB51A" w14:textId="2E496C20" w:rsidR="006E2026" w:rsidRDefault="006E2026" w:rsidP="00F4689A">
      <w:pPr>
        <w:pBdr>
          <w:top w:val="nil"/>
          <w:left w:val="nil"/>
          <w:bottom w:val="nil"/>
          <w:right w:val="nil"/>
          <w:between w:val="nil"/>
        </w:pBdr>
        <w:spacing w:after="0" w:line="276" w:lineRule="auto"/>
        <w:ind w:right="-100"/>
        <w:rPr>
          <w:rFonts w:asciiTheme="majorHAnsi" w:hAnsiTheme="majorHAnsi" w:cstheme="majorHAnsi"/>
          <w:sz w:val="22"/>
          <w:szCs w:val="22"/>
        </w:rPr>
      </w:pPr>
      <w:r>
        <w:rPr>
          <w:rFonts w:asciiTheme="majorHAnsi" w:hAnsiTheme="majorHAnsi" w:cstheme="majorHAnsi"/>
          <w:sz w:val="22"/>
          <w:szCs w:val="22"/>
        </w:rPr>
        <w:t xml:space="preserve">DÉCIMA </w:t>
      </w:r>
      <w:r w:rsidR="00881BDF">
        <w:rPr>
          <w:rFonts w:asciiTheme="majorHAnsi" w:hAnsiTheme="majorHAnsi" w:cstheme="majorHAnsi"/>
          <w:sz w:val="22"/>
          <w:szCs w:val="22"/>
        </w:rPr>
        <w:t>TERCERA. -</w:t>
      </w:r>
      <w:r>
        <w:rPr>
          <w:rFonts w:asciiTheme="majorHAnsi" w:hAnsiTheme="majorHAnsi" w:cstheme="majorHAnsi"/>
          <w:sz w:val="22"/>
          <w:szCs w:val="22"/>
        </w:rPr>
        <w:t xml:space="preserve"> En el plazo </w:t>
      </w:r>
      <w:r w:rsidR="00881BDF">
        <w:rPr>
          <w:rFonts w:asciiTheme="majorHAnsi" w:hAnsiTheme="majorHAnsi" w:cstheme="majorHAnsi"/>
          <w:sz w:val="22"/>
          <w:szCs w:val="22"/>
        </w:rPr>
        <w:t>máximo</w:t>
      </w:r>
      <w:r>
        <w:rPr>
          <w:rFonts w:asciiTheme="majorHAnsi" w:hAnsiTheme="majorHAnsi" w:cstheme="majorHAnsi"/>
          <w:sz w:val="22"/>
          <w:szCs w:val="22"/>
        </w:rPr>
        <w:t xml:space="preserve"> de doce meses contados a partir de la publicación de la presente Ordenanza en el Registro Oficial, se emitirán las Ordenanzas Complementarias que permitan aplicar la normativa establecida en esta Ordenanza.</w:t>
      </w:r>
    </w:p>
    <w:p w14:paraId="5B8591EB" w14:textId="77777777" w:rsidR="0076000B" w:rsidRDefault="0076000B" w:rsidP="00F4689A">
      <w:pPr>
        <w:pBdr>
          <w:top w:val="nil"/>
          <w:left w:val="nil"/>
          <w:bottom w:val="nil"/>
          <w:right w:val="nil"/>
          <w:between w:val="nil"/>
        </w:pBdr>
        <w:spacing w:after="0" w:line="276" w:lineRule="auto"/>
        <w:ind w:right="-100"/>
        <w:rPr>
          <w:rFonts w:asciiTheme="majorHAnsi" w:hAnsiTheme="majorHAnsi" w:cstheme="majorHAnsi"/>
          <w:sz w:val="22"/>
          <w:szCs w:val="22"/>
        </w:rPr>
      </w:pPr>
    </w:p>
    <w:p w14:paraId="48B7445A" w14:textId="65E8C58A" w:rsidR="0076000B" w:rsidRDefault="0076000B" w:rsidP="00F4689A">
      <w:pPr>
        <w:pBdr>
          <w:top w:val="nil"/>
          <w:left w:val="nil"/>
          <w:bottom w:val="nil"/>
          <w:right w:val="nil"/>
          <w:between w:val="nil"/>
        </w:pBdr>
        <w:spacing w:after="0" w:line="276" w:lineRule="auto"/>
        <w:ind w:right="-100"/>
        <w:rPr>
          <w:rFonts w:asciiTheme="majorHAnsi" w:hAnsiTheme="majorHAnsi" w:cstheme="majorHAnsi"/>
          <w:sz w:val="22"/>
          <w:szCs w:val="22"/>
        </w:rPr>
      </w:pPr>
      <w:r>
        <w:rPr>
          <w:rFonts w:asciiTheme="majorHAnsi" w:hAnsiTheme="majorHAnsi" w:cstheme="majorHAnsi"/>
          <w:sz w:val="22"/>
          <w:szCs w:val="22"/>
        </w:rPr>
        <w:t>D</w:t>
      </w:r>
      <w:r w:rsidR="00D025FA">
        <w:rPr>
          <w:rFonts w:asciiTheme="majorHAnsi" w:hAnsiTheme="majorHAnsi" w:cstheme="majorHAnsi"/>
          <w:sz w:val="22"/>
          <w:szCs w:val="22"/>
        </w:rPr>
        <w:t>É</w:t>
      </w:r>
      <w:r>
        <w:rPr>
          <w:rFonts w:asciiTheme="majorHAnsi" w:hAnsiTheme="majorHAnsi" w:cstheme="majorHAnsi"/>
          <w:sz w:val="22"/>
          <w:szCs w:val="22"/>
        </w:rPr>
        <w:t xml:space="preserve">CIMA CUARTA. </w:t>
      </w:r>
      <w:r w:rsidR="0081441D">
        <w:rPr>
          <w:rFonts w:asciiTheme="majorHAnsi" w:hAnsiTheme="majorHAnsi" w:cstheme="majorHAnsi"/>
          <w:sz w:val="22"/>
          <w:szCs w:val="22"/>
        </w:rPr>
        <w:t>–</w:t>
      </w:r>
      <w:r>
        <w:rPr>
          <w:rFonts w:asciiTheme="majorHAnsi" w:hAnsiTheme="majorHAnsi" w:cstheme="majorHAnsi"/>
          <w:sz w:val="22"/>
          <w:szCs w:val="22"/>
        </w:rPr>
        <w:t xml:space="preserve"> </w:t>
      </w:r>
      <w:r w:rsidR="0081441D">
        <w:rPr>
          <w:rFonts w:asciiTheme="majorHAnsi" w:hAnsiTheme="majorHAnsi" w:cstheme="majorHAnsi"/>
          <w:sz w:val="22"/>
          <w:szCs w:val="22"/>
        </w:rPr>
        <w:t xml:space="preserve">Hasta que se emitan las Ordenanzas Complementarias al PDyOT- PUGS </w:t>
      </w:r>
      <w:r w:rsidR="00387AB5">
        <w:rPr>
          <w:rFonts w:asciiTheme="majorHAnsi" w:hAnsiTheme="majorHAnsi" w:cstheme="majorHAnsi"/>
          <w:sz w:val="22"/>
          <w:szCs w:val="22"/>
        </w:rPr>
        <w:t>seguirá</w:t>
      </w:r>
      <w:r w:rsidR="0081441D">
        <w:rPr>
          <w:rFonts w:asciiTheme="majorHAnsi" w:hAnsiTheme="majorHAnsi" w:cstheme="majorHAnsi"/>
          <w:sz w:val="22"/>
          <w:szCs w:val="22"/>
        </w:rPr>
        <w:t xml:space="preserve"> vigente la normativa que establezca requisitos y procedimientos que permitan la aplicación de la normativa establecida en esta Ordenanza</w:t>
      </w:r>
      <w:r w:rsidR="00501680">
        <w:rPr>
          <w:rFonts w:asciiTheme="majorHAnsi" w:hAnsiTheme="majorHAnsi" w:cstheme="majorHAnsi"/>
          <w:sz w:val="22"/>
          <w:szCs w:val="22"/>
        </w:rPr>
        <w:t xml:space="preserve">, siempre que </w:t>
      </w:r>
      <w:r w:rsidR="00330032">
        <w:rPr>
          <w:rFonts w:asciiTheme="majorHAnsi" w:hAnsiTheme="majorHAnsi" w:cstheme="majorHAnsi"/>
          <w:sz w:val="22"/>
          <w:szCs w:val="22"/>
        </w:rPr>
        <w:t xml:space="preserve">guarde conformidad y coherencia con </w:t>
      </w:r>
      <w:r w:rsidR="0018299E">
        <w:rPr>
          <w:rFonts w:asciiTheme="majorHAnsi" w:hAnsiTheme="majorHAnsi" w:cstheme="majorHAnsi"/>
          <w:sz w:val="22"/>
          <w:szCs w:val="22"/>
        </w:rPr>
        <w:t>la presente Ordenanza.</w:t>
      </w:r>
    </w:p>
    <w:p w14:paraId="42BD015A" w14:textId="545F788E" w:rsidR="001E32B9" w:rsidRPr="00B24A80" w:rsidRDefault="001E32B9">
      <w:pPr>
        <w:rPr>
          <w:rFonts w:asciiTheme="majorHAnsi" w:hAnsiTheme="majorHAnsi" w:cstheme="majorHAnsi"/>
          <w:sz w:val="22"/>
          <w:szCs w:val="22"/>
        </w:rPr>
      </w:pPr>
      <w:r w:rsidRPr="00B24A80">
        <w:rPr>
          <w:rFonts w:asciiTheme="majorHAnsi" w:hAnsiTheme="majorHAnsi" w:cstheme="majorHAnsi"/>
          <w:sz w:val="22"/>
          <w:szCs w:val="22"/>
        </w:rPr>
        <w:br w:type="page"/>
      </w:r>
    </w:p>
    <w:p w14:paraId="175F2B9F" w14:textId="0FA155FB" w:rsidR="00DC27E8" w:rsidRPr="00B24A80" w:rsidRDefault="003A597A" w:rsidP="003A597A">
      <w:pPr>
        <w:pStyle w:val="Ttulo1"/>
        <w:rPr>
          <w:rFonts w:cstheme="majorHAnsi"/>
          <w:sz w:val="22"/>
          <w:szCs w:val="22"/>
        </w:rPr>
      </w:pPr>
      <w:bookmarkStart w:id="424" w:name="_Toc65711715"/>
      <w:bookmarkStart w:id="425" w:name="_Toc81085700"/>
      <w:bookmarkStart w:id="426" w:name="_Toc181374139"/>
      <w:r w:rsidRPr="00B24A80">
        <w:rPr>
          <w:rFonts w:cstheme="majorHAnsi"/>
          <w:sz w:val="22"/>
          <w:szCs w:val="22"/>
        </w:rPr>
        <w:lastRenderedPageBreak/>
        <w:t>DISPOSICIÓ</w:t>
      </w:r>
      <w:r w:rsidR="007F5505" w:rsidRPr="00B24A80">
        <w:rPr>
          <w:rFonts w:cstheme="majorHAnsi"/>
          <w:sz w:val="22"/>
          <w:szCs w:val="22"/>
        </w:rPr>
        <w:t>N DEROGATORIA</w:t>
      </w:r>
      <w:bookmarkEnd w:id="424"/>
      <w:bookmarkEnd w:id="425"/>
      <w:bookmarkEnd w:id="426"/>
    </w:p>
    <w:p w14:paraId="391943E9" w14:textId="2D0DE499" w:rsidR="00DC27E8" w:rsidRDefault="00545AE3">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545AE3">
        <w:rPr>
          <w:rFonts w:asciiTheme="majorHAnsi" w:eastAsia="Calibri" w:hAnsiTheme="majorHAnsi" w:cstheme="majorHAnsi"/>
          <w:b/>
          <w:bCs/>
          <w:color w:val="000000"/>
          <w:sz w:val="22"/>
          <w:szCs w:val="22"/>
        </w:rPr>
        <w:t>Única</w:t>
      </w:r>
      <w:r>
        <w:rPr>
          <w:rFonts w:asciiTheme="majorHAnsi" w:eastAsia="Calibri" w:hAnsiTheme="majorHAnsi" w:cstheme="majorHAnsi"/>
          <w:b/>
          <w:bCs/>
          <w:color w:val="000000"/>
          <w:sz w:val="22"/>
          <w:szCs w:val="22"/>
        </w:rPr>
        <w:t xml:space="preserve">. - </w:t>
      </w:r>
      <w:r>
        <w:rPr>
          <w:rFonts w:asciiTheme="majorHAnsi" w:eastAsia="Calibri" w:hAnsiTheme="majorHAnsi" w:cstheme="majorHAnsi"/>
          <w:color w:val="000000"/>
          <w:sz w:val="22"/>
          <w:szCs w:val="22"/>
        </w:rPr>
        <w:t xml:space="preserve"> </w:t>
      </w:r>
      <w:r w:rsidR="007F5505" w:rsidRPr="00B24A80">
        <w:rPr>
          <w:rFonts w:asciiTheme="majorHAnsi" w:eastAsia="Calibri" w:hAnsiTheme="majorHAnsi" w:cstheme="majorHAnsi"/>
          <w:color w:val="000000"/>
          <w:sz w:val="22"/>
          <w:szCs w:val="22"/>
        </w:rPr>
        <w:t xml:space="preserve">Deróguese todas las disposiciones generales y especiales </w:t>
      </w:r>
      <w:r w:rsidR="00D025FA">
        <w:rPr>
          <w:rFonts w:asciiTheme="majorHAnsi" w:eastAsia="Calibri" w:hAnsiTheme="majorHAnsi" w:cstheme="majorHAnsi"/>
          <w:color w:val="000000"/>
          <w:sz w:val="22"/>
          <w:szCs w:val="22"/>
        </w:rPr>
        <w:t xml:space="preserve">de igual o menor jerarquía </w:t>
      </w:r>
      <w:r w:rsidR="007F5505" w:rsidRPr="00B24A80">
        <w:rPr>
          <w:rFonts w:asciiTheme="majorHAnsi" w:eastAsia="Calibri" w:hAnsiTheme="majorHAnsi" w:cstheme="majorHAnsi"/>
          <w:color w:val="000000"/>
          <w:sz w:val="22"/>
          <w:szCs w:val="22"/>
        </w:rPr>
        <w:t xml:space="preserve">que se opongan a la presente Ordenanza y de manera </w:t>
      </w:r>
      <w:r w:rsidR="00AE0DB0" w:rsidRPr="00B24A80">
        <w:rPr>
          <w:rFonts w:asciiTheme="majorHAnsi" w:eastAsia="Calibri" w:hAnsiTheme="majorHAnsi" w:cstheme="majorHAnsi"/>
          <w:color w:val="000000"/>
          <w:sz w:val="22"/>
          <w:szCs w:val="22"/>
        </w:rPr>
        <w:t>expresa la o</w:t>
      </w:r>
      <w:r w:rsidR="006D16F6" w:rsidRPr="00B24A80">
        <w:rPr>
          <w:rFonts w:asciiTheme="majorHAnsi" w:eastAsia="Calibri" w:hAnsiTheme="majorHAnsi" w:cstheme="majorHAnsi"/>
          <w:color w:val="000000"/>
          <w:sz w:val="22"/>
          <w:szCs w:val="22"/>
        </w:rPr>
        <w:t xml:space="preserve">rdenanza que prueba el </w:t>
      </w:r>
      <w:r w:rsidR="004830FA" w:rsidRPr="00B24A80">
        <w:rPr>
          <w:rFonts w:asciiTheme="majorHAnsi" w:eastAsia="Calibri" w:hAnsiTheme="majorHAnsi" w:cstheme="majorHAnsi"/>
          <w:color w:val="000000"/>
          <w:sz w:val="22"/>
          <w:szCs w:val="22"/>
        </w:rPr>
        <w:t>PDyOT</w:t>
      </w:r>
      <w:r w:rsidR="006D16F6" w:rsidRPr="00B24A80">
        <w:rPr>
          <w:rFonts w:asciiTheme="majorHAnsi" w:eastAsia="Calibri" w:hAnsiTheme="majorHAnsi" w:cstheme="majorHAnsi"/>
          <w:color w:val="000000"/>
          <w:sz w:val="22"/>
          <w:szCs w:val="22"/>
        </w:rPr>
        <w:t xml:space="preserve">  2023 -2027 y PUGS 2032</w:t>
      </w:r>
      <w:r w:rsidR="00D025FA">
        <w:rPr>
          <w:rFonts w:asciiTheme="majorHAnsi" w:eastAsia="Calibri" w:hAnsiTheme="majorHAnsi" w:cstheme="majorHAnsi"/>
          <w:color w:val="000000"/>
          <w:sz w:val="22"/>
          <w:szCs w:val="22"/>
        </w:rPr>
        <w:t xml:space="preserve"> con la excepcionalidad determinada en la Disposición Transitoria Décima Cuarta.</w:t>
      </w:r>
    </w:p>
    <w:p w14:paraId="6DE3F2A8" w14:textId="5F2CBF46" w:rsidR="00662211" w:rsidRDefault="00662211" w:rsidP="00662211">
      <w:pPr>
        <w:pStyle w:val="Ttulo1"/>
        <w:rPr>
          <w:rFonts w:cstheme="majorHAnsi"/>
          <w:sz w:val="22"/>
          <w:szCs w:val="22"/>
        </w:rPr>
      </w:pPr>
      <w:bookmarkStart w:id="427" w:name="_Toc181374140"/>
      <w:r w:rsidRPr="00B24A80">
        <w:rPr>
          <w:rFonts w:cstheme="majorHAnsi"/>
          <w:sz w:val="22"/>
          <w:szCs w:val="22"/>
        </w:rPr>
        <w:t>DISPOSICI</w:t>
      </w:r>
      <w:r w:rsidR="007452F5">
        <w:rPr>
          <w:rFonts w:cstheme="majorHAnsi"/>
          <w:sz w:val="22"/>
          <w:szCs w:val="22"/>
        </w:rPr>
        <w:t>O</w:t>
      </w:r>
      <w:r w:rsidRPr="00B24A80">
        <w:rPr>
          <w:rFonts w:cstheme="majorHAnsi"/>
          <w:sz w:val="22"/>
          <w:szCs w:val="22"/>
        </w:rPr>
        <w:t>N</w:t>
      </w:r>
      <w:r>
        <w:rPr>
          <w:rFonts w:cstheme="majorHAnsi"/>
          <w:sz w:val="22"/>
          <w:szCs w:val="22"/>
        </w:rPr>
        <w:t>ES</w:t>
      </w:r>
      <w:r w:rsidRPr="00B24A80">
        <w:rPr>
          <w:rFonts w:cstheme="majorHAnsi"/>
          <w:sz w:val="22"/>
          <w:szCs w:val="22"/>
        </w:rPr>
        <w:t xml:space="preserve"> </w:t>
      </w:r>
      <w:r>
        <w:rPr>
          <w:rFonts w:cstheme="majorHAnsi"/>
          <w:sz w:val="22"/>
          <w:szCs w:val="22"/>
        </w:rPr>
        <w:t>FINALES</w:t>
      </w:r>
      <w:bookmarkEnd w:id="427"/>
    </w:p>
    <w:p w14:paraId="62147E84" w14:textId="6C182C8C" w:rsidR="00251531" w:rsidRPr="002B6A7B" w:rsidRDefault="00251531" w:rsidP="00251531">
      <w:pPr>
        <w:rPr>
          <w:rFonts w:asciiTheme="majorHAnsi" w:eastAsia="Calibri" w:hAnsiTheme="majorHAnsi" w:cstheme="majorHAnsi"/>
          <w:color w:val="000000"/>
          <w:sz w:val="22"/>
          <w:szCs w:val="22"/>
        </w:rPr>
      </w:pPr>
      <w:r w:rsidRPr="002B6A7B">
        <w:rPr>
          <w:rFonts w:asciiTheme="majorHAnsi" w:eastAsia="Calibri" w:hAnsiTheme="majorHAnsi" w:cstheme="majorHAnsi"/>
          <w:color w:val="000000"/>
          <w:sz w:val="22"/>
          <w:szCs w:val="22"/>
        </w:rPr>
        <w:t xml:space="preserve">Primera.- Publicación.- </w:t>
      </w:r>
      <w:r w:rsidR="00B9534E" w:rsidRPr="002B6A7B">
        <w:rPr>
          <w:rFonts w:asciiTheme="majorHAnsi" w:eastAsia="Calibri" w:hAnsiTheme="majorHAnsi" w:cstheme="majorHAnsi"/>
          <w:color w:val="000000"/>
          <w:sz w:val="22"/>
          <w:szCs w:val="22"/>
        </w:rPr>
        <w:t>La presente Ordenansza deberá publicarse en la página web y gaceta oficial del GAD Municipal La Joya de los Sachas, y deberá remitirse un ejemplar para su publicación en el Registro Oficial.</w:t>
      </w:r>
    </w:p>
    <w:p w14:paraId="7840ED7E" w14:textId="361D4F9F" w:rsidR="00662211" w:rsidRPr="00B24A80" w:rsidRDefault="00B9534E" w:rsidP="007C4285">
      <w:pPr>
        <w:rPr>
          <w:rFonts w:asciiTheme="majorHAnsi" w:eastAsia="Calibri" w:hAnsiTheme="majorHAnsi" w:cstheme="majorHAnsi"/>
          <w:color w:val="000000"/>
          <w:sz w:val="22"/>
          <w:szCs w:val="22"/>
        </w:rPr>
      </w:pPr>
      <w:r w:rsidRPr="002B6A7B">
        <w:rPr>
          <w:rFonts w:asciiTheme="majorHAnsi" w:eastAsia="Calibri" w:hAnsiTheme="majorHAnsi" w:cstheme="majorHAnsi"/>
          <w:color w:val="000000"/>
          <w:sz w:val="22"/>
          <w:szCs w:val="22"/>
        </w:rPr>
        <w:t>Segunda.- Vigencia.- La presente Ordenanza entrará en vigencia una vez publicada en el Registro Oficial.</w:t>
      </w:r>
    </w:p>
    <w:p w14:paraId="194F109F" w14:textId="28A64438" w:rsidR="00DC27E8" w:rsidRPr="00B24A80" w:rsidRDefault="007F5505">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Dado y firmado en la Sala de Sesiones del Concejo del Gobierno Autónomo Descentralizado Municipal del cantón </w:t>
      </w:r>
      <w:r w:rsidR="00E30701" w:rsidRPr="00B24A80">
        <w:rPr>
          <w:rFonts w:asciiTheme="majorHAnsi" w:eastAsia="Calibri" w:hAnsiTheme="majorHAnsi" w:cstheme="majorHAnsi"/>
          <w:color w:val="25282C"/>
          <w:sz w:val="22"/>
          <w:szCs w:val="22"/>
        </w:rPr>
        <w:t>La Joya de los Sachas</w:t>
      </w:r>
      <w:r w:rsidR="007D7568"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a los xxxx días del mes de xxxx del año xxxx.</w:t>
      </w:r>
    </w:p>
    <w:p w14:paraId="093D687A" w14:textId="20A5A5D1" w:rsidR="00DC27E8" w:rsidRPr="00B24A80" w:rsidRDefault="007F5505">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SECRETARIA DE CONCEJO. - CERTIFICO: Que “</w:t>
      </w:r>
      <w:r w:rsidR="006D16F6" w:rsidRPr="00B24A80">
        <w:rPr>
          <w:rFonts w:asciiTheme="majorHAnsi" w:eastAsia="Calibri" w:hAnsiTheme="majorHAnsi" w:cstheme="majorHAnsi"/>
          <w:color w:val="000000"/>
          <w:sz w:val="22"/>
          <w:szCs w:val="22"/>
        </w:rPr>
        <w:t>LA ORDENANZA SUSTITUTIVA QUE APRUEBA EL PLAN DE DESARROLLO Y ORDENAMIENTO TERRITORIAL Y SU ALINEACIÓN AL PLAN NACIONAL DE DESARROLLO 2024-2025; Y, EL PLAN DE USO Y GESTIÓN DEL SUELO DEL CANTÓN LA JOYA DE LOS SACHAS</w:t>
      </w:r>
      <w:r w:rsidRPr="00B24A80">
        <w:rPr>
          <w:rFonts w:asciiTheme="majorHAnsi" w:eastAsia="Calibri" w:hAnsiTheme="majorHAnsi" w:cstheme="majorHAnsi"/>
          <w:color w:val="000000"/>
          <w:sz w:val="22"/>
          <w:szCs w:val="22"/>
        </w:rPr>
        <w:t xml:space="preserve">”, fue conocida, discutida y aprobada por el Concejo Cantonal de </w:t>
      </w:r>
      <w:r w:rsidR="00E30701" w:rsidRPr="00B24A80">
        <w:rPr>
          <w:rFonts w:asciiTheme="majorHAnsi" w:eastAsia="Calibri" w:hAnsiTheme="majorHAnsi" w:cstheme="majorHAnsi"/>
          <w:color w:val="25282C"/>
          <w:sz w:val="22"/>
          <w:szCs w:val="22"/>
        </w:rPr>
        <w:t>La Joya de los Sachas</w:t>
      </w:r>
      <w:r w:rsidR="007D7568" w:rsidRPr="00B24A80">
        <w:rPr>
          <w:rFonts w:asciiTheme="majorHAnsi" w:eastAsia="Calibri" w:hAnsiTheme="majorHAnsi" w:cstheme="majorHAnsi"/>
          <w:color w:val="000000"/>
          <w:sz w:val="22"/>
          <w:szCs w:val="22"/>
        </w:rPr>
        <w:t xml:space="preserve"> </w:t>
      </w:r>
      <w:r w:rsidRPr="00B24A80">
        <w:rPr>
          <w:rFonts w:asciiTheme="majorHAnsi" w:eastAsia="Calibri" w:hAnsiTheme="majorHAnsi" w:cstheme="majorHAnsi"/>
          <w:color w:val="000000"/>
          <w:sz w:val="22"/>
          <w:szCs w:val="22"/>
        </w:rPr>
        <w:t>en sesión extraordinaria del XXX de XXX del año XXXX sesión or</w:t>
      </w:r>
      <w:r w:rsidR="00F0254C" w:rsidRPr="00B24A80">
        <w:rPr>
          <w:rFonts w:asciiTheme="majorHAnsi" w:eastAsia="Calibri" w:hAnsiTheme="majorHAnsi" w:cstheme="majorHAnsi"/>
          <w:color w:val="000000"/>
          <w:sz w:val="22"/>
          <w:szCs w:val="22"/>
        </w:rPr>
        <w:t>dinaria del XXXX de XXXX de 2024</w:t>
      </w:r>
      <w:r w:rsidRPr="00B24A80">
        <w:rPr>
          <w:rFonts w:asciiTheme="majorHAnsi" w:eastAsia="Calibri" w:hAnsiTheme="majorHAnsi" w:cstheme="majorHAnsi"/>
          <w:color w:val="000000"/>
          <w:sz w:val="22"/>
          <w:szCs w:val="22"/>
        </w:rPr>
        <w:t>, de conformidad con lo que dispone el Art. 322 del Código Orgánico de Organización Territorial, Autonomía y Descentralización vigente.</w:t>
      </w:r>
    </w:p>
    <w:p w14:paraId="0C23915F" w14:textId="02075E9B" w:rsidR="00DC27E8" w:rsidRPr="00B24A80" w:rsidRDefault="007F5505">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XXXXXXXXXXXXXXXXXX</w:t>
      </w:r>
    </w:p>
    <w:p w14:paraId="4B8CA0F5" w14:textId="36B60BD6" w:rsidR="00DC27E8" w:rsidRPr="00B24A80" w:rsidRDefault="0039060C">
      <w:pPr>
        <w:pBdr>
          <w:top w:val="nil"/>
          <w:left w:val="nil"/>
          <w:bottom w:val="nil"/>
          <w:right w:val="nil"/>
          <w:between w:val="nil"/>
        </w:pBdr>
        <w:spacing w:before="240" w:after="165"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SECRETARIA/O </w:t>
      </w:r>
      <w:r w:rsidR="007F5505" w:rsidRPr="00B24A80">
        <w:rPr>
          <w:rFonts w:asciiTheme="majorHAnsi" w:eastAsia="Calibri" w:hAnsiTheme="majorHAnsi" w:cstheme="majorHAnsi"/>
          <w:color w:val="000000"/>
          <w:sz w:val="22"/>
          <w:szCs w:val="22"/>
        </w:rPr>
        <w:t>DE</w:t>
      </w:r>
      <w:r w:rsidRPr="00B24A80">
        <w:rPr>
          <w:rFonts w:asciiTheme="majorHAnsi" w:eastAsia="Calibri" w:hAnsiTheme="majorHAnsi" w:cstheme="majorHAnsi"/>
          <w:color w:val="000000"/>
          <w:sz w:val="22"/>
          <w:szCs w:val="22"/>
        </w:rPr>
        <w:t>L</w:t>
      </w:r>
      <w:r w:rsidR="007F5505" w:rsidRPr="00B24A80">
        <w:rPr>
          <w:rFonts w:asciiTheme="majorHAnsi" w:eastAsia="Calibri" w:hAnsiTheme="majorHAnsi" w:cstheme="majorHAnsi"/>
          <w:color w:val="000000"/>
          <w:sz w:val="22"/>
          <w:szCs w:val="22"/>
        </w:rPr>
        <w:t xml:space="preserve"> CONCEJO</w:t>
      </w:r>
    </w:p>
    <w:p w14:paraId="6D07C0BA" w14:textId="20519159" w:rsidR="00DC27E8" w:rsidRPr="00B24A80" w:rsidRDefault="00F0254C">
      <w:pPr>
        <w:pBdr>
          <w:top w:val="nil"/>
          <w:left w:val="nil"/>
          <w:bottom w:val="nil"/>
          <w:right w:val="nil"/>
          <w:between w:val="nil"/>
        </w:pBdr>
        <w:spacing w:before="240" w:after="72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La </w:t>
      </w:r>
      <w:r w:rsidR="007F5505" w:rsidRPr="00B24A80">
        <w:rPr>
          <w:rFonts w:asciiTheme="majorHAnsi" w:eastAsia="Calibri" w:hAnsiTheme="majorHAnsi" w:cstheme="majorHAnsi"/>
          <w:color w:val="000000"/>
          <w:sz w:val="22"/>
          <w:szCs w:val="22"/>
        </w:rPr>
        <w:t>Alcalde</w:t>
      </w:r>
      <w:r w:rsidRPr="00B24A80">
        <w:rPr>
          <w:rFonts w:asciiTheme="majorHAnsi" w:eastAsia="Calibri" w:hAnsiTheme="majorHAnsi" w:cstheme="majorHAnsi"/>
          <w:color w:val="000000"/>
          <w:sz w:val="22"/>
          <w:szCs w:val="22"/>
        </w:rPr>
        <w:t>sa</w:t>
      </w:r>
      <w:r w:rsidR="007F5505" w:rsidRPr="00B24A80">
        <w:rPr>
          <w:rFonts w:asciiTheme="majorHAnsi" w:eastAsia="Calibri" w:hAnsiTheme="majorHAnsi" w:cstheme="majorHAnsi"/>
          <w:color w:val="000000"/>
          <w:sz w:val="22"/>
          <w:szCs w:val="22"/>
        </w:rPr>
        <w:t xml:space="preserve"> del Gobierno Autónomo Descentralizado Municipal del </w:t>
      </w:r>
      <w:r w:rsidR="00CD4F27" w:rsidRPr="00B24A80">
        <w:rPr>
          <w:rFonts w:asciiTheme="majorHAnsi" w:eastAsia="Calibri" w:hAnsiTheme="majorHAnsi" w:cstheme="majorHAnsi"/>
          <w:color w:val="000000"/>
          <w:sz w:val="22"/>
          <w:szCs w:val="22"/>
        </w:rPr>
        <w:t>cantón La Joya de los Sachas</w:t>
      </w:r>
      <w:r w:rsidR="007F5505" w:rsidRPr="00B24A80">
        <w:rPr>
          <w:rFonts w:asciiTheme="majorHAnsi" w:eastAsia="Calibri" w:hAnsiTheme="majorHAnsi" w:cstheme="majorHAnsi"/>
          <w:color w:val="000000"/>
          <w:sz w:val="22"/>
          <w:szCs w:val="22"/>
        </w:rPr>
        <w:t>, de conformidad a lo estipulado en el Art. 324 del Código Orgánico de Organización Territorial, Autonomía y Descentralización vigente, sanciono “</w:t>
      </w:r>
      <w:r w:rsidRPr="00B24A80">
        <w:rPr>
          <w:rFonts w:asciiTheme="majorHAnsi" w:eastAsia="Calibri" w:hAnsiTheme="majorHAnsi" w:cstheme="majorHAnsi"/>
          <w:color w:val="000000"/>
          <w:sz w:val="22"/>
          <w:szCs w:val="22"/>
        </w:rPr>
        <w:t xml:space="preserve">LA ORDENANZA SUSTITUTIVA QUE APRUEBA EL PLAN DE DESARROLLO Y ORDENAMIENTO TERRITORIAL Y SU ALINEACIÓN AL PLAN NACIONAL DE DESARROLLO 2024-2025; Y, EL PLAN DE USO Y GESTIÓN DEL SUELO DEL CANTÓN LA JOYA DE LOS SACHAS”, </w:t>
      </w:r>
      <w:r w:rsidR="007F5505" w:rsidRPr="00B24A80">
        <w:rPr>
          <w:rFonts w:asciiTheme="majorHAnsi" w:eastAsia="Calibri" w:hAnsiTheme="majorHAnsi" w:cstheme="majorHAnsi"/>
          <w:color w:val="000000"/>
          <w:sz w:val="22"/>
          <w:szCs w:val="22"/>
        </w:rPr>
        <w:t xml:space="preserve">habiendo observado el trámite legal y cuidado de acuerdo con la Constitución de la República del Ecuador y las Leyes; ordeno su promulgación sin perjuicio de su publicación en el Registro Oficial, página web institucional y Gaceta Oficial Municipal, en la ciudad de </w:t>
      </w:r>
      <w:r w:rsidR="00E30701" w:rsidRPr="00B24A80">
        <w:rPr>
          <w:rFonts w:asciiTheme="majorHAnsi" w:eastAsia="Calibri" w:hAnsiTheme="majorHAnsi" w:cstheme="majorHAnsi"/>
          <w:color w:val="25282C"/>
          <w:sz w:val="22"/>
          <w:szCs w:val="22"/>
        </w:rPr>
        <w:t>La Joya de los Sachas</w:t>
      </w:r>
      <w:r w:rsidR="007F5505" w:rsidRPr="00B24A80">
        <w:rPr>
          <w:rFonts w:asciiTheme="majorHAnsi" w:eastAsia="Calibri" w:hAnsiTheme="majorHAnsi" w:cstheme="majorHAnsi"/>
          <w:color w:val="000000"/>
          <w:sz w:val="22"/>
          <w:szCs w:val="22"/>
        </w:rPr>
        <w:t xml:space="preserve">, a los XXX </w:t>
      </w:r>
      <w:r w:rsidRPr="00B24A80">
        <w:rPr>
          <w:rFonts w:asciiTheme="majorHAnsi" w:eastAsia="Calibri" w:hAnsiTheme="majorHAnsi" w:cstheme="majorHAnsi"/>
          <w:color w:val="000000"/>
          <w:sz w:val="22"/>
          <w:szCs w:val="22"/>
        </w:rPr>
        <w:t>días del mes de XXX del año 2024</w:t>
      </w:r>
      <w:r w:rsidR="007F5505" w:rsidRPr="00B24A80">
        <w:rPr>
          <w:rFonts w:asciiTheme="majorHAnsi" w:eastAsia="Calibri" w:hAnsiTheme="majorHAnsi" w:cstheme="majorHAnsi"/>
          <w:color w:val="000000"/>
          <w:sz w:val="22"/>
          <w:szCs w:val="22"/>
        </w:rPr>
        <w:t>.</w:t>
      </w:r>
    </w:p>
    <w:p w14:paraId="5D7984B9" w14:textId="25AF99E7" w:rsidR="00DC27E8" w:rsidRPr="00B24A80" w:rsidRDefault="007F5505">
      <w:pPr>
        <w:pBdr>
          <w:top w:val="nil"/>
          <w:left w:val="nil"/>
          <w:bottom w:val="nil"/>
          <w:right w:val="nil"/>
          <w:between w:val="nil"/>
        </w:pBdr>
        <w:spacing w:before="240" w:after="246"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ALCALDE DEL CANTON </w:t>
      </w:r>
      <w:r w:rsidR="00E30701" w:rsidRPr="00B24A80">
        <w:rPr>
          <w:rFonts w:asciiTheme="majorHAnsi" w:eastAsia="Calibri" w:hAnsiTheme="majorHAnsi" w:cstheme="majorHAnsi"/>
          <w:color w:val="000000"/>
          <w:sz w:val="22"/>
          <w:szCs w:val="22"/>
        </w:rPr>
        <w:t>LA JOYA DE LOS SACHAS</w:t>
      </w:r>
    </w:p>
    <w:p w14:paraId="19E58F71" w14:textId="18093522" w:rsidR="00DC27E8" w:rsidRPr="00B24A80" w:rsidRDefault="007F5505">
      <w:pPr>
        <w:pBdr>
          <w:top w:val="nil"/>
          <w:left w:val="nil"/>
          <w:bottom w:val="nil"/>
          <w:right w:val="nil"/>
          <w:between w:val="nil"/>
        </w:pBdr>
        <w:spacing w:before="240" w:after="29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CERTIFICO: Que “</w:t>
      </w:r>
      <w:r w:rsidR="00F0254C" w:rsidRPr="00B24A80">
        <w:rPr>
          <w:rFonts w:asciiTheme="majorHAnsi" w:eastAsia="Calibri" w:hAnsiTheme="majorHAnsi" w:cstheme="majorHAnsi"/>
          <w:color w:val="000000"/>
          <w:sz w:val="22"/>
          <w:szCs w:val="22"/>
        </w:rPr>
        <w:t>LA</w:t>
      </w:r>
      <w:r w:rsidR="00F0254C" w:rsidRPr="00B24A80">
        <w:rPr>
          <w:sz w:val="22"/>
          <w:szCs w:val="22"/>
        </w:rPr>
        <w:t xml:space="preserve"> </w:t>
      </w:r>
      <w:r w:rsidR="00F0254C" w:rsidRPr="00B24A80">
        <w:rPr>
          <w:rFonts w:asciiTheme="majorHAnsi" w:eastAsia="Calibri" w:hAnsiTheme="majorHAnsi" w:cstheme="majorHAnsi"/>
          <w:color w:val="000000"/>
          <w:sz w:val="22"/>
          <w:szCs w:val="22"/>
        </w:rPr>
        <w:t xml:space="preserve">ORDENANZA SUSTITUTIVA QUE APRUEBA EL PLAN DE DESARROLLO Y ORDENAMIENTO TERRITORIAL Y SU ALINEACIÓN AL PLAN NACIONAL DE DESARROLLO 2024-2025; Y, EL PLAN DE USO Y GESTIÓN DEL SUELO DEL CANTÓN LA JOYA DE LOS SACHAS”, </w:t>
      </w:r>
      <w:r w:rsidRPr="00B24A80">
        <w:rPr>
          <w:rFonts w:asciiTheme="majorHAnsi" w:eastAsia="Calibri" w:hAnsiTheme="majorHAnsi" w:cstheme="majorHAnsi"/>
          <w:color w:val="000000"/>
          <w:sz w:val="22"/>
          <w:szCs w:val="22"/>
        </w:rPr>
        <w:t xml:space="preserve"> ", fue sancionada por el XXXX, Alcalde del Gobierno Autónomo Descentralizado Municipal del </w:t>
      </w:r>
      <w:r w:rsidR="00CD4F27" w:rsidRPr="00B24A80">
        <w:rPr>
          <w:rFonts w:asciiTheme="majorHAnsi" w:eastAsia="Calibri" w:hAnsiTheme="majorHAnsi" w:cstheme="majorHAnsi"/>
          <w:color w:val="000000"/>
          <w:sz w:val="22"/>
          <w:szCs w:val="22"/>
        </w:rPr>
        <w:t xml:space="preserve">cantón </w:t>
      </w:r>
      <w:r w:rsidR="00CD4F27" w:rsidRPr="00B24A80">
        <w:rPr>
          <w:rFonts w:asciiTheme="majorHAnsi" w:eastAsia="Calibri" w:hAnsiTheme="majorHAnsi" w:cstheme="majorHAnsi"/>
          <w:color w:val="000000"/>
          <w:sz w:val="22"/>
          <w:szCs w:val="22"/>
        </w:rPr>
        <w:lastRenderedPageBreak/>
        <w:t>La Joya de los Sachas</w:t>
      </w:r>
      <w:r w:rsidRPr="00B24A80">
        <w:rPr>
          <w:rFonts w:asciiTheme="majorHAnsi" w:eastAsia="Calibri" w:hAnsiTheme="majorHAnsi" w:cstheme="majorHAnsi"/>
          <w:color w:val="000000"/>
          <w:sz w:val="22"/>
          <w:szCs w:val="22"/>
        </w:rPr>
        <w:t xml:space="preserve">; en la ciudad de </w:t>
      </w:r>
      <w:r w:rsidR="00E30701" w:rsidRPr="00B24A80">
        <w:rPr>
          <w:rFonts w:asciiTheme="majorHAnsi" w:eastAsia="Calibri" w:hAnsiTheme="majorHAnsi" w:cstheme="majorHAnsi"/>
          <w:color w:val="25282C"/>
          <w:sz w:val="22"/>
          <w:szCs w:val="22"/>
        </w:rPr>
        <w:t>La Joya de los Sachas</w:t>
      </w:r>
      <w:r w:rsidRPr="00B24A80">
        <w:rPr>
          <w:rFonts w:asciiTheme="majorHAnsi" w:eastAsia="Calibri" w:hAnsiTheme="majorHAnsi" w:cstheme="majorHAnsi"/>
          <w:color w:val="000000"/>
          <w:sz w:val="22"/>
          <w:szCs w:val="22"/>
        </w:rPr>
        <w:t>, a los xxxx  días del mes de xxxxxxx del año XXXX.</w:t>
      </w:r>
    </w:p>
    <w:p w14:paraId="7971558B" w14:textId="77777777" w:rsidR="00DC27E8" w:rsidRPr="00B24A80" w:rsidRDefault="007F5505">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bookmarkStart w:id="428" w:name="_heading=h.24ufcor" w:colFirst="0" w:colLast="0"/>
      <w:bookmarkEnd w:id="428"/>
      <w:r w:rsidRPr="00B24A80">
        <w:rPr>
          <w:rFonts w:asciiTheme="majorHAnsi" w:eastAsia="Calibri" w:hAnsiTheme="majorHAnsi" w:cstheme="majorHAnsi"/>
          <w:color w:val="000000"/>
          <w:sz w:val="22"/>
          <w:szCs w:val="22"/>
        </w:rPr>
        <w:t xml:space="preserve">Dr/a. </w:t>
      </w:r>
    </w:p>
    <w:p w14:paraId="7D10E918" w14:textId="77777777" w:rsidR="00DC27E8" w:rsidRDefault="007F5505">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SECRETARIO/A  DE CONCEJO</w:t>
      </w:r>
    </w:p>
    <w:p w14:paraId="488E8F79" w14:textId="77777777" w:rsidR="00662211" w:rsidRDefault="00662211">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p>
    <w:p w14:paraId="69D47258" w14:textId="77777777" w:rsidR="009E73C4" w:rsidRDefault="009E73C4">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pPr>
    </w:p>
    <w:p w14:paraId="0BEB9CD3" w14:textId="77777777" w:rsidR="009E73C4" w:rsidRPr="00B24A80" w:rsidRDefault="009E73C4">
      <w:pPr>
        <w:pBdr>
          <w:top w:val="nil"/>
          <w:left w:val="nil"/>
          <w:bottom w:val="nil"/>
          <w:right w:val="nil"/>
          <w:between w:val="nil"/>
        </w:pBdr>
        <w:spacing w:before="240" w:line="276" w:lineRule="auto"/>
        <w:ind w:right="-100"/>
        <w:rPr>
          <w:rFonts w:asciiTheme="majorHAnsi" w:eastAsia="Calibri" w:hAnsiTheme="majorHAnsi" w:cstheme="majorHAnsi"/>
          <w:color w:val="000000"/>
          <w:sz w:val="22"/>
          <w:szCs w:val="22"/>
        </w:rPr>
        <w:sectPr w:rsidR="009E73C4" w:rsidRPr="00B24A80">
          <w:footerReference w:type="default" r:id="rId38"/>
          <w:pgSz w:w="11900" w:h="16840"/>
          <w:pgMar w:top="1417" w:right="1701" w:bottom="1417" w:left="1701" w:header="0" w:footer="3" w:gutter="0"/>
          <w:pgNumType w:start="1"/>
          <w:cols w:space="720"/>
        </w:sectPr>
      </w:pPr>
    </w:p>
    <w:p w14:paraId="6F771C1C" w14:textId="3F3CA016" w:rsidR="00DC27E8" w:rsidRPr="00B24A80" w:rsidRDefault="007F5505" w:rsidP="00B24A80">
      <w:pPr>
        <w:pStyle w:val="Ttulo1"/>
        <w:sectPr w:rsidR="00DC27E8" w:rsidRPr="00B24A80">
          <w:type w:val="continuous"/>
          <w:pgSz w:w="11900" w:h="16840"/>
          <w:pgMar w:top="1417" w:right="1701" w:bottom="1417" w:left="1701" w:header="0" w:footer="6" w:gutter="0"/>
          <w:cols w:space="720"/>
        </w:sectPr>
      </w:pPr>
      <w:bookmarkStart w:id="429" w:name="_heading=h.jzpmwk" w:colFirst="0" w:colLast="0"/>
      <w:bookmarkStart w:id="430" w:name="_Toc181374141"/>
      <w:bookmarkEnd w:id="429"/>
      <w:r w:rsidRPr="00B24A80">
        <w:t>ANEXOS</w:t>
      </w:r>
      <w:r w:rsidR="008D0D39" w:rsidRPr="00B24A80">
        <w:t>:</w:t>
      </w:r>
      <w:bookmarkEnd w:id="430"/>
    </w:p>
    <w:p w14:paraId="471E7BE3" w14:textId="4101BAB9" w:rsidR="007A76A9" w:rsidRPr="00B24A80" w:rsidRDefault="007A76A9" w:rsidP="007A76A9">
      <w:pPr>
        <w:pStyle w:val="Ttulo1"/>
        <w:rPr>
          <w:rFonts w:cstheme="majorHAnsi"/>
          <w:sz w:val="22"/>
          <w:szCs w:val="22"/>
        </w:rPr>
      </w:pPr>
      <w:bookmarkStart w:id="431" w:name="_heading=h.xevivl" w:colFirst="0" w:colLast="0"/>
      <w:bookmarkStart w:id="432" w:name="_Toc81085701"/>
      <w:bookmarkStart w:id="433" w:name="_Toc181374142"/>
      <w:bookmarkEnd w:id="431"/>
      <w:r w:rsidRPr="00B24A80">
        <w:rPr>
          <w:rFonts w:cstheme="majorHAnsi"/>
          <w:sz w:val="22"/>
          <w:szCs w:val="22"/>
        </w:rPr>
        <w:t>Anexo No. 1</w:t>
      </w:r>
      <w:r w:rsidR="0034613D" w:rsidRPr="00B24A80">
        <w:rPr>
          <w:rFonts w:cstheme="majorHAnsi"/>
          <w:sz w:val="22"/>
          <w:szCs w:val="22"/>
        </w:rPr>
        <w:t>. IPRUS</w:t>
      </w:r>
      <w:bookmarkEnd w:id="432"/>
      <w:bookmarkEnd w:id="433"/>
    </w:p>
    <w:p w14:paraId="41A91138" w14:textId="0E067706" w:rsidR="007A76A9" w:rsidRPr="00B24A80" w:rsidRDefault="007A76A9" w:rsidP="007A76A9">
      <w:pPr>
        <w:rPr>
          <w:sz w:val="22"/>
          <w:szCs w:val="22"/>
        </w:rPr>
      </w:pPr>
    </w:p>
    <w:p w14:paraId="2910E750" w14:textId="37EBA931" w:rsidR="007A76A9" w:rsidRPr="00B24A80" w:rsidRDefault="00F97917" w:rsidP="007A76A9">
      <w:pPr>
        <w:rPr>
          <w:sz w:val="22"/>
          <w:szCs w:val="22"/>
        </w:rPr>
      </w:pPr>
      <w:r w:rsidRPr="00B24A80">
        <w:rPr>
          <w:noProof/>
          <w:sz w:val="22"/>
          <w:szCs w:val="22"/>
          <w:lang w:val="es-EC"/>
        </w:rPr>
        <w:t>ETAM</w:t>
      </w:r>
      <w:r w:rsidR="0039060C" w:rsidRPr="00B24A80">
        <w:rPr>
          <w:noProof/>
          <w:sz w:val="22"/>
          <w:szCs w:val="22"/>
          <w:lang w:val="es-EC" w:eastAsia="es-EC"/>
        </w:rPr>
        <w:lastRenderedPageBreak/>
        <w:drawing>
          <wp:inline distT="0" distB="0" distL="0" distR="0" wp14:anchorId="25B7627A" wp14:editId="0932E83C">
            <wp:extent cx="5852795" cy="6813985"/>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52795" cy="6813985"/>
                    </a:xfrm>
                    <a:prstGeom prst="rect">
                      <a:avLst/>
                    </a:prstGeom>
                    <a:noFill/>
                  </pic:spPr>
                </pic:pic>
              </a:graphicData>
            </a:graphic>
          </wp:inline>
        </w:drawing>
      </w:r>
    </w:p>
    <w:p w14:paraId="516E0EDE" w14:textId="120B52EC" w:rsidR="00DC27E8" w:rsidRPr="00B24A80" w:rsidRDefault="007F5505" w:rsidP="001E32B9">
      <w:pPr>
        <w:pStyle w:val="Ttulo1"/>
        <w:rPr>
          <w:rFonts w:cstheme="majorHAnsi"/>
          <w:sz w:val="22"/>
          <w:szCs w:val="22"/>
        </w:rPr>
      </w:pPr>
      <w:bookmarkStart w:id="434" w:name="_Toc81085702"/>
      <w:bookmarkStart w:id="435" w:name="_Toc181374143"/>
      <w:r w:rsidRPr="00B24A80">
        <w:rPr>
          <w:rFonts w:cstheme="majorHAnsi"/>
          <w:sz w:val="22"/>
          <w:szCs w:val="22"/>
        </w:rPr>
        <w:t xml:space="preserve">Anexo No. </w:t>
      </w:r>
      <w:r w:rsidR="007A76A9" w:rsidRPr="00B24A80">
        <w:rPr>
          <w:rFonts w:cstheme="majorHAnsi"/>
          <w:sz w:val="22"/>
          <w:szCs w:val="22"/>
        </w:rPr>
        <w:t>2</w:t>
      </w:r>
      <w:bookmarkEnd w:id="434"/>
      <w:bookmarkEnd w:id="435"/>
    </w:p>
    <w:p w14:paraId="063D4A4C" w14:textId="77777777" w:rsidR="00DC27E8" w:rsidRPr="00B24A80" w:rsidRDefault="007F5505" w:rsidP="00F0254C">
      <w:pPr>
        <w:spacing w:line="276" w:lineRule="auto"/>
        <w:ind w:right="-100"/>
        <w:rPr>
          <w:rFonts w:asciiTheme="majorHAnsi" w:eastAsia="Calibri" w:hAnsiTheme="majorHAnsi" w:cstheme="majorHAnsi"/>
          <w:sz w:val="22"/>
          <w:szCs w:val="22"/>
        </w:rPr>
      </w:pPr>
      <w:r w:rsidRPr="00B24A80">
        <w:rPr>
          <w:rFonts w:asciiTheme="majorHAnsi" w:eastAsia="Calibri" w:hAnsiTheme="majorHAnsi" w:cstheme="majorHAnsi"/>
          <w:sz w:val="22"/>
          <w:szCs w:val="22"/>
        </w:rPr>
        <w:t>Procedimiento para el Cambio de Uso de Suelo</w:t>
      </w:r>
    </w:p>
    <w:p w14:paraId="7857EB72" w14:textId="7777777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PROCEDIMIENTO PARA LA GESTION DEL CAMBIO DE USO DEL SUELO</w:t>
      </w:r>
    </w:p>
    <w:p w14:paraId="5FF06A33" w14:textId="7777777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Acuerdo Ministerial 214</w:t>
      </w:r>
    </w:p>
    <w:p w14:paraId="2527150C" w14:textId="7777777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Registro Oficial 93 de 03-dic.-2019</w:t>
      </w:r>
    </w:p>
    <w:p w14:paraId="675F4420" w14:textId="7777777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Estado: Vigente</w:t>
      </w:r>
    </w:p>
    <w:p w14:paraId="4CC56680" w14:textId="0B8CB175" w:rsidR="00DC27E8" w:rsidRPr="00B24A80" w:rsidRDefault="00DC27E8" w:rsidP="00F0254C">
      <w:pPr>
        <w:spacing w:line="276" w:lineRule="auto"/>
        <w:rPr>
          <w:rFonts w:asciiTheme="majorHAnsi" w:eastAsia="Calibri" w:hAnsiTheme="majorHAnsi" w:cstheme="majorHAnsi"/>
          <w:sz w:val="22"/>
          <w:szCs w:val="22"/>
        </w:rPr>
      </w:pPr>
    </w:p>
    <w:p w14:paraId="4BFA2566" w14:textId="0A72B277" w:rsidR="00DC27E8" w:rsidRPr="00B24A80" w:rsidRDefault="007F5505">
      <w:pPr>
        <w:spacing w:before="240"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EL MINISTRO DE AGRICULTURA Y GANADERIA</w:t>
      </w:r>
    </w:p>
    <w:p w14:paraId="73B032D2" w14:textId="69935972" w:rsidR="001E32B9"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Considerando:</w:t>
      </w:r>
    </w:p>
    <w:p w14:paraId="56799F48" w14:textId="4E035FD9"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el numeral 1 del artículo 154 de la Constitución de La República del Ecuador señala que son atribuciones de las ministras y ministros de Estado: "1. Ejercer la rectoría de las políticas públicas del área a su cargo y expedir los acuerdos y resoluciones administrativas que requiera su gestión";</w:t>
      </w:r>
    </w:p>
    <w:p w14:paraId="12E07635"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el artículo 82 de la Constitución de la República, consagra: "El derecho a la seguridad jurídica se fundamenta en el respeto a la Constitución y en la existencia de normas jurídicas previas, claras, públicas y aplicadas por las autoridades competentes".</w:t>
      </w:r>
    </w:p>
    <w:p w14:paraId="48239C0E"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Que, el artículo 226 de la Constitución de la República del Ecuador, dispone: "Las instituciones del Estado, sus organismos, dependencias, los servidoras o servidores públicos y las personas que actúen en virtud de una potestad estatal ejercerán solamente las competencias y facultades que les sean atribuidas en la Constitución y la ley. </w:t>
      </w:r>
    </w:p>
    <w:p w14:paraId="1926A5E5"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Tendrán el deber de coordinar acciones para el cumplimiento de sus fines y hacer efectivo el goce y ejercicio de los derechos reconocidos en lo Constitución.";</w:t>
      </w:r>
    </w:p>
    <w:p w14:paraId="7AB70FBD"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el artículo 264 de la Constitución de la República del Ecuador establece: "Los gobiernos municipales tendrán las siguientes competencias exclusivas sin perjuicio de otras que determine la ley:</w:t>
      </w:r>
    </w:p>
    <w:p w14:paraId="5BE3C5C9"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1. Planificar el desarrollo cantonal y formular los correspondientes planes de ordenamiento territorial, de manera articulada con la planificación nacional, regional, provincial y parroquial, con el fin de regular el uso y la ocupación del suelo urbano y rural".</w:t>
      </w:r>
    </w:p>
    <w:p w14:paraId="4C27A13C"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la Ley Orgánica de Tierras Rurales y Territorios Ancestrales en su artículo 32 precisa: "De la Autoridad Agraria Nacional. La Autoridad Agraria Nacional será el ministerio de ramo, instancia rectora, coordinadora y reguladora de las políticas públicas en materia de tierras rurales en relación con la producción agropecuaria y la garantía de la soberanía alimentaria.</w:t>
      </w:r>
    </w:p>
    <w:p w14:paraId="2761663F"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Son competencias y atribuciones de la Autoridad Agraria Nacional:</w:t>
      </w:r>
    </w:p>
    <w:p w14:paraId="5E9C447E"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l) Proteger la tierra rural con aptitud agraria del cambio de uso del suelo. Excepcionalmente, con sujeción a la Ley, emitir informe previo para autorizar o no este cambio para expansión urbana o uso industrial de conformidad con el ordenamiento territorial. Además, está prohibido el cambio de uso del suelo rural con vocación o aptitud agraria o que cuente con infraestructura pública de riego o productiva permanente".</w:t>
      </w:r>
    </w:p>
    <w:p w14:paraId="2BFC8C29"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Que, el artículo 113 de la Ley Orgánica de Tierras Rurales y Territorios Ancestrales, señala: "Control de la expansión urbana en predios rurales. Los Gobiernos Autónomos Descentralizados municipales o metropolitanos, en concordancia con los planes de ordenamiento territorial, expansión urbana, no pueden aprobar proyectos de urbanizaciones o ciudadelas, en tierras </w:t>
      </w:r>
      <w:r w:rsidRPr="00B24A80">
        <w:rPr>
          <w:rFonts w:asciiTheme="majorHAnsi" w:eastAsia="Calibri" w:hAnsiTheme="majorHAnsi" w:cstheme="majorHAnsi"/>
          <w:sz w:val="22"/>
          <w:szCs w:val="22"/>
        </w:rPr>
        <w:lastRenderedPageBreak/>
        <w:t>rurales en la zona periurbana con aptitud agraria o que tradicionalmente han estado dedicadas a actividades agrarias, sin la autorización de la Autoridad Agraria Nacional.</w:t>
      </w:r>
    </w:p>
    <w:p w14:paraId="1299DA70"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Las aprobaciones otorgadas con inobservancia de esta disposición carecen de validez y no tienen efecto jurídico, sin perjuicio de las responsabilidades de las autoridades y funcionarios que expidieron tales aprobaciones".</w:t>
      </w:r>
    </w:p>
    <w:p w14:paraId="335DB07D"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Que, el Reglamento General para la Aplicación de la Ley Orgánica de Tierras Rurales y Territorios Ancestrales en su artículo 3, señala: "Condiciones para determinar el cambio de la clasificación del uso del suelo rural.- La Autoridad Agraria Nacional o su delegado, en el plazo establecido en la Ley, a solicitud del Gobierno Autónomo Descentralizado Municipal o Metropolitano competente, expedirá el informe técnico que autorice el cambio de clasificación de suelo rural de uso agrario a suelo de expansión urbana o zona industrial; al efecto además de la información constante en el respectivo catastro rural, tendrá en cuenta las siguientes restricciones: </w:t>
      </w:r>
    </w:p>
    <w:p w14:paraId="2C486EEC" w14:textId="77777777" w:rsidR="00DC27E8" w:rsidRPr="00B24A80" w:rsidRDefault="007F5505" w:rsidP="00CA24CF">
      <w:pPr>
        <w:numPr>
          <w:ilvl w:val="1"/>
          <w:numId w:val="90"/>
        </w:numPr>
        <w:pBdr>
          <w:top w:val="nil"/>
          <w:left w:val="nil"/>
          <w:bottom w:val="nil"/>
          <w:right w:val="nil"/>
          <w:between w:val="nil"/>
        </w:pBdr>
        <w:spacing w:before="240"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Que la zona objeto de análisis no cuente con infraestructura pública de riego o productiva permanente;</w:t>
      </w:r>
    </w:p>
    <w:p w14:paraId="6CAA2B4D" w14:textId="6FF29378" w:rsidR="00CD442E" w:rsidRPr="00B24A80" w:rsidRDefault="007F5505" w:rsidP="00CA24CF">
      <w:pPr>
        <w:numPr>
          <w:ilvl w:val="1"/>
          <w:numId w:val="90"/>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 xml:space="preserve">Que el suelo no tenga aptitud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 xml:space="preserve"> o tradicionalmente no se haya dedicado a actividades </w:t>
      </w:r>
      <w:r w:rsidR="00A35002">
        <w:rPr>
          <w:rFonts w:asciiTheme="majorHAnsi" w:eastAsia="Calibri" w:hAnsiTheme="majorHAnsi" w:cstheme="majorHAnsi"/>
          <w:color w:val="000000"/>
          <w:sz w:val="22"/>
          <w:szCs w:val="22"/>
        </w:rPr>
        <w:t>rural</w:t>
      </w:r>
      <w:r w:rsidRPr="00B24A80">
        <w:rPr>
          <w:rFonts w:asciiTheme="majorHAnsi" w:eastAsia="Calibri" w:hAnsiTheme="majorHAnsi" w:cstheme="majorHAnsi"/>
          <w:color w:val="000000"/>
          <w:sz w:val="22"/>
          <w:szCs w:val="22"/>
        </w:rPr>
        <w:t>s; y,</w:t>
      </w:r>
    </w:p>
    <w:p w14:paraId="71EE28B4" w14:textId="4C301BE0" w:rsidR="00DC27E8" w:rsidRPr="00B24A80" w:rsidRDefault="007F5505" w:rsidP="00CA24CF">
      <w:pPr>
        <w:numPr>
          <w:ilvl w:val="1"/>
          <w:numId w:val="90"/>
        </w:numPr>
        <w:pBdr>
          <w:top w:val="nil"/>
          <w:left w:val="nil"/>
          <w:bottom w:val="nil"/>
          <w:right w:val="nil"/>
          <w:between w:val="nil"/>
        </w:pBdr>
        <w:spacing w:line="276" w:lineRule="auto"/>
        <w:rPr>
          <w:rFonts w:asciiTheme="majorHAnsi" w:eastAsia="Calibri" w:hAnsiTheme="majorHAnsi" w:cstheme="majorHAnsi"/>
          <w:color w:val="000000"/>
          <w:sz w:val="22"/>
          <w:szCs w:val="22"/>
        </w:rPr>
      </w:pPr>
      <w:r w:rsidRPr="00B24A80">
        <w:rPr>
          <w:rFonts w:asciiTheme="majorHAnsi" w:eastAsia="Calibri" w:hAnsiTheme="majorHAnsi" w:cstheme="majorHAnsi"/>
          <w:color w:val="000000"/>
          <w:sz w:val="22"/>
          <w:szCs w:val="22"/>
        </w:rPr>
        <w:t>Que la zona no forme parte de territorios comunales o ancestrales".</w:t>
      </w:r>
    </w:p>
    <w:p w14:paraId="0FFEC39C" w14:textId="77777777" w:rsidR="00CD442E"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el Comité de Gestión de Calidad del Servicio y Desarrollo Institucional en reunión celebrada el 12 de septiembre de 2019, aprobó el manual de procedimiento de cambio de uso de suelo.</w:t>
      </w:r>
    </w:p>
    <w:p w14:paraId="3948153B" w14:textId="77777777"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el Código Orgánico Administrativo en su artículo 128, reconoce: "Acto normativo de carácter administrativo.</w:t>
      </w:r>
    </w:p>
    <w:p w14:paraId="2ECCD69D" w14:textId="4DCA78CE"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Es toda declaración unilateral efectuada en ejercicio de una competencia administrativa que produce efectos jurídicos generales, que no se agota con su cumplimiento y de forma directa".</w:t>
      </w:r>
    </w:p>
    <w:p w14:paraId="589C7980" w14:textId="5CEDA8B4"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el Código Orgánico Administrativo en su artículo 130, señala: "Competencia normativa de carácter administrativo. Las máximas autoridades administrativas tienen competencia normativa de carácter administrativo únicamente para regular los asuntos internos del órgano a su cargo, salvo los casos en los que la ley prevea esta competencia para la máxima autoridad legislativa de una administración pública".</w:t>
      </w:r>
    </w:p>
    <w:p w14:paraId="05EE03F0"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Que, mediante Decreto Ejecutivo No. 487 de 21 de agosto de 2018, expedido por el Presidente Constitucional de la República, licenciado Lenin Moreno, se nombró a Xavier Lazo Guerrero como Ministro de Agricultura y Ganadería.</w:t>
      </w:r>
    </w:p>
    <w:p w14:paraId="1719B8E6"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En ejercicio de las atribuciones que se le confieren en el numeral 1 del artículo 154 de la Constitución de la República del Ecuador y el artículo 17 del Estatuto del Régimen Jurídico Administrativo de la Función Ejecutiva.</w:t>
      </w:r>
    </w:p>
    <w:p w14:paraId="50D7178F"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Acuerda:</w:t>
      </w:r>
    </w:p>
    <w:p w14:paraId="66AFB824" w14:textId="5784C0F1" w:rsidR="00DC27E8" w:rsidRPr="00B24A80" w:rsidRDefault="007F5505">
      <w:pPr>
        <w:spacing w:before="240" w:after="240"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ESTABLECER</w:t>
      </w:r>
      <w:r w:rsidR="00F0254C" w:rsidRPr="00B24A80">
        <w:rPr>
          <w:rFonts w:asciiTheme="majorHAnsi" w:eastAsia="Calibri" w:hAnsiTheme="majorHAnsi" w:cstheme="majorHAnsi"/>
          <w:b/>
          <w:sz w:val="22"/>
          <w:szCs w:val="22"/>
        </w:rPr>
        <w:t xml:space="preserve"> EL PROCEDIMIENTO PARA LA GESTIÓ</w:t>
      </w:r>
      <w:r w:rsidRPr="00B24A80">
        <w:rPr>
          <w:rFonts w:asciiTheme="majorHAnsi" w:eastAsia="Calibri" w:hAnsiTheme="majorHAnsi" w:cstheme="majorHAnsi"/>
          <w:b/>
          <w:sz w:val="22"/>
          <w:szCs w:val="22"/>
        </w:rPr>
        <w:t>N DEL CAMBIO DE USO DEL SUELO</w:t>
      </w:r>
    </w:p>
    <w:p w14:paraId="7E382C31" w14:textId="77777777" w:rsidR="00DC27E8" w:rsidRPr="00B24A80" w:rsidRDefault="007F5505">
      <w:pPr>
        <w:spacing w:before="240" w:after="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lastRenderedPageBreak/>
        <w:t>Art. 1</w:t>
      </w:r>
      <w:r w:rsidRPr="00B24A80">
        <w:rPr>
          <w:rFonts w:asciiTheme="majorHAnsi" w:eastAsia="Calibri" w:hAnsiTheme="majorHAnsi" w:cstheme="majorHAnsi"/>
          <w:sz w:val="22"/>
          <w:szCs w:val="22"/>
        </w:rPr>
        <w:t>.- Objeto. - el presente Acuerdo Ministerial tiene por objeto sistematizar el proceso administrativo a seguir para la autorización de cambio de clasificación de suelo rural de uso agrario a suelo de expansión urbana o zona industrial.</w:t>
      </w:r>
    </w:p>
    <w:p w14:paraId="4C046250"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El proceso detallado en el presente Acuerdo, deberá sustanciarse dentro del plazo de noventa (90) días de admitida a trámite la solicitud de cambio de uso de suelo.</w:t>
      </w:r>
    </w:p>
    <w:p w14:paraId="1ADE52AA" w14:textId="5351894C"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2</w:t>
      </w:r>
      <w:r w:rsidRPr="00B24A80">
        <w:rPr>
          <w:rFonts w:asciiTheme="majorHAnsi" w:eastAsia="Calibri" w:hAnsiTheme="majorHAnsi" w:cstheme="majorHAnsi"/>
          <w:sz w:val="22"/>
          <w:szCs w:val="22"/>
        </w:rPr>
        <w:t xml:space="preserve">.- De la solicitud del cambio del uso del </w:t>
      </w:r>
      <w:r w:rsidR="00F0254C" w:rsidRPr="00B24A80">
        <w:rPr>
          <w:rFonts w:asciiTheme="majorHAnsi" w:eastAsia="Calibri" w:hAnsiTheme="majorHAnsi" w:cstheme="majorHAnsi"/>
          <w:sz w:val="22"/>
          <w:szCs w:val="22"/>
        </w:rPr>
        <w:t>suelo. -</w:t>
      </w:r>
      <w:r w:rsidRPr="00B24A80">
        <w:rPr>
          <w:rFonts w:asciiTheme="majorHAnsi" w:eastAsia="Calibri" w:hAnsiTheme="majorHAnsi" w:cstheme="majorHAnsi"/>
          <w:sz w:val="22"/>
          <w:szCs w:val="22"/>
        </w:rPr>
        <w:t xml:space="preserve"> El Gobierno Autónomo Descentralizado Municipal o Metropolitano, competente en razón de su territorio, presentará por escrito en las ventanillas únicas de las direcciones distritales o planta central de esta Cartera de Estado, la solicitud de cambio de clasificación de suelo rural de uso agrario a suelo de expansión urbana o zona industrial, dirigida al titular de la Subsecretaría de Tierras Rurales y Territorios Ancestrales.</w:t>
      </w:r>
    </w:p>
    <w:p w14:paraId="28805819" w14:textId="69EA022C"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3</w:t>
      </w:r>
      <w:r w:rsidRPr="00B24A80">
        <w:rPr>
          <w:rFonts w:asciiTheme="majorHAnsi" w:eastAsia="Calibri" w:hAnsiTheme="majorHAnsi" w:cstheme="majorHAnsi"/>
          <w:sz w:val="22"/>
          <w:szCs w:val="22"/>
        </w:rPr>
        <w:t xml:space="preserve">.- De los </w:t>
      </w:r>
      <w:r w:rsidR="00F97917" w:rsidRPr="00B24A80">
        <w:rPr>
          <w:rFonts w:asciiTheme="majorHAnsi" w:eastAsia="Calibri" w:hAnsiTheme="majorHAnsi" w:cstheme="majorHAnsi"/>
          <w:sz w:val="22"/>
          <w:szCs w:val="22"/>
        </w:rPr>
        <w:t>requisitos. -</w:t>
      </w:r>
      <w:r w:rsidRPr="00B24A80">
        <w:rPr>
          <w:rFonts w:asciiTheme="majorHAnsi" w:eastAsia="Calibri" w:hAnsiTheme="majorHAnsi" w:cstheme="majorHAnsi"/>
          <w:sz w:val="22"/>
          <w:szCs w:val="22"/>
        </w:rPr>
        <w:t xml:space="preserve"> El Gobierno Autónomo Descentralizado Municipal o Metropolitano, competente presentará como anexos a su solicitud de cambio de uso de suelo, los siguientes documentos:</w:t>
      </w:r>
    </w:p>
    <w:p w14:paraId="5F3C837B" w14:textId="505762A0"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1. Levantamiento planimétrico o topográfico en formato digital (shapefile) en formato shape, Datum WGS 84, Zona 17 Sur, Sistema de coordenadas UTM que delimite de manera clara y precisa la zona de interés, objeto de la solicitud de cambio de uso de suelo.</w:t>
      </w:r>
    </w:p>
    <w:p w14:paraId="5FAD1036" w14:textId="6FF5B680"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El levantamiento planimétrico o topográfico, deberá ser elaborado conforme lo determinado por el Acuerdo Ministerial </w:t>
      </w:r>
      <w:r w:rsidR="007E725C" w:rsidRPr="00B24A80">
        <w:rPr>
          <w:sz w:val="22"/>
          <w:szCs w:val="22"/>
          <w:lang w:val="es-EC"/>
        </w:rPr>
        <w:t>017-2020. Reformado</w:t>
      </w:r>
      <w:r w:rsidR="007E725C" w:rsidRPr="00B24A80">
        <w:rPr>
          <w:rFonts w:asciiTheme="majorHAnsi" w:eastAsia="Calibri" w:hAnsiTheme="majorHAnsi" w:cstheme="majorHAnsi"/>
          <w:sz w:val="22"/>
          <w:szCs w:val="22"/>
        </w:rPr>
        <w:t xml:space="preserve"> </w:t>
      </w:r>
      <w:r w:rsidRPr="00B24A80">
        <w:rPr>
          <w:rFonts w:asciiTheme="majorHAnsi" w:eastAsia="Calibri" w:hAnsiTheme="majorHAnsi" w:cstheme="majorHAnsi"/>
          <w:sz w:val="22"/>
          <w:szCs w:val="22"/>
        </w:rPr>
        <w:t>del Ministerio de Desarrollo Urbano y Vivienda (MIDUVI), especialmente de acuerdo al artículo 8 que se refiere al margen de error de tolerancia para el levantamiento de información y de conformidad con las Normas Técnicas Nacionales Para el Catastro de Bienes Inmuebles Urbano - Rurales y Avalúos de Bienes; Operación y Cálculo de tarifas por los servicios técnicos de la Dirección Nacional de Avalúos y Catastros.</w:t>
      </w:r>
    </w:p>
    <w:p w14:paraId="358F1A88" w14:textId="12318088"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2. Plan de Desarrollo y Ordenamiento Territorial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 xml:space="preserve">) del Gobierno Autónomo Descentralizado Municipal o Metropolitano actualizado y aprobado por el Concejo Municipal respectivo. </w:t>
      </w:r>
    </w:p>
    <w:p w14:paraId="2F8CFF85" w14:textId="6E0F257D"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El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 xml:space="preserve"> deberá incluir de manera obligatoria lo siguiente: i) Documento - Informe del Plan de Desarrollo y Ordenamiento Territorial (formato doc. o pdf); ii) información cartográfica digital en formato shapefile, que identifique las categorías de ordenamiento territorial establecidas o zonificación similar.</w:t>
      </w:r>
    </w:p>
    <w:p w14:paraId="4BE2EF7A" w14:textId="1A715D13"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3. Información cartográfica digital del Plan de Desarrollo y Ordenamiento Territorial (</w:t>
      </w:r>
      <w:r w:rsidR="004830FA" w:rsidRPr="00B24A80">
        <w:rPr>
          <w:rFonts w:asciiTheme="majorHAnsi" w:eastAsia="Calibri" w:hAnsiTheme="majorHAnsi" w:cstheme="majorHAnsi"/>
          <w:sz w:val="22"/>
          <w:szCs w:val="22"/>
        </w:rPr>
        <w:t>PDyOT</w:t>
      </w:r>
      <w:r w:rsidRPr="00B24A80">
        <w:rPr>
          <w:rFonts w:asciiTheme="majorHAnsi" w:eastAsia="Calibri" w:hAnsiTheme="majorHAnsi" w:cstheme="majorHAnsi"/>
          <w:sz w:val="22"/>
          <w:szCs w:val="22"/>
        </w:rPr>
        <w:t>) del gobierno Autónomo Descentralizado Municipal o Metropolitano que identifique las categorías de ordenamiento territorial o zonificación similar (formato shapefile o pdf).</w:t>
      </w:r>
    </w:p>
    <w:p w14:paraId="4F335221" w14:textId="7DBDB3AD"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4. Certificado de Intersección con el Sistema Nacional de Áreas Protegidas (SNAP), Patrimonio Forestal del Estado (PFE), Bosques y Vegetación Protectora (BVP) emitido por la Autoridad Ambiental Nacional.</w:t>
      </w:r>
    </w:p>
    <w:p w14:paraId="7EE29A65"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5. Certificado de Playa y Bahía, otorgado por el Ministerio de Acuacultura, cuando el área </w:t>
      </w:r>
      <w:r w:rsidRPr="00B24A80">
        <w:rPr>
          <w:rFonts w:asciiTheme="majorHAnsi" w:eastAsia="Calibri" w:hAnsiTheme="majorHAnsi" w:cstheme="majorHAnsi"/>
          <w:sz w:val="22"/>
          <w:szCs w:val="22"/>
        </w:rPr>
        <w:lastRenderedPageBreak/>
        <w:t>solicitada para cambio de uso de suelo colinda a estas zonas.</w:t>
      </w:r>
    </w:p>
    <w:p w14:paraId="564A0FCC"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6. Catastro gráfico y alfanumérico actualizado del área solicitada y del área colindante.</w:t>
      </w:r>
    </w:p>
    <w:p w14:paraId="724CEFBB"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7. Informe técnico del Gobierno Autónomo Descentralizado Municipal o Metropolitano que respalde la solicitud de cambio de uso de suelo, en observancia de lo dispuesto en los artículos 4 y 32 literal l) de la Ley Orgánica de Tierras Rurales y Territorios Ancestrales (LOTRTA), y el artículo 3 de su Reglamento.</w:t>
      </w:r>
    </w:p>
    <w:p w14:paraId="0C95C4FC"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4</w:t>
      </w:r>
      <w:r w:rsidRPr="00B24A80">
        <w:rPr>
          <w:rFonts w:asciiTheme="majorHAnsi" w:eastAsia="Calibri" w:hAnsiTheme="majorHAnsi" w:cstheme="majorHAnsi"/>
          <w:sz w:val="22"/>
          <w:szCs w:val="22"/>
        </w:rPr>
        <w:t>.- De la verificación de requisitos. - El responsable de ventanilla única, al momento de presentada la solicitud, verificará el acompañamiento de los requisitos exigidos en el artículo que precede, a través de una lista de comprobación de requisitos.</w:t>
      </w:r>
    </w:p>
    <w:p w14:paraId="68B2A853"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De verificarse que la solicitud cumple con todos los requisitos, el responsable de ventanilla registrará en el sistema de gestión documental (Quipux) y remitirá el expediente a la Dirección de Redistribución de Tierras. </w:t>
      </w:r>
    </w:p>
    <w:p w14:paraId="28F05B82"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Cuando la solicitud sea presentada en una de las Direcciones Distritales del Ministerio de Agricultura y Ganadería, el órgano desconcentrado remitirá a Planta Central, al día siguiente de la recepción del expediente.</w:t>
      </w:r>
    </w:p>
    <w:p w14:paraId="27F35E86"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5</w:t>
      </w:r>
      <w:r w:rsidRPr="00B24A80">
        <w:rPr>
          <w:rFonts w:asciiTheme="majorHAnsi" w:eastAsia="Calibri" w:hAnsiTheme="majorHAnsi" w:cstheme="majorHAnsi"/>
          <w:sz w:val="22"/>
          <w:szCs w:val="22"/>
        </w:rPr>
        <w:t>.- Recibida la solicitud por parte de la Dirección de Redistribución de Tierras, se realizará la comprobación de los documentos conforme la lista de comprobación de requisitos y se asignará la nomenclatura del expediente de acuerdo al sistema de seguimiento de tierras, validando con ello su procedencia técnica.</w:t>
      </w:r>
    </w:p>
    <w:p w14:paraId="124ABF28" w14:textId="77777777" w:rsidR="00D3570B"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En el caso de verificarse que la solicitud no reúne los requisitos exigidos, se responderá al Gobierno Autónomo Descentralizado competente, con la devolución del trámite a fin de que lo complete dentro del término de cinco (5) días, lo cual ingresará a ventanilla como nuevo trámite.</w:t>
      </w:r>
    </w:p>
    <w:p w14:paraId="3E7DFB6B" w14:textId="77316A71"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6</w:t>
      </w:r>
      <w:r w:rsidRPr="00B24A80">
        <w:rPr>
          <w:rFonts w:asciiTheme="majorHAnsi" w:eastAsia="Calibri" w:hAnsiTheme="majorHAnsi" w:cstheme="majorHAnsi"/>
          <w:sz w:val="22"/>
          <w:szCs w:val="22"/>
        </w:rPr>
        <w:t xml:space="preserve">.- De la ficha técnica de </w:t>
      </w:r>
      <w:r w:rsidR="00F97917" w:rsidRPr="00B24A80">
        <w:rPr>
          <w:rFonts w:asciiTheme="majorHAnsi" w:eastAsia="Calibri" w:hAnsiTheme="majorHAnsi" w:cstheme="majorHAnsi"/>
          <w:sz w:val="22"/>
          <w:szCs w:val="22"/>
        </w:rPr>
        <w:t>gabinete. -</w:t>
      </w:r>
      <w:r w:rsidRPr="00B24A80">
        <w:rPr>
          <w:rFonts w:asciiTheme="majorHAnsi" w:eastAsia="Calibri" w:hAnsiTheme="majorHAnsi" w:cstheme="majorHAnsi"/>
          <w:sz w:val="22"/>
          <w:szCs w:val="22"/>
        </w:rPr>
        <w:t xml:space="preserve"> Validado el expediente, dentro del término de cinco (5) días, la Dirección de Redistribución de Tierras generará la ficha técnica de gabinete, a fin de realizar el análisis cartográfico de la información remitida por el Gobierno Autónomo solicitante o sobre la existencia de ecosistemas frágiles.</w:t>
      </w:r>
    </w:p>
    <w:p w14:paraId="02230F51"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7</w:t>
      </w:r>
      <w:r w:rsidRPr="00B24A80">
        <w:rPr>
          <w:rFonts w:asciiTheme="majorHAnsi" w:eastAsia="Calibri" w:hAnsiTheme="majorHAnsi" w:cstheme="majorHAnsi"/>
          <w:sz w:val="22"/>
          <w:szCs w:val="22"/>
        </w:rPr>
        <w:t>.- Del informe de existencia ecosistemas frágiles.- En el caso de advertirse la existencia de ecosistemas frágiles en el área a ser considerada para cambio de clasificación de suelo rural de uso agrario a suelo de expansión urbana o zona industrial, la Dirección de Redistribución de Tierras remitirá atento oficio a la Autoridad Ambiental Nacional (Ministerio del Ambiente), para que, de conformidad con los artículo 12 y 13 de la Ley Orgánica de Tierras Rurales y Territorios Ancestrales, emita su criterio y las recomendaciones que se estime pertinentes respecto a ecosistemas frágiles.</w:t>
      </w:r>
    </w:p>
    <w:p w14:paraId="160F48EE"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8</w:t>
      </w:r>
      <w:r w:rsidRPr="00B24A80">
        <w:rPr>
          <w:rFonts w:asciiTheme="majorHAnsi" w:eastAsia="Calibri" w:hAnsiTheme="majorHAnsi" w:cstheme="majorHAnsi"/>
          <w:sz w:val="22"/>
          <w:szCs w:val="22"/>
        </w:rPr>
        <w:t xml:space="preserve">.- Del informe técnico de campo. - La Dirección Distrital competente a través de su personal técnico realizará la inspección de la superficie solicitada para cambio de uso de suelo, sobre la cual, dentro del término de quince (15) días, se levantará el respectivo informe técnico de campo. De conformidad con el artículo 3 del Reglamento a la Ley Orgánica de Tierras Rurales y </w:t>
      </w:r>
      <w:r w:rsidRPr="00B24A80">
        <w:rPr>
          <w:rFonts w:asciiTheme="majorHAnsi" w:eastAsia="Calibri" w:hAnsiTheme="majorHAnsi" w:cstheme="majorHAnsi"/>
          <w:sz w:val="22"/>
          <w:szCs w:val="22"/>
        </w:rPr>
        <w:lastRenderedPageBreak/>
        <w:t>Territorios Ancestrales, los técnicos examinarán que en el área del polígono motivo de la solicitud, no concurra ninguna de las siguientes restricciones:</w:t>
      </w:r>
    </w:p>
    <w:p w14:paraId="553B443F" w14:textId="77777777" w:rsidR="001E32B9"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a) Que la zona objeto de análisis no cuente con infraestructura pública de riego o productiva permanente;</w:t>
      </w:r>
    </w:p>
    <w:p w14:paraId="3C82D276" w14:textId="43AA618F" w:rsidR="001E32B9"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b) Que el suelo no tenga aptitud </w:t>
      </w:r>
      <w:r w:rsidR="00A35002">
        <w:rPr>
          <w:rFonts w:asciiTheme="majorHAnsi" w:eastAsia="Calibri" w:hAnsiTheme="majorHAnsi" w:cstheme="majorHAnsi"/>
          <w:sz w:val="22"/>
          <w:szCs w:val="22"/>
        </w:rPr>
        <w:t>rural</w:t>
      </w:r>
      <w:r w:rsidRPr="00B24A80">
        <w:rPr>
          <w:rFonts w:asciiTheme="majorHAnsi" w:eastAsia="Calibri" w:hAnsiTheme="majorHAnsi" w:cstheme="majorHAnsi"/>
          <w:sz w:val="22"/>
          <w:szCs w:val="22"/>
        </w:rPr>
        <w:t xml:space="preserve"> o tradicionalmente no se haya dedicado a actividades </w:t>
      </w:r>
      <w:r w:rsidR="00A35002">
        <w:rPr>
          <w:rFonts w:asciiTheme="majorHAnsi" w:eastAsia="Calibri" w:hAnsiTheme="majorHAnsi" w:cstheme="majorHAnsi"/>
          <w:sz w:val="22"/>
          <w:szCs w:val="22"/>
        </w:rPr>
        <w:t>rural</w:t>
      </w:r>
      <w:r w:rsidRPr="00B24A80">
        <w:rPr>
          <w:rFonts w:asciiTheme="majorHAnsi" w:eastAsia="Calibri" w:hAnsiTheme="majorHAnsi" w:cstheme="majorHAnsi"/>
          <w:sz w:val="22"/>
          <w:szCs w:val="22"/>
        </w:rPr>
        <w:t>s; y,</w:t>
      </w:r>
    </w:p>
    <w:p w14:paraId="636D9646" w14:textId="370561E5"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c) Que la zona no forme parte de territorios comunales o ancestrales.</w:t>
      </w:r>
    </w:p>
    <w:p w14:paraId="7E2AD4AA" w14:textId="54FC7D08"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Los técnicos de la Dirección Distrital competente, que realicen el levantamiento de información e inspección para la elaboración del informe técnico de campo, deberán ser, necesariamente, ingenieros agrónomos, </w:t>
      </w:r>
      <w:r w:rsidR="00A35002">
        <w:rPr>
          <w:rFonts w:asciiTheme="majorHAnsi" w:eastAsia="Calibri" w:hAnsiTheme="majorHAnsi" w:cstheme="majorHAnsi"/>
          <w:sz w:val="22"/>
          <w:szCs w:val="22"/>
        </w:rPr>
        <w:t>rural</w:t>
      </w:r>
      <w:r w:rsidRPr="00B24A80">
        <w:rPr>
          <w:rFonts w:asciiTheme="majorHAnsi" w:eastAsia="Calibri" w:hAnsiTheme="majorHAnsi" w:cstheme="majorHAnsi"/>
          <w:sz w:val="22"/>
          <w:szCs w:val="22"/>
        </w:rPr>
        <w:t>s, agropecuarios o sus técnicos equivalentes.</w:t>
      </w:r>
    </w:p>
    <w:p w14:paraId="4C2D8AC6"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Emitido el informe técnico de campo, la o el titular de la Dirección Distrital competente, en el término de dos (2) días, mediante documento Quipux de validación, remitirá a la Dirección de Redistribución, con el fin de que sea analizado por la mesa técnica de trabajo.</w:t>
      </w:r>
    </w:p>
    <w:p w14:paraId="5176AE24" w14:textId="77777777" w:rsidR="003843F4"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9</w:t>
      </w:r>
      <w:r w:rsidRPr="00B24A80">
        <w:rPr>
          <w:rFonts w:asciiTheme="majorHAnsi" w:eastAsia="Calibri" w:hAnsiTheme="majorHAnsi" w:cstheme="majorHAnsi"/>
          <w:sz w:val="22"/>
          <w:szCs w:val="22"/>
        </w:rPr>
        <w:t>.- De la mesa técnica de trabajo. - Recibido el informe técnico de campo, la o el titular de la Dirección de Redistribución de Tierras, dispondrá la preparación de la información recopilada en el expediente y convocará, en el término de ocho (8) días, la reunión de la mesa técnica de trabajo.</w:t>
      </w:r>
    </w:p>
    <w:p w14:paraId="0A31A214" w14:textId="5AFA3C7A"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La mesa técnica de trabajo estará conformada por las o los titulares de las siguientes unidades o sus delegados: </w:t>
      </w:r>
    </w:p>
    <w:p w14:paraId="2D238C12" w14:textId="77777777" w:rsidR="00DC27E8" w:rsidRPr="00B24A80" w:rsidRDefault="007F5505">
      <w:pPr>
        <w:spacing w:before="240" w:line="276" w:lineRule="auto"/>
        <w:ind w:left="709"/>
        <w:rPr>
          <w:rFonts w:asciiTheme="majorHAnsi" w:eastAsia="Calibri" w:hAnsiTheme="majorHAnsi" w:cstheme="majorHAnsi"/>
          <w:sz w:val="22"/>
          <w:szCs w:val="22"/>
        </w:rPr>
      </w:pPr>
      <w:r w:rsidRPr="00B24A80">
        <w:rPr>
          <w:rFonts w:asciiTheme="majorHAnsi" w:eastAsia="Calibri" w:hAnsiTheme="majorHAnsi" w:cstheme="majorHAnsi"/>
          <w:sz w:val="22"/>
          <w:szCs w:val="22"/>
        </w:rPr>
        <w:br/>
        <w:t>1) Dirección de Redistribución de Tierras;</w:t>
      </w:r>
    </w:p>
    <w:p w14:paraId="47C147DC" w14:textId="77777777" w:rsidR="00DC27E8" w:rsidRPr="00B24A80" w:rsidRDefault="007F5505">
      <w:pPr>
        <w:spacing w:before="240" w:line="276" w:lineRule="auto"/>
        <w:ind w:left="709"/>
        <w:rPr>
          <w:rFonts w:asciiTheme="majorHAnsi" w:eastAsia="Calibri" w:hAnsiTheme="majorHAnsi" w:cstheme="majorHAnsi"/>
          <w:sz w:val="22"/>
          <w:szCs w:val="22"/>
        </w:rPr>
      </w:pPr>
      <w:r w:rsidRPr="00B24A80">
        <w:rPr>
          <w:rFonts w:asciiTheme="majorHAnsi" w:eastAsia="Calibri" w:hAnsiTheme="majorHAnsi" w:cstheme="majorHAnsi"/>
          <w:sz w:val="22"/>
          <w:szCs w:val="22"/>
        </w:rPr>
        <w:t>2) Dirección de Desarrollo Productivo, Sustentable y Agroecológico;</w:t>
      </w:r>
    </w:p>
    <w:p w14:paraId="5CEE9B09" w14:textId="6A1FF73B" w:rsidR="00DC27E8" w:rsidRPr="00B24A80" w:rsidRDefault="007F5505">
      <w:pPr>
        <w:spacing w:before="240" w:line="276" w:lineRule="auto"/>
        <w:ind w:left="709"/>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3) Dirección de Productividad </w:t>
      </w:r>
      <w:r w:rsidR="00A35002">
        <w:rPr>
          <w:rFonts w:asciiTheme="majorHAnsi" w:eastAsia="Calibri" w:hAnsiTheme="majorHAnsi" w:cstheme="majorHAnsi"/>
          <w:sz w:val="22"/>
          <w:szCs w:val="22"/>
        </w:rPr>
        <w:t>Rural</w:t>
      </w:r>
      <w:r w:rsidRPr="00B24A80">
        <w:rPr>
          <w:rFonts w:asciiTheme="majorHAnsi" w:eastAsia="Calibri" w:hAnsiTheme="majorHAnsi" w:cstheme="majorHAnsi"/>
          <w:sz w:val="22"/>
          <w:szCs w:val="22"/>
        </w:rPr>
        <w:t xml:space="preserve">; </w:t>
      </w:r>
    </w:p>
    <w:p w14:paraId="48BE997C" w14:textId="77777777" w:rsidR="00DC27E8" w:rsidRPr="00B24A80" w:rsidRDefault="007F5505">
      <w:pPr>
        <w:spacing w:before="240" w:line="276" w:lineRule="auto"/>
        <w:ind w:left="709"/>
        <w:rPr>
          <w:rFonts w:asciiTheme="majorHAnsi" w:eastAsia="Calibri" w:hAnsiTheme="majorHAnsi" w:cstheme="majorHAnsi"/>
          <w:sz w:val="22"/>
          <w:szCs w:val="22"/>
        </w:rPr>
      </w:pPr>
      <w:r w:rsidRPr="00B24A80">
        <w:rPr>
          <w:rFonts w:asciiTheme="majorHAnsi" w:eastAsia="Calibri" w:hAnsiTheme="majorHAnsi" w:cstheme="majorHAnsi"/>
          <w:sz w:val="22"/>
          <w:szCs w:val="22"/>
        </w:rPr>
        <w:t>4) Dirección de Productividad y Nutrición Pecuaria;</w:t>
      </w:r>
    </w:p>
    <w:p w14:paraId="5313157E" w14:textId="77777777" w:rsidR="00DC27E8" w:rsidRPr="00B24A80" w:rsidRDefault="007F5505">
      <w:pPr>
        <w:spacing w:before="240" w:line="276" w:lineRule="auto"/>
        <w:ind w:left="709"/>
        <w:rPr>
          <w:rFonts w:asciiTheme="majorHAnsi" w:eastAsia="Calibri" w:hAnsiTheme="majorHAnsi" w:cstheme="majorHAnsi"/>
          <w:sz w:val="22"/>
          <w:szCs w:val="22"/>
        </w:rPr>
      </w:pPr>
      <w:r w:rsidRPr="00B24A80">
        <w:rPr>
          <w:rFonts w:asciiTheme="majorHAnsi" w:eastAsia="Calibri" w:hAnsiTheme="majorHAnsi" w:cstheme="majorHAnsi"/>
          <w:sz w:val="22"/>
          <w:szCs w:val="22"/>
        </w:rPr>
        <w:t>5) Dirección de Desarrollo Productivo Forestal; y,</w:t>
      </w:r>
    </w:p>
    <w:p w14:paraId="1E2C6EBF" w14:textId="77777777" w:rsidR="00DC27E8" w:rsidRPr="00B24A80" w:rsidRDefault="007F5505">
      <w:pPr>
        <w:spacing w:before="240" w:line="276" w:lineRule="auto"/>
        <w:ind w:left="709"/>
        <w:rPr>
          <w:rFonts w:asciiTheme="majorHAnsi" w:eastAsia="Calibri" w:hAnsiTheme="majorHAnsi" w:cstheme="majorHAnsi"/>
          <w:sz w:val="22"/>
          <w:szCs w:val="22"/>
        </w:rPr>
      </w:pPr>
      <w:r w:rsidRPr="00B24A80">
        <w:rPr>
          <w:rFonts w:asciiTheme="majorHAnsi" w:eastAsia="Calibri" w:hAnsiTheme="majorHAnsi" w:cstheme="majorHAnsi"/>
          <w:sz w:val="22"/>
          <w:szCs w:val="22"/>
        </w:rPr>
        <w:t>6) Dirección de Fomento de Musáceas.</w:t>
      </w:r>
    </w:p>
    <w:p w14:paraId="29A16569"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Instalada en reunión la mesa técnica de trabajo, conforme el orden del día programado, analizará el pronunciamiento de la Autoridad Ambiental Nacional respecto de la existencia o afectación de ecosistemas frágiles; el informe técnico de campo remitido por la Dirección Distrital y la ficha técnica de gabinete.</w:t>
      </w:r>
    </w:p>
    <w:p w14:paraId="2FBC46AF"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El titular de la Dirección de Redistribución de Tierras, o su delegado, presidirá la mesa técnica de trabajo y verificará que el quórum sea de al menos el 50% más uno de sus miembros para dar inicio a la mesa técnica de trabajo.</w:t>
      </w:r>
    </w:p>
    <w:p w14:paraId="64F083BC"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lastRenderedPageBreak/>
        <w:t>En la mesa técnica de trabajo si se presentaren controversias para resolver una solicitud, se realizará una votación entre los miembros participantes, para lo cual se necesitará de al menos el 50% más uno de los votos para decidir la autorización o negación de cambio de la clasificación de suelos rurales de uso agrario a suelos de expansión urbana o zona industrial. En el caso de producirse un empate en la votación, el titular de la Dirección de Redistribución de Tierras, siendo la que preside la mesa técnica, tendrá el voto dirimente.</w:t>
      </w:r>
    </w:p>
    <w:p w14:paraId="79FAAD2B"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Concluida la reunión se levantará un Acta suscrita por los miembros de la mesa técnica, en la que constarán las observaciones o decisiones acordadas.</w:t>
      </w:r>
    </w:p>
    <w:p w14:paraId="0503E194" w14:textId="77777777" w:rsidR="003843F4"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La Dirección de Redistribución de Tierras, con base al Acta de reunión, dentro del término de siete (7) días, emitirá el Informe Técnico de Autorización de Cambio de Uso de Suelo.</w:t>
      </w:r>
    </w:p>
    <w:p w14:paraId="20D23DB7" w14:textId="1FA8DE48"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10</w:t>
      </w:r>
      <w:r w:rsidRPr="00B24A80">
        <w:rPr>
          <w:rFonts w:asciiTheme="majorHAnsi" w:eastAsia="Calibri" w:hAnsiTheme="majorHAnsi" w:cstheme="majorHAnsi"/>
          <w:sz w:val="22"/>
          <w:szCs w:val="22"/>
        </w:rPr>
        <w:t xml:space="preserve">.- De la </w:t>
      </w:r>
      <w:r w:rsidR="003843F4" w:rsidRPr="00B24A80">
        <w:rPr>
          <w:rFonts w:asciiTheme="majorHAnsi" w:eastAsia="Calibri" w:hAnsiTheme="majorHAnsi" w:cstheme="majorHAnsi"/>
          <w:sz w:val="22"/>
          <w:szCs w:val="22"/>
        </w:rPr>
        <w:t>notificación. -</w:t>
      </w:r>
      <w:r w:rsidRPr="00B24A80">
        <w:rPr>
          <w:rFonts w:asciiTheme="majorHAnsi" w:eastAsia="Calibri" w:hAnsiTheme="majorHAnsi" w:cstheme="majorHAnsi"/>
          <w:sz w:val="22"/>
          <w:szCs w:val="22"/>
        </w:rPr>
        <w:t xml:space="preserve"> Emitido el Informe Técnico de Autorización de Cambio de Uso de Suelo, se pondrá en conocimiento de la o el titular de la Subsecretaría de Tierras Rurales y Territorios Ancestrales, quien, en el término de cuatro (4) días, remitirá atento oficio al Gobierno Autónomo Descentralizado competente, notificando con la autorización o la negación de cambio de uso del suelo.</w:t>
      </w:r>
    </w:p>
    <w:p w14:paraId="3C9648F5" w14:textId="77777777" w:rsidR="00DC27E8" w:rsidRPr="00B24A80" w:rsidRDefault="007F5505">
      <w:pPr>
        <w:spacing w:before="240" w:line="276" w:lineRule="auto"/>
        <w:rPr>
          <w:rFonts w:asciiTheme="majorHAnsi" w:eastAsia="Calibri" w:hAnsiTheme="majorHAnsi" w:cstheme="majorHAnsi"/>
          <w:sz w:val="22"/>
          <w:szCs w:val="22"/>
        </w:rPr>
      </w:pPr>
      <w:r w:rsidRPr="00B24A80">
        <w:rPr>
          <w:rFonts w:asciiTheme="majorHAnsi" w:eastAsia="Calibri" w:hAnsiTheme="majorHAnsi" w:cstheme="majorHAnsi"/>
          <w:b/>
          <w:sz w:val="22"/>
          <w:szCs w:val="22"/>
        </w:rPr>
        <w:t>Art. 11</w:t>
      </w:r>
      <w:r w:rsidRPr="00B24A80">
        <w:rPr>
          <w:rFonts w:asciiTheme="majorHAnsi" w:eastAsia="Calibri" w:hAnsiTheme="majorHAnsi" w:cstheme="majorHAnsi"/>
          <w:sz w:val="22"/>
          <w:szCs w:val="22"/>
        </w:rPr>
        <w:t>.- La Dirección de Redistribución de Tierras será la responsable de difundir e implementar el presente instrumento, así como de solicitar su reforma cuando se detecte oportunidades de mejora o cuando el caso lo amerite.</w:t>
      </w:r>
    </w:p>
    <w:p w14:paraId="5ED65B79" w14:textId="77777777" w:rsidR="00F0254C" w:rsidRPr="00B24A80" w:rsidRDefault="00F0254C" w:rsidP="00F0254C">
      <w:pPr>
        <w:spacing w:line="276" w:lineRule="auto"/>
        <w:rPr>
          <w:rFonts w:asciiTheme="majorHAnsi" w:eastAsia="Calibri" w:hAnsiTheme="majorHAnsi" w:cstheme="majorHAnsi"/>
          <w:b/>
          <w:sz w:val="22"/>
          <w:szCs w:val="22"/>
        </w:rPr>
      </w:pPr>
    </w:p>
    <w:p w14:paraId="137BB63D" w14:textId="1B7E7EE2" w:rsidR="00DC27E8" w:rsidRPr="00B24A80" w:rsidRDefault="007F5505" w:rsidP="00F0254C">
      <w:pPr>
        <w:spacing w:line="276" w:lineRule="auto"/>
        <w:rPr>
          <w:rFonts w:asciiTheme="majorHAnsi" w:eastAsia="Calibri" w:hAnsiTheme="majorHAnsi" w:cstheme="majorHAnsi"/>
          <w:b/>
          <w:sz w:val="22"/>
          <w:szCs w:val="22"/>
        </w:rPr>
      </w:pPr>
      <w:r w:rsidRPr="00B24A80">
        <w:rPr>
          <w:rFonts w:asciiTheme="majorHAnsi" w:eastAsia="Calibri" w:hAnsiTheme="majorHAnsi" w:cstheme="majorHAnsi"/>
          <w:b/>
          <w:sz w:val="22"/>
          <w:szCs w:val="22"/>
        </w:rPr>
        <w:t>DISPOSICION FINAL</w:t>
      </w:r>
    </w:p>
    <w:p w14:paraId="4F1D3F09" w14:textId="77777777" w:rsidR="00F0254C" w:rsidRPr="00B24A80" w:rsidRDefault="00F0254C" w:rsidP="00F0254C">
      <w:pPr>
        <w:spacing w:line="276" w:lineRule="auto"/>
        <w:rPr>
          <w:rFonts w:asciiTheme="majorHAnsi" w:eastAsia="Calibri" w:hAnsiTheme="majorHAnsi" w:cstheme="majorHAnsi"/>
          <w:sz w:val="22"/>
          <w:szCs w:val="22"/>
        </w:rPr>
      </w:pPr>
    </w:p>
    <w:p w14:paraId="0C0B1077" w14:textId="21B8F1B4"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El presente Acuerdo Ministerial entrará en vigencia a partir de la fecha de su suscripción, sin perjuicio de su publicación en el Registro Oficial.</w:t>
      </w:r>
    </w:p>
    <w:p w14:paraId="1F835197" w14:textId="7777777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Dado en la ciudad de Quito, a 21 de octubre de 2019.</w:t>
      </w:r>
    </w:p>
    <w:p w14:paraId="0BDDD5B7" w14:textId="7777777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f.) Ing. Xavier Lazo Guerrero, Ministro de Agricultura y Ganadería.</w:t>
      </w:r>
    </w:p>
    <w:p w14:paraId="585C885F" w14:textId="59B235E7" w:rsidR="00DC27E8" w:rsidRPr="00B24A80" w:rsidRDefault="007F5505" w:rsidP="00F0254C">
      <w:pPr>
        <w:spacing w:line="276" w:lineRule="auto"/>
        <w:rPr>
          <w:rFonts w:asciiTheme="majorHAnsi" w:eastAsia="Calibri" w:hAnsiTheme="majorHAnsi" w:cstheme="majorHAnsi"/>
          <w:sz w:val="22"/>
          <w:szCs w:val="22"/>
        </w:rPr>
      </w:pPr>
      <w:r w:rsidRPr="00B24A80">
        <w:rPr>
          <w:rFonts w:asciiTheme="majorHAnsi" w:eastAsia="Calibri" w:hAnsiTheme="majorHAnsi" w:cstheme="majorHAnsi"/>
          <w:sz w:val="22"/>
          <w:szCs w:val="22"/>
        </w:rPr>
        <w:t xml:space="preserve">MINISTERIO DE AGRICULTURA Y </w:t>
      </w:r>
      <w:r w:rsidR="00E27D15" w:rsidRPr="00B24A80">
        <w:rPr>
          <w:rFonts w:asciiTheme="majorHAnsi" w:eastAsia="Calibri" w:hAnsiTheme="majorHAnsi" w:cstheme="majorHAnsi"/>
          <w:sz w:val="22"/>
          <w:szCs w:val="22"/>
        </w:rPr>
        <w:t>GANADERIA. -</w:t>
      </w:r>
      <w:r w:rsidRPr="00B24A80">
        <w:rPr>
          <w:rFonts w:asciiTheme="majorHAnsi" w:eastAsia="Calibri" w:hAnsiTheme="majorHAnsi" w:cstheme="majorHAnsi"/>
          <w:sz w:val="22"/>
          <w:szCs w:val="22"/>
        </w:rPr>
        <w:t xml:space="preserve"> Es fiel copia del </w:t>
      </w:r>
      <w:r w:rsidR="00F97917" w:rsidRPr="00B24A80">
        <w:rPr>
          <w:rFonts w:asciiTheme="majorHAnsi" w:eastAsia="Calibri" w:hAnsiTheme="majorHAnsi" w:cstheme="majorHAnsi"/>
          <w:sz w:val="22"/>
          <w:szCs w:val="22"/>
        </w:rPr>
        <w:t>original. -</w:t>
      </w:r>
      <w:r w:rsidRPr="00B24A80">
        <w:rPr>
          <w:rFonts w:asciiTheme="majorHAnsi" w:eastAsia="Calibri" w:hAnsiTheme="majorHAnsi" w:cstheme="majorHAnsi"/>
          <w:sz w:val="22"/>
          <w:szCs w:val="22"/>
        </w:rPr>
        <w:t xml:space="preserve"> f.) Ilegible, Dirección de Gestión Documental y </w:t>
      </w:r>
      <w:r w:rsidR="00F97917" w:rsidRPr="00B24A80">
        <w:rPr>
          <w:rFonts w:asciiTheme="majorHAnsi" w:eastAsia="Calibri" w:hAnsiTheme="majorHAnsi" w:cstheme="majorHAnsi"/>
          <w:sz w:val="22"/>
          <w:szCs w:val="22"/>
        </w:rPr>
        <w:t>Archivo. -</w:t>
      </w:r>
      <w:r w:rsidRPr="00B24A80">
        <w:rPr>
          <w:rFonts w:asciiTheme="majorHAnsi" w:eastAsia="Calibri" w:hAnsiTheme="majorHAnsi" w:cstheme="majorHAnsi"/>
          <w:sz w:val="22"/>
          <w:szCs w:val="22"/>
        </w:rPr>
        <w:t xml:space="preserve"> 12 de noviembre de 2019.</w:t>
      </w:r>
    </w:p>
    <w:p w14:paraId="70E89BDF" w14:textId="170DEDF4" w:rsidR="001E32B9" w:rsidRPr="00B24A80" w:rsidRDefault="001E32B9">
      <w:pPr>
        <w:rPr>
          <w:rFonts w:asciiTheme="majorHAnsi" w:eastAsia="Calibri" w:hAnsiTheme="majorHAnsi" w:cstheme="majorHAnsi"/>
          <w:sz w:val="22"/>
          <w:szCs w:val="22"/>
        </w:rPr>
      </w:pPr>
      <w:r w:rsidRPr="00B24A80">
        <w:rPr>
          <w:rFonts w:asciiTheme="majorHAnsi" w:eastAsia="Calibri" w:hAnsiTheme="majorHAnsi" w:cstheme="majorHAnsi"/>
          <w:sz w:val="22"/>
          <w:szCs w:val="22"/>
        </w:rPr>
        <w:br w:type="page"/>
      </w:r>
    </w:p>
    <w:p w14:paraId="74C5238E" w14:textId="2A4D7E95" w:rsidR="00DC27E8" w:rsidRPr="00B24A80" w:rsidRDefault="007F5505" w:rsidP="001E32B9">
      <w:pPr>
        <w:pStyle w:val="Ttulo1"/>
        <w:rPr>
          <w:rFonts w:cstheme="majorHAnsi"/>
          <w:sz w:val="22"/>
          <w:szCs w:val="22"/>
        </w:rPr>
      </w:pPr>
      <w:bookmarkStart w:id="436" w:name="_Toc81085703"/>
      <w:bookmarkStart w:id="437" w:name="_Toc181374144"/>
      <w:r w:rsidRPr="00B24A80">
        <w:rPr>
          <w:rFonts w:cstheme="majorHAnsi"/>
          <w:sz w:val="22"/>
          <w:szCs w:val="22"/>
        </w:rPr>
        <w:lastRenderedPageBreak/>
        <w:t xml:space="preserve">Anexo No. </w:t>
      </w:r>
      <w:r w:rsidR="007A76A9" w:rsidRPr="00B24A80">
        <w:rPr>
          <w:rFonts w:cstheme="majorHAnsi"/>
          <w:sz w:val="22"/>
          <w:szCs w:val="22"/>
        </w:rPr>
        <w:t>3</w:t>
      </w:r>
      <w:bookmarkEnd w:id="436"/>
      <w:bookmarkEnd w:id="437"/>
    </w:p>
    <w:p w14:paraId="082BECAA" w14:textId="31F4D828" w:rsidR="00171A53" w:rsidRPr="00BC6835" w:rsidRDefault="00E84972" w:rsidP="00BC6835">
      <w:pPr>
        <w:rPr>
          <w:rFonts w:ascii="Calibri" w:hAnsi="Calibri" w:cs="Calibri"/>
          <w:b/>
          <w:bCs/>
          <w:sz w:val="20"/>
          <w:szCs w:val="20"/>
        </w:rPr>
      </w:pPr>
      <w:r w:rsidRPr="00BC6835">
        <w:rPr>
          <w:rFonts w:ascii="Calibri" w:hAnsi="Calibri" w:cs="Calibri"/>
          <w:b/>
          <w:bCs/>
          <w:sz w:val="20"/>
          <w:szCs w:val="20"/>
        </w:rPr>
        <w:t xml:space="preserve">NORMA QUE DETERMINA LAS </w:t>
      </w:r>
      <w:r w:rsidR="00171A53" w:rsidRPr="00BC6835">
        <w:rPr>
          <w:rFonts w:ascii="Calibri" w:hAnsi="Calibri" w:cs="Calibri"/>
          <w:b/>
          <w:bCs/>
          <w:sz w:val="20"/>
          <w:szCs w:val="20"/>
        </w:rPr>
        <w:t>AFECTACIONES POR OBRA O INTERÉS PÚBLICO Y PROTECCIÓN DE INFRAESTRUCTURAS</w:t>
      </w:r>
    </w:p>
    <w:p w14:paraId="1822DBF9" w14:textId="77777777" w:rsidR="00171A53" w:rsidRPr="00BC6835" w:rsidRDefault="00171A53" w:rsidP="00BC6835">
      <w:pPr>
        <w:rPr>
          <w:rFonts w:ascii="Calibri" w:hAnsi="Calibri" w:cs="Calibri"/>
          <w:sz w:val="20"/>
          <w:szCs w:val="20"/>
        </w:rPr>
      </w:pPr>
      <w:r w:rsidRPr="00BC6835">
        <w:rPr>
          <w:rFonts w:ascii="Calibri" w:hAnsi="Calibri" w:cs="Calibri"/>
          <w:sz w:val="20"/>
          <w:szCs w:val="20"/>
        </w:rPr>
        <w:t>CAPÍTULO I: AFECTACIONES POR OBRA O INTERÉS PÚBLICO</w:t>
      </w:r>
    </w:p>
    <w:p w14:paraId="5FC6630A" w14:textId="77777777" w:rsidR="00171A53" w:rsidRPr="00BC6835" w:rsidRDefault="00171A53" w:rsidP="00BC6835">
      <w:pPr>
        <w:rPr>
          <w:rFonts w:ascii="Calibri" w:hAnsi="Calibri" w:cs="Calibri"/>
          <w:sz w:val="20"/>
          <w:szCs w:val="20"/>
        </w:rPr>
      </w:pPr>
      <w:r w:rsidRPr="00BC6835">
        <w:rPr>
          <w:rFonts w:ascii="Calibri" w:hAnsi="Calibri" w:cs="Calibri"/>
          <w:sz w:val="20"/>
          <w:szCs w:val="20"/>
        </w:rPr>
        <w:t>Artículo 1. Afectaciones en suelo para equipamientos.</w:t>
      </w:r>
    </w:p>
    <w:p w14:paraId="0C5DAB5D" w14:textId="2365D031" w:rsidR="00171A53" w:rsidRPr="00BC6835" w:rsidRDefault="00171A53" w:rsidP="00BC6835">
      <w:pPr>
        <w:rPr>
          <w:rFonts w:ascii="Calibri" w:hAnsi="Calibri" w:cs="Calibri"/>
          <w:sz w:val="20"/>
          <w:szCs w:val="20"/>
        </w:rPr>
      </w:pPr>
      <w:r w:rsidRPr="00BC6835">
        <w:rPr>
          <w:rFonts w:ascii="Calibri" w:hAnsi="Calibri" w:cs="Calibri"/>
          <w:sz w:val="20"/>
          <w:szCs w:val="20"/>
        </w:rPr>
        <w:t>Las afectaciones definidas en el Plan de Uso y Gestión del Suelo (PUGS) que se destinen a dotar equipamientos para su desarrollo o consolidación se ejecutarán a través de unidades de actuación urbanística o planes parciales. Estas afectaciones transformarán el suelo privado en suelo público mediante cesiones obligatorias, concesión onerosa de derechos, reajuste de terrenos y reparto equitativo de cargas y beneficios, de acuerdo con lo establecido en la Ley Orgánica de Ordenamiento Territorial, Uso y Gestión del Suelo (LOOTUGS).</w:t>
      </w:r>
    </w:p>
    <w:p w14:paraId="07BE72DA" w14:textId="77777777" w:rsidR="00BC6835" w:rsidRDefault="00171A53" w:rsidP="00BC6835">
      <w:pPr>
        <w:rPr>
          <w:rFonts w:ascii="Calibri" w:hAnsi="Calibri" w:cs="Calibri"/>
          <w:sz w:val="20"/>
          <w:szCs w:val="20"/>
        </w:rPr>
      </w:pPr>
      <w:r w:rsidRPr="00BC6835">
        <w:rPr>
          <w:rFonts w:ascii="Calibri" w:hAnsi="Calibri" w:cs="Calibri"/>
          <w:sz w:val="20"/>
          <w:szCs w:val="20"/>
        </w:rPr>
        <w:t>Artículo 2. Afectaciones en vivienda de interés social.</w:t>
      </w:r>
    </w:p>
    <w:p w14:paraId="0083C257" w14:textId="3048C021" w:rsidR="00171A53" w:rsidRPr="00BC6835" w:rsidRDefault="00171A53" w:rsidP="00BC6835">
      <w:pPr>
        <w:rPr>
          <w:rFonts w:ascii="Calibri" w:hAnsi="Calibri" w:cs="Calibri"/>
          <w:sz w:val="20"/>
          <w:szCs w:val="20"/>
        </w:rPr>
      </w:pPr>
      <w:r w:rsidRPr="00BC6835">
        <w:rPr>
          <w:rFonts w:ascii="Calibri" w:hAnsi="Calibri" w:cs="Calibri"/>
          <w:sz w:val="20"/>
          <w:szCs w:val="20"/>
        </w:rPr>
        <w:t>Las viviendas de calidad inferior a la normativa serán gestionadas mediante la instauración del Banco de Suelos, la declaración de Zonas Especiales de Interés Social, y la declaratoria de utilidad pública para su eventual expropiación, con fondos provenientes de la concesión onerosa de derechos. Esto será aplicado conforme lo dispone el Código Orgánico de Organización Territorial, Autonomía y Descentralización (COOTAD) y la LOOTUGS.</w:t>
      </w:r>
    </w:p>
    <w:p w14:paraId="59C335E2" w14:textId="77777777" w:rsidR="00171A53" w:rsidRPr="00BC6835" w:rsidRDefault="00171A53" w:rsidP="00BC6835">
      <w:pPr>
        <w:rPr>
          <w:rFonts w:ascii="Calibri" w:hAnsi="Calibri" w:cs="Calibri"/>
          <w:sz w:val="20"/>
          <w:szCs w:val="20"/>
        </w:rPr>
      </w:pPr>
      <w:r w:rsidRPr="00BC6835">
        <w:rPr>
          <w:rFonts w:ascii="Calibri" w:hAnsi="Calibri" w:cs="Calibri"/>
          <w:sz w:val="20"/>
          <w:szCs w:val="20"/>
        </w:rPr>
        <w:t>CAPÍTULO II: AFECTACIONES POR PROTECCIÓN NATURAL Y DE AMENAZAS</w:t>
      </w:r>
    </w:p>
    <w:p w14:paraId="229009DB" w14:textId="77777777" w:rsidR="00BC6835" w:rsidRDefault="00171A53" w:rsidP="00BC6835">
      <w:pPr>
        <w:rPr>
          <w:rFonts w:ascii="Calibri" w:hAnsi="Calibri" w:cs="Calibri"/>
          <w:sz w:val="20"/>
          <w:szCs w:val="20"/>
        </w:rPr>
      </w:pPr>
      <w:r w:rsidRPr="00BC6835">
        <w:rPr>
          <w:rFonts w:ascii="Calibri" w:hAnsi="Calibri" w:cs="Calibri"/>
          <w:sz w:val="20"/>
          <w:szCs w:val="20"/>
        </w:rPr>
        <w:t>Artículo 3. Definición de amenaza</w:t>
      </w:r>
      <w:r w:rsidR="00BC6835">
        <w:rPr>
          <w:rFonts w:ascii="Calibri" w:hAnsi="Calibri" w:cs="Calibri"/>
          <w:sz w:val="20"/>
          <w:szCs w:val="20"/>
        </w:rPr>
        <w:t xml:space="preserve">s. </w:t>
      </w:r>
    </w:p>
    <w:p w14:paraId="1471F506" w14:textId="3DE558E4" w:rsidR="00171A53" w:rsidRPr="00BC6835" w:rsidRDefault="00171A53" w:rsidP="00BC6835">
      <w:pPr>
        <w:rPr>
          <w:rFonts w:ascii="Calibri" w:hAnsi="Calibri" w:cs="Calibri"/>
          <w:sz w:val="20"/>
          <w:szCs w:val="20"/>
        </w:rPr>
      </w:pPr>
      <w:r w:rsidRPr="00BC6835">
        <w:rPr>
          <w:rFonts w:ascii="Calibri" w:hAnsi="Calibri" w:cs="Calibri"/>
          <w:sz w:val="20"/>
          <w:szCs w:val="20"/>
        </w:rPr>
        <w:t>Para los efectos de esta ordenanza, se entiende por amenazas a cualquier fenómeno natural o actividad humana que pueda causar daño a la salud, la vida, la propiedad, el medio ambiente o la infraestructura. Las amenazas se clasificarán en:</w:t>
      </w:r>
    </w:p>
    <w:p w14:paraId="30F6F45F" w14:textId="199D3369" w:rsidR="00171A53" w:rsidRPr="00BC6835" w:rsidRDefault="00171A53" w:rsidP="00BC6835">
      <w:pPr>
        <w:rPr>
          <w:rFonts w:ascii="Calibri" w:hAnsi="Calibri" w:cs="Calibri"/>
          <w:sz w:val="20"/>
          <w:szCs w:val="20"/>
        </w:rPr>
      </w:pPr>
      <w:r w:rsidRPr="00BC6835">
        <w:rPr>
          <w:rFonts w:ascii="Calibri" w:hAnsi="Calibri" w:cs="Calibri"/>
          <w:sz w:val="20"/>
          <w:szCs w:val="20"/>
        </w:rPr>
        <w:t>a. Amenazas naturales, definidas según lo establecido por la Secretaría de Gestión de Riesgos (SGR) y el UNISDR.</w:t>
      </w:r>
      <w:r w:rsidRPr="00BC6835">
        <w:rPr>
          <w:rFonts w:ascii="Calibri" w:hAnsi="Calibri" w:cs="Calibri"/>
          <w:sz w:val="20"/>
          <w:szCs w:val="20"/>
        </w:rPr>
        <w:br/>
        <w:t>b. Amenazas antropógenas o de origen humano, inducidas por actividades y decisiones humanas.</w:t>
      </w:r>
    </w:p>
    <w:p w14:paraId="64617415" w14:textId="77777777" w:rsidR="00BC6835" w:rsidRDefault="00171A53" w:rsidP="00BC6835">
      <w:pPr>
        <w:rPr>
          <w:rFonts w:ascii="Calibri" w:hAnsi="Calibri" w:cs="Calibri"/>
          <w:sz w:val="20"/>
          <w:szCs w:val="20"/>
        </w:rPr>
      </w:pPr>
      <w:r w:rsidRPr="00BC6835">
        <w:rPr>
          <w:rFonts w:ascii="Calibri" w:hAnsi="Calibri" w:cs="Calibri"/>
          <w:sz w:val="20"/>
          <w:szCs w:val="20"/>
        </w:rPr>
        <w:t>Artículo 4. Zonificación de áreas de riesgo.</w:t>
      </w:r>
    </w:p>
    <w:p w14:paraId="0D09BA94" w14:textId="09AF31EF" w:rsidR="00171A53" w:rsidRPr="00BC6835" w:rsidRDefault="00171A53" w:rsidP="00BC6835">
      <w:pPr>
        <w:rPr>
          <w:rFonts w:ascii="Calibri" w:hAnsi="Calibri" w:cs="Calibri"/>
          <w:sz w:val="20"/>
          <w:szCs w:val="20"/>
        </w:rPr>
      </w:pPr>
      <w:r w:rsidRPr="00BC6835">
        <w:rPr>
          <w:rFonts w:ascii="Calibri" w:hAnsi="Calibri" w:cs="Calibri"/>
          <w:sz w:val="20"/>
          <w:szCs w:val="20"/>
        </w:rPr>
        <w:t>Las áreas con riesgos de remoción de masas, inundaciones o cualquier otro fenómeno natural estarán sujetas a zonificación de acuerdo con los niveles de susceptibilidad establecidos por la SGR. Las zonas serán clasificadas en los siguientes niveles de susceptibilidad, con las correspondientes restricciones de uso:</w:t>
      </w:r>
    </w:p>
    <w:p w14:paraId="49477FFB" w14:textId="77777777" w:rsidR="00171A53" w:rsidRPr="00B24A80" w:rsidRDefault="00171A53" w:rsidP="00CA24CF">
      <w:pPr>
        <w:widowControl/>
        <w:numPr>
          <w:ilvl w:val="0"/>
          <w:numId w:val="119"/>
        </w:numPr>
        <w:spacing w:before="100" w:beforeAutospacing="1" w:after="100" w:afterAutospacing="1"/>
        <w:jc w:val="left"/>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Muy alta (5):</w:t>
      </w:r>
      <w:r w:rsidRPr="00B24A80">
        <w:rPr>
          <w:rFonts w:asciiTheme="majorHAnsi" w:eastAsia="Times New Roman" w:hAnsiTheme="majorHAnsi" w:cstheme="majorHAnsi"/>
          <w:sz w:val="22"/>
          <w:szCs w:val="22"/>
          <w:lang w:eastAsia="es-EC"/>
        </w:rPr>
        <w:t xml:space="preserve"> Uso forestal exclusivo.</w:t>
      </w:r>
    </w:p>
    <w:p w14:paraId="57058D35" w14:textId="77777777" w:rsidR="00171A53" w:rsidRPr="00B24A80" w:rsidRDefault="00171A53" w:rsidP="00CA24CF">
      <w:pPr>
        <w:widowControl/>
        <w:numPr>
          <w:ilvl w:val="0"/>
          <w:numId w:val="119"/>
        </w:numPr>
        <w:spacing w:before="100" w:beforeAutospacing="1" w:after="100" w:afterAutospacing="1"/>
        <w:jc w:val="left"/>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Alta (4):</w:t>
      </w:r>
      <w:r w:rsidRPr="00B24A80">
        <w:rPr>
          <w:rFonts w:asciiTheme="majorHAnsi" w:eastAsia="Times New Roman" w:hAnsiTheme="majorHAnsi" w:cstheme="majorHAnsi"/>
          <w:sz w:val="22"/>
          <w:szCs w:val="22"/>
          <w:lang w:eastAsia="es-EC"/>
        </w:rPr>
        <w:t xml:space="preserve"> Obras prohibidas, uso forestal.</w:t>
      </w:r>
    </w:p>
    <w:p w14:paraId="0B071FF8" w14:textId="77777777" w:rsidR="00171A53" w:rsidRPr="00B24A80" w:rsidRDefault="00171A53" w:rsidP="00CA24CF">
      <w:pPr>
        <w:widowControl/>
        <w:numPr>
          <w:ilvl w:val="0"/>
          <w:numId w:val="119"/>
        </w:numPr>
        <w:spacing w:before="100" w:beforeAutospacing="1" w:after="100" w:afterAutospacing="1"/>
        <w:jc w:val="left"/>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Media (3):</w:t>
      </w:r>
      <w:r w:rsidRPr="00B24A80">
        <w:rPr>
          <w:rFonts w:asciiTheme="majorHAnsi" w:eastAsia="Times New Roman" w:hAnsiTheme="majorHAnsi" w:cstheme="majorHAnsi"/>
          <w:sz w:val="22"/>
          <w:szCs w:val="22"/>
          <w:lang w:eastAsia="es-EC"/>
        </w:rPr>
        <w:t xml:space="preserve"> Riesgo mitigable con estudios geotécnicos.</w:t>
      </w:r>
    </w:p>
    <w:p w14:paraId="2B622E48" w14:textId="6BF96A6E" w:rsidR="00171A53" w:rsidRPr="00B24A80" w:rsidRDefault="00171A53" w:rsidP="00CA24CF">
      <w:pPr>
        <w:widowControl/>
        <w:numPr>
          <w:ilvl w:val="0"/>
          <w:numId w:val="119"/>
        </w:numPr>
        <w:spacing w:before="100" w:beforeAutospacing="1" w:after="100" w:afterAutospacing="1"/>
        <w:jc w:val="left"/>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Baja (2):</w:t>
      </w:r>
      <w:r w:rsidRPr="00B24A80">
        <w:rPr>
          <w:rFonts w:asciiTheme="majorHAnsi" w:eastAsia="Times New Roman" w:hAnsiTheme="majorHAnsi" w:cstheme="majorHAnsi"/>
          <w:sz w:val="22"/>
          <w:szCs w:val="22"/>
          <w:lang w:eastAsia="es-EC"/>
        </w:rPr>
        <w:t xml:space="preserve"> Riesgo bajo, pero sujeto a monitoreo.</w:t>
      </w:r>
    </w:p>
    <w:p w14:paraId="70965B0B" w14:textId="71FF8EE6" w:rsidR="00171A53" w:rsidRPr="00B24A80" w:rsidRDefault="00171A53" w:rsidP="00BC6835">
      <w:pPr>
        <w:rPr>
          <w:rFonts w:asciiTheme="majorHAnsi" w:eastAsia="Times New Roman" w:hAnsiTheme="majorHAnsi" w:cstheme="majorHAnsi"/>
          <w:b/>
          <w:bCs/>
          <w:sz w:val="22"/>
          <w:szCs w:val="22"/>
          <w:lang w:eastAsia="es-EC"/>
        </w:rPr>
      </w:pPr>
      <w:r w:rsidRPr="00B24A80">
        <w:rPr>
          <w:rFonts w:asciiTheme="majorHAnsi" w:eastAsia="Times New Roman" w:hAnsiTheme="majorHAnsi" w:cstheme="majorHAnsi"/>
          <w:b/>
          <w:bCs/>
          <w:sz w:val="22"/>
          <w:szCs w:val="22"/>
          <w:lang w:eastAsia="es-EC"/>
        </w:rPr>
        <w:t>CAPÍTULO III: FRANJAS DE PROTECCIÓN</w:t>
      </w:r>
    </w:p>
    <w:p w14:paraId="532F9B7F" w14:textId="77777777"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5.</w:t>
      </w:r>
      <w:r w:rsidRPr="00B24A80">
        <w:rPr>
          <w:rFonts w:asciiTheme="majorHAnsi" w:eastAsia="Times New Roman" w:hAnsiTheme="majorHAnsi" w:cstheme="majorHAnsi"/>
          <w:sz w:val="22"/>
          <w:szCs w:val="22"/>
          <w:lang w:eastAsia="es-EC"/>
        </w:rPr>
        <w:t xml:space="preserve"> Franjas de protección para infraestructura petrolera.</w:t>
      </w:r>
      <w:r w:rsidRPr="00B24A80">
        <w:rPr>
          <w:rFonts w:asciiTheme="majorHAnsi" w:eastAsia="Times New Roman" w:hAnsiTheme="majorHAnsi" w:cstheme="majorHAnsi"/>
          <w:sz w:val="22"/>
          <w:szCs w:val="22"/>
          <w:lang w:eastAsia="es-EC"/>
        </w:rPr>
        <w:br/>
        <w:t xml:space="preserve">Se establecen franjas de protección alrededor de las siguientes infraestructuras de la industria petrolera, de conformidad con el </w:t>
      </w:r>
      <w:r w:rsidRPr="00B24A80">
        <w:rPr>
          <w:rFonts w:asciiTheme="majorHAnsi" w:eastAsia="Times New Roman" w:hAnsiTheme="majorHAnsi" w:cstheme="majorHAnsi"/>
          <w:b/>
          <w:bCs/>
          <w:sz w:val="22"/>
          <w:szCs w:val="22"/>
          <w:lang w:eastAsia="es-EC"/>
        </w:rPr>
        <w:t>Decreto Supremo N° 616, Registro Oficial N° 584</w:t>
      </w:r>
      <w:r w:rsidRPr="00B24A80">
        <w:rPr>
          <w:rFonts w:asciiTheme="majorHAnsi" w:eastAsia="Times New Roman" w:hAnsiTheme="majorHAnsi" w:cstheme="majorHAnsi"/>
          <w:sz w:val="22"/>
          <w:szCs w:val="22"/>
          <w:lang w:eastAsia="es-EC"/>
        </w:rPr>
        <w:t xml:space="preserve"> y las normas de la </w:t>
      </w:r>
      <w:r w:rsidRPr="00B24A80">
        <w:rPr>
          <w:rFonts w:asciiTheme="majorHAnsi" w:eastAsia="Times New Roman" w:hAnsiTheme="majorHAnsi" w:cstheme="majorHAnsi"/>
          <w:b/>
          <w:bCs/>
          <w:sz w:val="22"/>
          <w:szCs w:val="22"/>
          <w:lang w:eastAsia="es-EC"/>
        </w:rPr>
        <w:t>Agencia de Regulación y Control Hidrocarburífero (ARCH)</w:t>
      </w:r>
      <w:r w:rsidRPr="00B24A80">
        <w:rPr>
          <w:rFonts w:asciiTheme="majorHAnsi" w:eastAsia="Times New Roman" w:hAnsiTheme="majorHAnsi" w:cstheme="majorHAnsi"/>
          <w:sz w:val="22"/>
          <w:szCs w:val="22"/>
          <w:lang w:eastAsia="es-EC"/>
        </w:rPr>
        <w:t>:</w:t>
      </w:r>
      <w:r w:rsidRPr="00B24A80">
        <w:rPr>
          <w:rFonts w:asciiTheme="majorHAnsi" w:eastAsia="Times New Roman" w:hAnsiTheme="majorHAnsi" w:cstheme="majorHAnsi"/>
          <w:sz w:val="22"/>
          <w:szCs w:val="22"/>
          <w:lang w:eastAsia="es-EC"/>
        </w:rPr>
        <w:br/>
        <w:t xml:space="preserve">a. </w:t>
      </w:r>
      <w:r w:rsidRPr="00B24A80">
        <w:rPr>
          <w:rFonts w:asciiTheme="majorHAnsi" w:eastAsia="Times New Roman" w:hAnsiTheme="majorHAnsi" w:cstheme="majorHAnsi"/>
          <w:b/>
          <w:bCs/>
          <w:sz w:val="22"/>
          <w:szCs w:val="22"/>
          <w:lang w:eastAsia="es-EC"/>
        </w:rPr>
        <w:t>Mecheros:</w:t>
      </w:r>
      <w:r w:rsidRPr="00B24A80">
        <w:rPr>
          <w:rFonts w:asciiTheme="majorHAnsi" w:eastAsia="Times New Roman" w:hAnsiTheme="majorHAnsi" w:cstheme="majorHAnsi"/>
          <w:sz w:val="22"/>
          <w:szCs w:val="22"/>
          <w:lang w:eastAsia="es-EC"/>
        </w:rPr>
        <w:t xml:space="preserve"> Franja de 500 metros desde el borde de la instalación.</w:t>
      </w:r>
      <w:r w:rsidRPr="00B24A80">
        <w:rPr>
          <w:rFonts w:asciiTheme="majorHAnsi" w:eastAsia="Times New Roman" w:hAnsiTheme="majorHAnsi" w:cstheme="majorHAnsi"/>
          <w:sz w:val="22"/>
          <w:szCs w:val="22"/>
          <w:lang w:eastAsia="es-EC"/>
        </w:rPr>
        <w:br/>
        <w:t xml:space="preserve">b. </w:t>
      </w:r>
      <w:r w:rsidRPr="00B24A80">
        <w:rPr>
          <w:rFonts w:asciiTheme="majorHAnsi" w:eastAsia="Times New Roman" w:hAnsiTheme="majorHAnsi" w:cstheme="majorHAnsi"/>
          <w:b/>
          <w:bCs/>
          <w:sz w:val="22"/>
          <w:szCs w:val="22"/>
          <w:lang w:eastAsia="es-EC"/>
        </w:rPr>
        <w:t>Oleoductos:</w:t>
      </w:r>
      <w:r w:rsidRPr="00B24A80">
        <w:rPr>
          <w:rFonts w:asciiTheme="majorHAnsi" w:eastAsia="Times New Roman" w:hAnsiTheme="majorHAnsi" w:cstheme="majorHAnsi"/>
          <w:sz w:val="22"/>
          <w:szCs w:val="22"/>
          <w:lang w:eastAsia="es-EC"/>
        </w:rPr>
        <w:t xml:space="preserve"> Franja de 30 metros, 15 metros desde el eje del tubo.</w:t>
      </w:r>
      <w:r w:rsidRPr="00B24A80">
        <w:rPr>
          <w:rFonts w:asciiTheme="majorHAnsi" w:eastAsia="Times New Roman" w:hAnsiTheme="majorHAnsi" w:cstheme="majorHAnsi"/>
          <w:sz w:val="22"/>
          <w:szCs w:val="22"/>
          <w:lang w:eastAsia="es-EC"/>
        </w:rPr>
        <w:br/>
        <w:t xml:space="preserve">c. </w:t>
      </w:r>
      <w:r w:rsidRPr="00B24A80">
        <w:rPr>
          <w:rFonts w:asciiTheme="majorHAnsi" w:eastAsia="Times New Roman" w:hAnsiTheme="majorHAnsi" w:cstheme="majorHAnsi"/>
          <w:b/>
          <w:bCs/>
          <w:sz w:val="22"/>
          <w:szCs w:val="22"/>
          <w:lang w:eastAsia="es-EC"/>
        </w:rPr>
        <w:t>Plantas eléctricas y tanques de combustible:</w:t>
      </w:r>
      <w:r w:rsidRPr="00B24A80">
        <w:rPr>
          <w:rFonts w:asciiTheme="majorHAnsi" w:eastAsia="Times New Roman" w:hAnsiTheme="majorHAnsi" w:cstheme="majorHAnsi"/>
          <w:sz w:val="22"/>
          <w:szCs w:val="22"/>
          <w:lang w:eastAsia="es-EC"/>
        </w:rPr>
        <w:t xml:space="preserve"> Franja de 100 metros desde el borde de la instalación.</w:t>
      </w:r>
      <w:r w:rsidRPr="00B24A80">
        <w:rPr>
          <w:rFonts w:asciiTheme="majorHAnsi" w:eastAsia="Times New Roman" w:hAnsiTheme="majorHAnsi" w:cstheme="majorHAnsi"/>
          <w:sz w:val="22"/>
          <w:szCs w:val="22"/>
          <w:lang w:eastAsia="es-EC"/>
        </w:rPr>
        <w:br/>
        <w:t xml:space="preserve">d. </w:t>
      </w:r>
      <w:r w:rsidRPr="00B24A80">
        <w:rPr>
          <w:rFonts w:asciiTheme="majorHAnsi" w:eastAsia="Times New Roman" w:hAnsiTheme="majorHAnsi" w:cstheme="majorHAnsi"/>
          <w:b/>
          <w:bCs/>
          <w:sz w:val="22"/>
          <w:szCs w:val="22"/>
          <w:lang w:eastAsia="es-EC"/>
        </w:rPr>
        <w:t>Lagunas de oxidación y plantas de procesamiento de lodos:</w:t>
      </w:r>
      <w:r w:rsidRPr="00B24A80">
        <w:rPr>
          <w:rFonts w:asciiTheme="majorHAnsi" w:eastAsia="Times New Roman" w:hAnsiTheme="majorHAnsi" w:cstheme="majorHAnsi"/>
          <w:sz w:val="22"/>
          <w:szCs w:val="22"/>
          <w:lang w:eastAsia="es-EC"/>
        </w:rPr>
        <w:t xml:space="preserve"> Franja de 500 metros desde viviendas y 200 metros desde fuentes de agua.</w:t>
      </w:r>
    </w:p>
    <w:p w14:paraId="646D438E" w14:textId="77777777" w:rsidR="00171A53" w:rsidRPr="00B24A80" w:rsidRDefault="00171A53" w:rsidP="00171A53">
      <w:pPr>
        <w:spacing w:before="100" w:beforeAutospacing="1" w:after="100" w:afterAutospacing="1"/>
        <w:jc w:val="left"/>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lastRenderedPageBreak/>
        <w:t>Artículo 6.</w:t>
      </w:r>
      <w:r w:rsidRPr="00B24A80">
        <w:rPr>
          <w:rFonts w:asciiTheme="majorHAnsi" w:eastAsia="Times New Roman" w:hAnsiTheme="majorHAnsi" w:cstheme="majorHAnsi"/>
          <w:sz w:val="22"/>
          <w:szCs w:val="22"/>
          <w:lang w:eastAsia="es-EC"/>
        </w:rPr>
        <w:t xml:space="preserve"> Franjas de protección en canales de conducción de agua.</w:t>
      </w:r>
      <w:r w:rsidRPr="00B24A80">
        <w:rPr>
          <w:rFonts w:asciiTheme="majorHAnsi" w:eastAsia="Times New Roman" w:hAnsiTheme="majorHAnsi" w:cstheme="majorHAnsi"/>
          <w:sz w:val="22"/>
          <w:szCs w:val="22"/>
          <w:lang w:eastAsia="es-EC"/>
        </w:rPr>
        <w:br/>
        <w:t>Se deberán respetar las siguientes franjas de afectación para canales de conducción de agua:</w:t>
      </w:r>
      <w:r w:rsidRPr="00B24A80">
        <w:rPr>
          <w:rFonts w:asciiTheme="majorHAnsi" w:eastAsia="Times New Roman" w:hAnsiTheme="majorHAnsi" w:cstheme="majorHAnsi"/>
          <w:sz w:val="22"/>
          <w:szCs w:val="22"/>
          <w:lang w:eastAsia="es-EC"/>
        </w:rPr>
        <w:br/>
        <w:t xml:space="preserve">a. </w:t>
      </w:r>
      <w:r w:rsidRPr="00B24A80">
        <w:rPr>
          <w:rFonts w:asciiTheme="majorHAnsi" w:eastAsia="Times New Roman" w:hAnsiTheme="majorHAnsi" w:cstheme="majorHAnsi"/>
          <w:b/>
          <w:bCs/>
          <w:sz w:val="22"/>
          <w:szCs w:val="22"/>
          <w:lang w:eastAsia="es-EC"/>
        </w:rPr>
        <w:t>Canales de captación de agua:</w:t>
      </w:r>
      <w:r w:rsidRPr="00B24A80">
        <w:rPr>
          <w:rFonts w:asciiTheme="majorHAnsi" w:eastAsia="Times New Roman" w:hAnsiTheme="majorHAnsi" w:cstheme="majorHAnsi"/>
          <w:sz w:val="22"/>
          <w:szCs w:val="22"/>
          <w:lang w:eastAsia="es-EC"/>
        </w:rPr>
        <w:t xml:space="preserve"> 7,5 metros desde el eje del canal.</w:t>
      </w:r>
      <w:r w:rsidRPr="00B24A80">
        <w:rPr>
          <w:rFonts w:asciiTheme="majorHAnsi" w:eastAsia="Times New Roman" w:hAnsiTheme="majorHAnsi" w:cstheme="majorHAnsi"/>
          <w:sz w:val="22"/>
          <w:szCs w:val="22"/>
          <w:lang w:eastAsia="es-EC"/>
        </w:rPr>
        <w:br/>
        <w:t xml:space="preserve">b. </w:t>
      </w:r>
      <w:r w:rsidRPr="00B24A80">
        <w:rPr>
          <w:rFonts w:asciiTheme="majorHAnsi" w:eastAsia="Times New Roman" w:hAnsiTheme="majorHAnsi" w:cstheme="majorHAnsi"/>
          <w:b/>
          <w:bCs/>
          <w:sz w:val="22"/>
          <w:szCs w:val="22"/>
          <w:lang w:eastAsia="es-EC"/>
        </w:rPr>
        <w:t>Drenajes menores:</w:t>
      </w:r>
      <w:r w:rsidRPr="00B24A80">
        <w:rPr>
          <w:rFonts w:asciiTheme="majorHAnsi" w:eastAsia="Times New Roman" w:hAnsiTheme="majorHAnsi" w:cstheme="majorHAnsi"/>
          <w:sz w:val="22"/>
          <w:szCs w:val="22"/>
          <w:lang w:eastAsia="es-EC"/>
        </w:rPr>
        <w:t xml:space="preserve"> 15 metros desde el eje.</w:t>
      </w:r>
      <w:r w:rsidRPr="00B24A80">
        <w:rPr>
          <w:rFonts w:asciiTheme="majorHAnsi" w:eastAsia="Times New Roman" w:hAnsiTheme="majorHAnsi" w:cstheme="majorHAnsi"/>
          <w:sz w:val="22"/>
          <w:szCs w:val="22"/>
          <w:lang w:eastAsia="es-EC"/>
        </w:rPr>
        <w:br/>
        <w:t xml:space="preserve">c. </w:t>
      </w:r>
      <w:r w:rsidRPr="00B24A80">
        <w:rPr>
          <w:rFonts w:asciiTheme="majorHAnsi" w:eastAsia="Times New Roman" w:hAnsiTheme="majorHAnsi" w:cstheme="majorHAnsi"/>
          <w:b/>
          <w:bCs/>
          <w:sz w:val="22"/>
          <w:szCs w:val="22"/>
          <w:lang w:eastAsia="es-EC"/>
        </w:rPr>
        <w:t>Reservorios de agua:</w:t>
      </w:r>
      <w:r w:rsidRPr="00B24A80">
        <w:rPr>
          <w:rFonts w:asciiTheme="majorHAnsi" w:eastAsia="Times New Roman" w:hAnsiTheme="majorHAnsi" w:cstheme="majorHAnsi"/>
          <w:sz w:val="22"/>
          <w:szCs w:val="22"/>
          <w:lang w:eastAsia="es-EC"/>
        </w:rPr>
        <w:t xml:space="preserve"> 15 metros desde el borde.</w:t>
      </w:r>
      <w:r w:rsidRPr="00B24A80">
        <w:rPr>
          <w:rFonts w:asciiTheme="majorHAnsi" w:eastAsia="Times New Roman" w:hAnsiTheme="majorHAnsi" w:cstheme="majorHAnsi"/>
          <w:sz w:val="22"/>
          <w:szCs w:val="22"/>
          <w:lang w:eastAsia="es-EC"/>
        </w:rPr>
        <w:br/>
        <w:t xml:space="preserve">d. </w:t>
      </w:r>
      <w:r w:rsidRPr="00B24A80">
        <w:rPr>
          <w:rFonts w:asciiTheme="majorHAnsi" w:eastAsia="Times New Roman" w:hAnsiTheme="majorHAnsi" w:cstheme="majorHAnsi"/>
          <w:b/>
          <w:bCs/>
          <w:sz w:val="22"/>
          <w:szCs w:val="22"/>
          <w:lang w:eastAsia="es-EC"/>
        </w:rPr>
        <w:t>Plantas de tratamiento de agua potable:</w:t>
      </w:r>
      <w:r w:rsidRPr="00B24A80">
        <w:rPr>
          <w:rFonts w:asciiTheme="majorHAnsi" w:eastAsia="Times New Roman" w:hAnsiTheme="majorHAnsi" w:cstheme="majorHAnsi"/>
          <w:sz w:val="22"/>
          <w:szCs w:val="22"/>
          <w:lang w:eastAsia="es-EC"/>
        </w:rPr>
        <w:t xml:space="preserve"> 100 metros desde el borde de las instalaciones.</w:t>
      </w:r>
    </w:p>
    <w:p w14:paraId="3AFD4F71" w14:textId="77777777" w:rsidR="00171A53" w:rsidRPr="00B24A80" w:rsidRDefault="00171A53" w:rsidP="00171A53">
      <w:pPr>
        <w:widowControl/>
        <w:pBdr>
          <w:top w:val="nil"/>
          <w:left w:val="nil"/>
          <w:bottom w:val="nil"/>
          <w:right w:val="nil"/>
          <w:between w:val="nil"/>
        </w:pBdr>
        <w:rPr>
          <w:rFonts w:asciiTheme="majorHAnsi" w:eastAsia="Calibri" w:hAnsiTheme="majorHAnsi" w:cstheme="majorHAnsi"/>
          <w:color w:val="000000"/>
          <w:sz w:val="22"/>
          <w:szCs w:val="22"/>
        </w:rPr>
      </w:pPr>
      <w:r w:rsidRPr="00B24A80">
        <w:rPr>
          <w:rFonts w:asciiTheme="majorHAnsi" w:eastAsia="Times New Roman" w:hAnsiTheme="majorHAnsi" w:cstheme="majorHAnsi"/>
          <w:b/>
          <w:bCs/>
          <w:sz w:val="22"/>
          <w:szCs w:val="22"/>
          <w:lang w:eastAsia="es-EC"/>
        </w:rPr>
        <w:t>Artículo 7.</w:t>
      </w:r>
      <w:r w:rsidRPr="00B24A80">
        <w:rPr>
          <w:rFonts w:asciiTheme="majorHAnsi" w:eastAsia="Times New Roman" w:hAnsiTheme="majorHAnsi" w:cstheme="majorHAnsi"/>
          <w:sz w:val="22"/>
          <w:szCs w:val="22"/>
          <w:lang w:eastAsia="es-EC"/>
        </w:rPr>
        <w:t xml:space="preserve"> Franjas de protección en infraestructuras eléctricas.</w:t>
      </w:r>
      <w:r w:rsidRPr="00B24A80">
        <w:rPr>
          <w:rFonts w:asciiTheme="majorHAnsi" w:eastAsia="Times New Roman" w:hAnsiTheme="majorHAnsi" w:cstheme="majorHAnsi"/>
          <w:sz w:val="22"/>
          <w:szCs w:val="22"/>
          <w:lang w:eastAsia="es-EC"/>
        </w:rPr>
        <w:br/>
        <w:t xml:space="preserve">Las franjas de servidumbre para líneas de alta tensión se regirán por lo establecido en la </w:t>
      </w:r>
      <w:r w:rsidRPr="00B24A80">
        <w:rPr>
          <w:rFonts w:asciiTheme="majorHAnsi" w:eastAsia="Times New Roman" w:hAnsiTheme="majorHAnsi" w:cstheme="majorHAnsi"/>
          <w:b/>
          <w:bCs/>
          <w:sz w:val="22"/>
          <w:szCs w:val="22"/>
          <w:lang w:eastAsia="es-EC"/>
        </w:rPr>
        <w:t>Resolución ARCONEL N°018-2018</w:t>
      </w:r>
      <w:r w:rsidRPr="00B24A80">
        <w:rPr>
          <w:rFonts w:asciiTheme="majorHAnsi" w:eastAsia="Times New Roman" w:hAnsiTheme="majorHAnsi" w:cstheme="majorHAnsi"/>
          <w:sz w:val="22"/>
          <w:szCs w:val="22"/>
          <w:lang w:eastAsia="es-EC"/>
        </w:rPr>
        <w:t xml:space="preserve"> de la Agencia de Regulación y Control de Electricidad, que define las siguientes distancias de protección:</w:t>
      </w:r>
      <w:r w:rsidRPr="00B24A80">
        <w:rPr>
          <w:rFonts w:asciiTheme="majorHAnsi" w:eastAsia="Times New Roman" w:hAnsiTheme="majorHAnsi" w:cstheme="majorHAnsi"/>
          <w:sz w:val="22"/>
          <w:szCs w:val="22"/>
          <w:lang w:eastAsia="es-EC"/>
        </w:rPr>
        <w:br/>
      </w:r>
      <w:r w:rsidRPr="00B24A80">
        <w:rPr>
          <w:rFonts w:asciiTheme="majorHAnsi" w:eastAsia="Calibri" w:hAnsiTheme="majorHAnsi" w:cstheme="majorHAnsi"/>
          <w:color w:val="000000"/>
          <w:sz w:val="22"/>
          <w:szCs w:val="22"/>
        </w:rPr>
        <w:t>Tabla. Afectaciones de las redes de alta tensión</w:t>
      </w:r>
    </w:p>
    <w:p w14:paraId="22DD7573" w14:textId="77777777" w:rsidR="00171A53" w:rsidRPr="00B24A80" w:rsidRDefault="00171A53" w:rsidP="00E84972">
      <w:pPr>
        <w:jc w:val="center"/>
        <w:rPr>
          <w:rFonts w:asciiTheme="majorHAnsi" w:eastAsia="Times New Roman" w:hAnsiTheme="majorHAnsi" w:cstheme="majorHAnsi"/>
          <w:b/>
          <w:bCs/>
          <w:sz w:val="22"/>
          <w:szCs w:val="22"/>
          <w:lang w:eastAsia="es-EC"/>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1E0" w:firstRow="1" w:lastRow="1" w:firstColumn="1" w:lastColumn="1" w:noHBand="0" w:noVBand="0"/>
      </w:tblPr>
      <w:tblGrid>
        <w:gridCol w:w="1954"/>
        <w:gridCol w:w="3477"/>
        <w:gridCol w:w="3057"/>
      </w:tblGrid>
      <w:tr w:rsidR="00171A53" w:rsidRPr="00B24A80" w14:paraId="4876D61B" w14:textId="77777777" w:rsidTr="00B24A80">
        <w:trPr>
          <w:trHeight w:val="398"/>
        </w:trPr>
        <w:tc>
          <w:tcPr>
            <w:tcW w:w="1151" w:type="pct"/>
          </w:tcPr>
          <w:p w14:paraId="24EF76A0"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
                <w:bCs/>
                <w:sz w:val="22"/>
                <w:szCs w:val="22"/>
                <w:lang w:eastAsia="es-EC"/>
              </w:rPr>
            </w:pPr>
            <w:r w:rsidRPr="00B24A80">
              <w:rPr>
                <w:rFonts w:asciiTheme="majorHAnsi" w:eastAsia="Times New Roman" w:hAnsiTheme="majorHAnsi" w:cstheme="majorHAnsi"/>
                <w:b/>
                <w:bCs/>
                <w:sz w:val="22"/>
                <w:szCs w:val="22"/>
                <w:lang w:eastAsia="es-EC"/>
              </w:rPr>
              <w:t>Voltaje</w:t>
            </w:r>
          </w:p>
        </w:tc>
        <w:tc>
          <w:tcPr>
            <w:tcW w:w="2048" w:type="pct"/>
          </w:tcPr>
          <w:p w14:paraId="11A6944C"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
                <w:bCs/>
                <w:sz w:val="22"/>
                <w:szCs w:val="22"/>
                <w:lang w:eastAsia="es-EC"/>
              </w:rPr>
            </w:pPr>
            <w:r w:rsidRPr="00B24A80">
              <w:rPr>
                <w:rFonts w:asciiTheme="majorHAnsi" w:eastAsia="Times New Roman" w:hAnsiTheme="majorHAnsi" w:cstheme="majorHAnsi"/>
                <w:b/>
                <w:bCs/>
                <w:sz w:val="22"/>
                <w:szCs w:val="22"/>
                <w:lang w:eastAsia="es-EC"/>
              </w:rPr>
              <w:t>Ancho total de la franja</w:t>
            </w:r>
          </w:p>
        </w:tc>
        <w:tc>
          <w:tcPr>
            <w:tcW w:w="1802" w:type="pct"/>
          </w:tcPr>
          <w:p w14:paraId="3E93D59E"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
                <w:bCs/>
                <w:sz w:val="22"/>
                <w:szCs w:val="22"/>
                <w:lang w:eastAsia="es-EC"/>
              </w:rPr>
            </w:pPr>
            <w:r w:rsidRPr="00B24A80">
              <w:rPr>
                <w:rFonts w:asciiTheme="majorHAnsi" w:eastAsia="Times New Roman" w:hAnsiTheme="majorHAnsi" w:cstheme="majorHAnsi"/>
                <w:b/>
                <w:bCs/>
                <w:sz w:val="22"/>
                <w:szCs w:val="22"/>
                <w:lang w:eastAsia="es-EC"/>
              </w:rPr>
              <w:t>Distancia desde el eje</w:t>
            </w:r>
          </w:p>
        </w:tc>
      </w:tr>
      <w:tr w:rsidR="00171A53" w:rsidRPr="00B24A80" w14:paraId="3AECDC34" w14:textId="77777777" w:rsidTr="00B24A80">
        <w:trPr>
          <w:trHeight w:val="357"/>
        </w:trPr>
        <w:tc>
          <w:tcPr>
            <w:tcW w:w="1151" w:type="pct"/>
          </w:tcPr>
          <w:p w14:paraId="12009D22"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Hasta 69 Kv</w:t>
            </w:r>
          </w:p>
        </w:tc>
        <w:tc>
          <w:tcPr>
            <w:tcW w:w="2048" w:type="pct"/>
          </w:tcPr>
          <w:p w14:paraId="3C98D43A"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16 m</w:t>
            </w:r>
          </w:p>
        </w:tc>
        <w:tc>
          <w:tcPr>
            <w:tcW w:w="1802" w:type="pct"/>
          </w:tcPr>
          <w:p w14:paraId="4E129BB9"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8 m</w:t>
            </w:r>
          </w:p>
        </w:tc>
      </w:tr>
      <w:tr w:rsidR="00171A53" w:rsidRPr="00B24A80" w14:paraId="6D2A0FB6" w14:textId="77777777" w:rsidTr="00B24A80">
        <w:trPr>
          <w:trHeight w:val="357"/>
        </w:trPr>
        <w:tc>
          <w:tcPr>
            <w:tcW w:w="1151" w:type="pct"/>
          </w:tcPr>
          <w:p w14:paraId="2BC8821F"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138 KW</w:t>
            </w:r>
          </w:p>
        </w:tc>
        <w:tc>
          <w:tcPr>
            <w:tcW w:w="2048" w:type="pct"/>
          </w:tcPr>
          <w:p w14:paraId="4634A0D3"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20 m</w:t>
            </w:r>
          </w:p>
        </w:tc>
        <w:tc>
          <w:tcPr>
            <w:tcW w:w="1802" w:type="pct"/>
          </w:tcPr>
          <w:p w14:paraId="6C0A9604"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10 m</w:t>
            </w:r>
          </w:p>
        </w:tc>
      </w:tr>
      <w:tr w:rsidR="00171A53" w:rsidRPr="00B24A80" w14:paraId="6B2FCF4C" w14:textId="77777777" w:rsidTr="00B24A80">
        <w:trPr>
          <w:trHeight w:val="359"/>
        </w:trPr>
        <w:tc>
          <w:tcPr>
            <w:tcW w:w="1151" w:type="pct"/>
          </w:tcPr>
          <w:p w14:paraId="01A9A77E"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230 KW</w:t>
            </w:r>
          </w:p>
        </w:tc>
        <w:tc>
          <w:tcPr>
            <w:tcW w:w="2048" w:type="pct"/>
          </w:tcPr>
          <w:p w14:paraId="648B2F50"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30 m</w:t>
            </w:r>
          </w:p>
        </w:tc>
        <w:tc>
          <w:tcPr>
            <w:tcW w:w="1802" w:type="pct"/>
          </w:tcPr>
          <w:p w14:paraId="4AA30626"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15 m</w:t>
            </w:r>
          </w:p>
        </w:tc>
      </w:tr>
      <w:tr w:rsidR="00171A53" w:rsidRPr="00B24A80" w14:paraId="3EF5CD16" w14:textId="77777777" w:rsidTr="00B24A80">
        <w:trPr>
          <w:trHeight w:val="357"/>
        </w:trPr>
        <w:tc>
          <w:tcPr>
            <w:tcW w:w="1151" w:type="pct"/>
          </w:tcPr>
          <w:p w14:paraId="24307B3D"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500 KW</w:t>
            </w:r>
          </w:p>
        </w:tc>
        <w:tc>
          <w:tcPr>
            <w:tcW w:w="2048" w:type="pct"/>
          </w:tcPr>
          <w:p w14:paraId="72F4AAE6"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60 m</w:t>
            </w:r>
          </w:p>
        </w:tc>
        <w:tc>
          <w:tcPr>
            <w:tcW w:w="1802" w:type="pct"/>
          </w:tcPr>
          <w:p w14:paraId="2F4D2E4B" w14:textId="77777777" w:rsidR="00171A53" w:rsidRPr="00B24A80" w:rsidRDefault="00171A53" w:rsidP="00E84972">
            <w:pPr>
              <w:pBdr>
                <w:top w:val="nil"/>
                <w:left w:val="nil"/>
                <w:bottom w:val="nil"/>
                <w:right w:val="nil"/>
                <w:between w:val="nil"/>
              </w:pBdr>
              <w:jc w:val="center"/>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30 m</w:t>
            </w:r>
          </w:p>
        </w:tc>
      </w:tr>
    </w:tbl>
    <w:p w14:paraId="76C996A9" w14:textId="77777777" w:rsidR="00171A53" w:rsidRPr="00B24A80" w:rsidRDefault="00171A53" w:rsidP="00171A53">
      <w:pPr>
        <w:widowControl/>
        <w:pBdr>
          <w:top w:val="nil"/>
          <w:left w:val="nil"/>
          <w:bottom w:val="nil"/>
          <w:right w:val="nil"/>
          <w:between w:val="nil"/>
        </w:pBdr>
        <w:rPr>
          <w:rFonts w:asciiTheme="majorHAnsi" w:eastAsia="Times New Roman" w:hAnsiTheme="majorHAnsi" w:cstheme="majorHAnsi"/>
          <w:i/>
          <w:sz w:val="22"/>
          <w:szCs w:val="22"/>
          <w:lang w:eastAsia="es-EC"/>
        </w:rPr>
      </w:pPr>
      <w:r w:rsidRPr="00B24A80">
        <w:rPr>
          <w:rFonts w:asciiTheme="majorHAnsi" w:eastAsia="Times New Roman" w:hAnsiTheme="majorHAnsi" w:cstheme="majorHAnsi"/>
          <w:i/>
          <w:sz w:val="22"/>
          <w:szCs w:val="22"/>
          <w:lang w:eastAsia="es-EC"/>
        </w:rPr>
        <w:t>Fuente: Agencia de Regulación y Control de Electricidad. Resolución ARCONEL N°018-2018</w:t>
      </w:r>
    </w:p>
    <w:p w14:paraId="0D75280D" w14:textId="77777777" w:rsidR="00171A53" w:rsidRPr="00B24A80" w:rsidRDefault="00171A53" w:rsidP="00BC6835">
      <w:pPr>
        <w:rPr>
          <w:rFonts w:asciiTheme="majorHAnsi" w:eastAsia="Times New Roman" w:hAnsiTheme="majorHAnsi" w:cstheme="majorHAnsi"/>
          <w:b/>
          <w:bCs/>
          <w:sz w:val="22"/>
          <w:szCs w:val="22"/>
          <w:lang w:eastAsia="es-EC"/>
        </w:rPr>
      </w:pPr>
      <w:r w:rsidRPr="00B24A80">
        <w:rPr>
          <w:rFonts w:asciiTheme="majorHAnsi" w:eastAsia="Times New Roman" w:hAnsiTheme="majorHAnsi" w:cstheme="majorHAnsi"/>
          <w:b/>
          <w:bCs/>
          <w:sz w:val="22"/>
          <w:szCs w:val="22"/>
          <w:lang w:eastAsia="es-EC"/>
        </w:rPr>
        <w:t>CAPITULO IV: AFECTACIONES POR DERECHO DE VÍA</w:t>
      </w:r>
    </w:p>
    <w:p w14:paraId="51B15771" w14:textId="77777777" w:rsidR="00BC6835"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8.</w:t>
      </w:r>
      <w:r w:rsidRPr="00B24A80">
        <w:rPr>
          <w:rFonts w:asciiTheme="majorHAnsi" w:eastAsia="Times New Roman" w:hAnsiTheme="majorHAnsi" w:cstheme="majorHAnsi"/>
          <w:sz w:val="22"/>
          <w:szCs w:val="22"/>
          <w:lang w:eastAsia="es-EC"/>
        </w:rPr>
        <w:t xml:space="preserve"> Definición del derecho de vía.</w:t>
      </w:r>
    </w:p>
    <w:p w14:paraId="628E32C4" w14:textId="1B7470C8"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sz w:val="22"/>
          <w:szCs w:val="22"/>
          <w:lang w:eastAsia="es-EC"/>
        </w:rPr>
        <w:t>El derecho de vía se define como la franja de terreno adyacente a las vías públicas, cuyo uso está restringido para garantizar la seguridad y funcionalidad de la infraestructura vial. Esta franja se medirá desde el eje de la vía hacia cada uno de los costados. Dentro de esta franja solo podrán realizarse cerramientos, dejando un retiro adicional de mínimo cinco metros para la construcción de edificaciones.</w:t>
      </w:r>
    </w:p>
    <w:p w14:paraId="7EB3E3C5" w14:textId="77777777" w:rsidR="00BC6835"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9.</w:t>
      </w:r>
      <w:r w:rsidRPr="00B24A80">
        <w:rPr>
          <w:rFonts w:asciiTheme="majorHAnsi" w:eastAsia="Times New Roman" w:hAnsiTheme="majorHAnsi" w:cstheme="majorHAnsi"/>
          <w:sz w:val="22"/>
          <w:szCs w:val="22"/>
          <w:lang w:eastAsia="es-EC"/>
        </w:rPr>
        <w:t xml:space="preserve"> Retiro en proyectos de fraccionamiento y urbanización.</w:t>
      </w:r>
    </w:p>
    <w:p w14:paraId="043E8450" w14:textId="19DE1723" w:rsidR="00171A53" w:rsidRPr="00B24A80" w:rsidRDefault="005022AD" w:rsidP="00171A53">
      <w:pPr>
        <w:spacing w:before="100" w:beforeAutospacing="1" w:after="100" w:afterAutospacing="1"/>
        <w:rPr>
          <w:rFonts w:asciiTheme="majorHAnsi" w:eastAsia="Times New Roman" w:hAnsiTheme="majorHAnsi" w:cstheme="majorHAnsi"/>
          <w:sz w:val="22"/>
          <w:szCs w:val="22"/>
          <w:lang w:eastAsia="es-EC"/>
        </w:rPr>
      </w:pPr>
      <w:r>
        <w:rPr>
          <w:rFonts w:asciiTheme="majorHAnsi" w:eastAsia="Times New Roman" w:hAnsiTheme="majorHAnsi" w:cstheme="majorHAnsi"/>
          <w:sz w:val="22"/>
          <w:szCs w:val="22"/>
          <w:lang w:eastAsia="es-EC"/>
        </w:rPr>
        <w:t>L</w:t>
      </w:r>
      <w:r w:rsidRPr="005022AD">
        <w:rPr>
          <w:rFonts w:asciiTheme="majorHAnsi" w:eastAsia="Times New Roman" w:hAnsiTheme="majorHAnsi" w:cstheme="majorHAnsi"/>
          <w:sz w:val="22"/>
          <w:szCs w:val="22"/>
          <w:lang w:eastAsia="es-EC"/>
        </w:rPr>
        <w:t xml:space="preserve">os proyectos de fraccionamiento, urbanización o edificación en predios colindantes a la red vial estatal, regional o provincial deberán </w:t>
      </w:r>
      <w:r w:rsidR="00051F45">
        <w:rPr>
          <w:rFonts w:asciiTheme="majorHAnsi" w:eastAsia="Times New Roman" w:hAnsiTheme="majorHAnsi" w:cstheme="majorHAnsi"/>
          <w:sz w:val="22"/>
          <w:szCs w:val="22"/>
          <w:lang w:eastAsia="es-EC"/>
        </w:rPr>
        <w:t xml:space="preserve">considerar los retiros establecidos </w:t>
      </w:r>
      <w:r w:rsidRPr="005022AD">
        <w:rPr>
          <w:rFonts w:asciiTheme="majorHAnsi" w:eastAsia="Times New Roman" w:hAnsiTheme="majorHAnsi" w:cstheme="majorHAnsi"/>
          <w:sz w:val="22"/>
          <w:szCs w:val="22"/>
          <w:lang w:eastAsia="es-EC"/>
        </w:rPr>
        <w:t>en la Ley Sistema Nacional De Infraestructura Vial Transporte Terrestre. Además, se deberán observar los criterios técnicos establecidos en la Norma Ecuatoriana de Construcción, capítulo NEC-HS-AU: Accesibilidad Universal, la Norma Ecuatoriana Vial (NEVI) y las demás normas nacionales y locales vigentes.</w:t>
      </w:r>
    </w:p>
    <w:p w14:paraId="0418DAFC" w14:textId="77777777" w:rsidR="00BC6835"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10.</w:t>
      </w:r>
      <w:r w:rsidRPr="00B24A80">
        <w:rPr>
          <w:rFonts w:asciiTheme="majorHAnsi" w:eastAsia="Times New Roman" w:hAnsiTheme="majorHAnsi" w:cstheme="majorHAnsi"/>
          <w:sz w:val="22"/>
          <w:szCs w:val="22"/>
          <w:lang w:eastAsia="es-EC"/>
        </w:rPr>
        <w:t xml:space="preserve"> Jerarquización de vías y franjas de afectación.</w:t>
      </w:r>
    </w:p>
    <w:p w14:paraId="6D66B53F" w14:textId="24DA4A59" w:rsidR="00171A53" w:rsidRDefault="005022AD" w:rsidP="00171A53">
      <w:pPr>
        <w:spacing w:before="100" w:beforeAutospacing="1" w:after="100" w:afterAutospacing="1"/>
        <w:rPr>
          <w:rFonts w:asciiTheme="majorHAnsi" w:eastAsia="Times New Roman" w:hAnsiTheme="majorHAnsi" w:cstheme="majorHAnsi"/>
          <w:sz w:val="22"/>
          <w:szCs w:val="22"/>
          <w:lang w:eastAsia="es-EC"/>
        </w:rPr>
      </w:pPr>
      <w:r w:rsidRPr="005022AD">
        <w:rPr>
          <w:rFonts w:asciiTheme="majorHAnsi" w:eastAsia="Times New Roman" w:hAnsiTheme="majorHAnsi" w:cstheme="majorHAnsi"/>
          <w:sz w:val="22"/>
          <w:szCs w:val="22"/>
          <w:lang w:eastAsia="es-EC"/>
        </w:rPr>
        <w:t>De acuerdo con la normativa nacional vigente, la Resolución del Ministerio de Transporte y Obras Públicas y normas locales, las franjas de afectación por derecho de vía se jerarquizan de la siguiente manera</w:t>
      </w:r>
      <w:r w:rsidR="00171A53" w:rsidRPr="00B24A80">
        <w:rPr>
          <w:rFonts w:asciiTheme="majorHAnsi" w:eastAsia="Times New Roman" w:hAnsiTheme="majorHAnsi" w:cstheme="majorHAnsi"/>
          <w:sz w:val="22"/>
          <w:szCs w:val="22"/>
          <w:lang w:eastAsia="es-EC"/>
        </w:rPr>
        <w:t>:</w:t>
      </w:r>
    </w:p>
    <w:p w14:paraId="689B43BA" w14:textId="77777777" w:rsidR="005022AD" w:rsidRDefault="005022AD" w:rsidP="00171A53">
      <w:pPr>
        <w:spacing w:before="100" w:beforeAutospacing="1" w:after="100" w:afterAutospacing="1"/>
        <w:rPr>
          <w:rFonts w:asciiTheme="majorHAnsi" w:eastAsia="Times New Roman" w:hAnsiTheme="majorHAnsi" w:cstheme="majorHAnsi"/>
          <w:sz w:val="22"/>
          <w:szCs w:val="22"/>
          <w:lang w:eastAsia="es-EC"/>
        </w:rPr>
      </w:pPr>
    </w:p>
    <w:p w14:paraId="47993154" w14:textId="77777777" w:rsidR="005022AD" w:rsidRPr="00B24A80" w:rsidRDefault="005022AD" w:rsidP="00171A53">
      <w:pPr>
        <w:spacing w:before="100" w:beforeAutospacing="1" w:after="100" w:afterAutospacing="1"/>
        <w:rPr>
          <w:rFonts w:asciiTheme="majorHAnsi" w:eastAsia="Times New Roman" w:hAnsiTheme="majorHAnsi" w:cstheme="majorHAnsi"/>
          <w:sz w:val="22"/>
          <w:szCs w:val="22"/>
          <w:lang w:eastAsia="es-EC"/>
        </w:rPr>
      </w:pPr>
    </w:p>
    <w:tbl>
      <w:tblPr>
        <w:tblStyle w:val="Tablaconcuadrcula"/>
        <w:tblW w:w="0" w:type="auto"/>
        <w:tblLook w:val="04A0" w:firstRow="1" w:lastRow="0" w:firstColumn="1" w:lastColumn="0" w:noHBand="0" w:noVBand="1"/>
      </w:tblPr>
      <w:tblGrid>
        <w:gridCol w:w="1124"/>
        <w:gridCol w:w="1849"/>
        <w:gridCol w:w="1887"/>
        <w:gridCol w:w="1682"/>
        <w:gridCol w:w="1946"/>
      </w:tblGrid>
      <w:tr w:rsidR="00171A53" w:rsidRPr="00B24A80" w14:paraId="71EF7388" w14:textId="77777777" w:rsidTr="00E13F9E">
        <w:tc>
          <w:tcPr>
            <w:tcW w:w="0" w:type="auto"/>
            <w:hideMark/>
          </w:tcPr>
          <w:p w14:paraId="184416F8" w14:textId="77777777" w:rsidR="00171A53" w:rsidRPr="00B24A80" w:rsidRDefault="00171A53" w:rsidP="00DC119D">
            <w:pPr>
              <w:jc w:val="center"/>
              <w:rPr>
                <w:rFonts w:asciiTheme="majorHAnsi" w:eastAsia="Times New Roman" w:hAnsiTheme="majorHAnsi" w:cstheme="majorHAnsi"/>
                <w:b/>
                <w:bCs/>
                <w:lang w:eastAsia="es-EC"/>
              </w:rPr>
            </w:pPr>
            <w:r w:rsidRPr="00B24A80">
              <w:rPr>
                <w:rFonts w:asciiTheme="majorHAnsi" w:eastAsia="Times New Roman" w:hAnsiTheme="majorHAnsi" w:cstheme="majorHAnsi"/>
                <w:b/>
                <w:bCs/>
                <w:lang w:eastAsia="es-EC"/>
              </w:rPr>
              <w:lastRenderedPageBreak/>
              <w:t>Jerarquía</w:t>
            </w:r>
          </w:p>
        </w:tc>
        <w:tc>
          <w:tcPr>
            <w:tcW w:w="0" w:type="auto"/>
            <w:hideMark/>
          </w:tcPr>
          <w:p w14:paraId="0731DCEC" w14:textId="77777777" w:rsidR="00171A53" w:rsidRPr="00B24A80" w:rsidRDefault="00171A53" w:rsidP="00DC119D">
            <w:pPr>
              <w:jc w:val="center"/>
              <w:rPr>
                <w:rFonts w:asciiTheme="majorHAnsi" w:eastAsia="Times New Roman" w:hAnsiTheme="majorHAnsi" w:cstheme="majorHAnsi"/>
                <w:b/>
                <w:bCs/>
                <w:lang w:eastAsia="es-EC"/>
              </w:rPr>
            </w:pPr>
            <w:r w:rsidRPr="00B24A80">
              <w:rPr>
                <w:rFonts w:asciiTheme="majorHAnsi" w:eastAsia="Times New Roman" w:hAnsiTheme="majorHAnsi" w:cstheme="majorHAnsi"/>
                <w:b/>
                <w:bCs/>
                <w:lang w:eastAsia="es-EC"/>
              </w:rPr>
              <w:t>Tipo de vía</w:t>
            </w:r>
          </w:p>
        </w:tc>
        <w:tc>
          <w:tcPr>
            <w:tcW w:w="0" w:type="auto"/>
            <w:hideMark/>
          </w:tcPr>
          <w:p w14:paraId="1EF4FF63" w14:textId="77777777" w:rsidR="00171A53" w:rsidRPr="00B24A80" w:rsidRDefault="00171A53" w:rsidP="00DC119D">
            <w:pPr>
              <w:jc w:val="center"/>
              <w:rPr>
                <w:rFonts w:asciiTheme="majorHAnsi" w:eastAsia="Times New Roman" w:hAnsiTheme="majorHAnsi" w:cstheme="majorHAnsi"/>
                <w:b/>
                <w:bCs/>
                <w:lang w:eastAsia="es-EC"/>
              </w:rPr>
            </w:pPr>
            <w:r w:rsidRPr="00B24A80">
              <w:rPr>
                <w:rFonts w:asciiTheme="majorHAnsi" w:eastAsia="Times New Roman" w:hAnsiTheme="majorHAnsi" w:cstheme="majorHAnsi"/>
                <w:b/>
                <w:bCs/>
                <w:lang w:eastAsia="es-EC"/>
              </w:rPr>
              <w:t>Competencia</w:t>
            </w:r>
          </w:p>
        </w:tc>
        <w:tc>
          <w:tcPr>
            <w:tcW w:w="0" w:type="auto"/>
            <w:hideMark/>
          </w:tcPr>
          <w:p w14:paraId="37F62E8A" w14:textId="77777777" w:rsidR="00171A53" w:rsidRPr="00B24A80" w:rsidRDefault="00171A53" w:rsidP="00DC119D">
            <w:pPr>
              <w:jc w:val="center"/>
              <w:rPr>
                <w:rFonts w:asciiTheme="majorHAnsi" w:eastAsia="Times New Roman" w:hAnsiTheme="majorHAnsi" w:cstheme="majorHAnsi"/>
                <w:b/>
                <w:bCs/>
                <w:lang w:eastAsia="es-EC"/>
              </w:rPr>
            </w:pPr>
            <w:r w:rsidRPr="00B24A80">
              <w:rPr>
                <w:rFonts w:asciiTheme="majorHAnsi" w:eastAsia="Times New Roman" w:hAnsiTheme="majorHAnsi" w:cstheme="majorHAnsi"/>
                <w:b/>
                <w:bCs/>
                <w:lang w:eastAsia="es-EC"/>
              </w:rPr>
              <w:t>Sección de vía desde el eje (m)</w:t>
            </w:r>
          </w:p>
        </w:tc>
        <w:tc>
          <w:tcPr>
            <w:tcW w:w="0" w:type="auto"/>
            <w:hideMark/>
          </w:tcPr>
          <w:p w14:paraId="7A643919" w14:textId="77777777" w:rsidR="00171A53" w:rsidRPr="00B24A80" w:rsidRDefault="00171A53" w:rsidP="00DC119D">
            <w:pPr>
              <w:jc w:val="center"/>
              <w:rPr>
                <w:rFonts w:asciiTheme="majorHAnsi" w:eastAsia="Times New Roman" w:hAnsiTheme="majorHAnsi" w:cstheme="majorHAnsi"/>
                <w:b/>
                <w:bCs/>
                <w:lang w:eastAsia="es-EC"/>
              </w:rPr>
            </w:pPr>
            <w:r w:rsidRPr="00B24A80">
              <w:rPr>
                <w:rFonts w:asciiTheme="majorHAnsi" w:eastAsia="Times New Roman" w:hAnsiTheme="majorHAnsi" w:cstheme="majorHAnsi"/>
                <w:b/>
                <w:bCs/>
                <w:lang w:eastAsia="es-EC"/>
              </w:rPr>
              <w:t>Construcción de vivienda (m)</w:t>
            </w:r>
          </w:p>
        </w:tc>
      </w:tr>
      <w:tr w:rsidR="00171A53" w:rsidRPr="00B24A80" w14:paraId="70D54C1A" w14:textId="77777777" w:rsidTr="00E13F9E">
        <w:tc>
          <w:tcPr>
            <w:tcW w:w="0" w:type="auto"/>
            <w:hideMark/>
          </w:tcPr>
          <w:p w14:paraId="0A302790"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b/>
                <w:bCs/>
                <w:lang w:eastAsia="es-EC"/>
              </w:rPr>
              <w:t>Jerarquía 1</w:t>
            </w:r>
          </w:p>
        </w:tc>
        <w:tc>
          <w:tcPr>
            <w:tcW w:w="0" w:type="auto"/>
            <w:hideMark/>
          </w:tcPr>
          <w:p w14:paraId="746A7C3A"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Vías interestatales</w:t>
            </w:r>
          </w:p>
        </w:tc>
        <w:tc>
          <w:tcPr>
            <w:tcW w:w="0" w:type="auto"/>
            <w:hideMark/>
          </w:tcPr>
          <w:p w14:paraId="342CB0C3"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Estatal</w:t>
            </w:r>
          </w:p>
        </w:tc>
        <w:tc>
          <w:tcPr>
            <w:tcW w:w="0" w:type="auto"/>
            <w:hideMark/>
          </w:tcPr>
          <w:p w14:paraId="3185EDB3"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25</w:t>
            </w:r>
          </w:p>
        </w:tc>
        <w:tc>
          <w:tcPr>
            <w:tcW w:w="0" w:type="auto"/>
            <w:hideMark/>
          </w:tcPr>
          <w:p w14:paraId="79FCC317"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30</w:t>
            </w:r>
          </w:p>
        </w:tc>
      </w:tr>
      <w:tr w:rsidR="00171A53" w:rsidRPr="00B24A80" w14:paraId="4F7F06BD" w14:textId="77777777" w:rsidTr="00E13F9E">
        <w:tc>
          <w:tcPr>
            <w:tcW w:w="0" w:type="auto"/>
            <w:hideMark/>
          </w:tcPr>
          <w:p w14:paraId="41D5804D"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b/>
                <w:bCs/>
                <w:lang w:eastAsia="es-EC"/>
              </w:rPr>
              <w:t>Jerarquía 2</w:t>
            </w:r>
          </w:p>
        </w:tc>
        <w:tc>
          <w:tcPr>
            <w:tcW w:w="0" w:type="auto"/>
            <w:hideMark/>
          </w:tcPr>
          <w:p w14:paraId="36A7D161"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Vías estatales secundarias</w:t>
            </w:r>
          </w:p>
        </w:tc>
        <w:tc>
          <w:tcPr>
            <w:tcW w:w="0" w:type="auto"/>
            <w:hideMark/>
          </w:tcPr>
          <w:p w14:paraId="5F18540C"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Estatal/Provincial</w:t>
            </w:r>
          </w:p>
        </w:tc>
        <w:tc>
          <w:tcPr>
            <w:tcW w:w="0" w:type="auto"/>
            <w:hideMark/>
          </w:tcPr>
          <w:p w14:paraId="435D3A15"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20</w:t>
            </w:r>
          </w:p>
        </w:tc>
        <w:tc>
          <w:tcPr>
            <w:tcW w:w="0" w:type="auto"/>
            <w:hideMark/>
          </w:tcPr>
          <w:p w14:paraId="6A8A1CC8"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25</w:t>
            </w:r>
          </w:p>
        </w:tc>
      </w:tr>
      <w:tr w:rsidR="00171A53" w:rsidRPr="00B24A80" w14:paraId="6CE6A3A3" w14:textId="77777777" w:rsidTr="00E13F9E">
        <w:tc>
          <w:tcPr>
            <w:tcW w:w="0" w:type="auto"/>
            <w:hideMark/>
          </w:tcPr>
          <w:p w14:paraId="57325195"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b/>
                <w:bCs/>
                <w:lang w:eastAsia="es-EC"/>
              </w:rPr>
              <w:t>Jerarquía 3</w:t>
            </w:r>
          </w:p>
        </w:tc>
        <w:tc>
          <w:tcPr>
            <w:tcW w:w="0" w:type="auto"/>
            <w:hideMark/>
          </w:tcPr>
          <w:p w14:paraId="4070A190" w14:textId="3D4DA790"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 xml:space="preserve">Vías </w:t>
            </w:r>
            <w:r w:rsidR="009155BC">
              <w:rPr>
                <w:rFonts w:asciiTheme="majorHAnsi" w:eastAsia="Times New Roman" w:hAnsiTheme="majorHAnsi" w:cstheme="majorHAnsi"/>
                <w:lang w:eastAsia="es-EC"/>
              </w:rPr>
              <w:t xml:space="preserve">rurales </w:t>
            </w:r>
            <w:r w:rsidRPr="00B24A80">
              <w:rPr>
                <w:rFonts w:asciiTheme="majorHAnsi" w:eastAsia="Times New Roman" w:hAnsiTheme="majorHAnsi" w:cstheme="majorHAnsi"/>
                <w:lang w:eastAsia="es-EC"/>
              </w:rPr>
              <w:t>provinciales</w:t>
            </w:r>
          </w:p>
        </w:tc>
        <w:tc>
          <w:tcPr>
            <w:tcW w:w="0" w:type="auto"/>
            <w:hideMark/>
          </w:tcPr>
          <w:p w14:paraId="3BF2E263"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Prefectura Provincial</w:t>
            </w:r>
          </w:p>
        </w:tc>
        <w:tc>
          <w:tcPr>
            <w:tcW w:w="0" w:type="auto"/>
            <w:hideMark/>
          </w:tcPr>
          <w:p w14:paraId="6FE3B7F8"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15</w:t>
            </w:r>
          </w:p>
        </w:tc>
        <w:tc>
          <w:tcPr>
            <w:tcW w:w="0" w:type="auto"/>
            <w:hideMark/>
          </w:tcPr>
          <w:p w14:paraId="0E15944A"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20</w:t>
            </w:r>
          </w:p>
        </w:tc>
      </w:tr>
      <w:tr w:rsidR="00171A53" w:rsidRPr="00B24A80" w14:paraId="001489D7" w14:textId="77777777" w:rsidTr="00E13F9E">
        <w:tc>
          <w:tcPr>
            <w:tcW w:w="0" w:type="auto"/>
            <w:hideMark/>
          </w:tcPr>
          <w:p w14:paraId="67208C5D"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b/>
                <w:bCs/>
                <w:lang w:eastAsia="es-EC"/>
              </w:rPr>
              <w:t>Jerarquía 4</w:t>
            </w:r>
          </w:p>
        </w:tc>
        <w:tc>
          <w:tcPr>
            <w:tcW w:w="0" w:type="auto"/>
            <w:hideMark/>
          </w:tcPr>
          <w:p w14:paraId="66B5B834" w14:textId="0C24463E"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 xml:space="preserve">Vías </w:t>
            </w:r>
            <w:r w:rsidR="009155BC">
              <w:rPr>
                <w:rFonts w:asciiTheme="majorHAnsi" w:eastAsia="Times New Roman" w:hAnsiTheme="majorHAnsi" w:cstheme="majorHAnsi"/>
                <w:lang w:eastAsia="es-EC"/>
              </w:rPr>
              <w:t xml:space="preserve">rurales </w:t>
            </w:r>
            <w:r w:rsidRPr="00B24A80">
              <w:rPr>
                <w:rFonts w:asciiTheme="majorHAnsi" w:eastAsia="Times New Roman" w:hAnsiTheme="majorHAnsi" w:cstheme="majorHAnsi"/>
                <w:lang w:eastAsia="es-EC"/>
              </w:rPr>
              <w:t>parroquiales</w:t>
            </w:r>
          </w:p>
        </w:tc>
        <w:tc>
          <w:tcPr>
            <w:tcW w:w="0" w:type="auto"/>
            <w:hideMark/>
          </w:tcPr>
          <w:p w14:paraId="64689CB9" w14:textId="340E2B4B" w:rsidR="00171A53" w:rsidRPr="00B24A80" w:rsidRDefault="008B5D7C"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Prefectura Provincial</w:t>
            </w:r>
          </w:p>
        </w:tc>
        <w:tc>
          <w:tcPr>
            <w:tcW w:w="0" w:type="auto"/>
            <w:hideMark/>
          </w:tcPr>
          <w:p w14:paraId="1C514C63"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10</w:t>
            </w:r>
          </w:p>
        </w:tc>
        <w:tc>
          <w:tcPr>
            <w:tcW w:w="0" w:type="auto"/>
            <w:hideMark/>
          </w:tcPr>
          <w:p w14:paraId="75EC2A02"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15</w:t>
            </w:r>
          </w:p>
        </w:tc>
      </w:tr>
      <w:tr w:rsidR="00171A53" w:rsidRPr="00B24A80" w14:paraId="3AC09ACC" w14:textId="77777777" w:rsidTr="00E13F9E">
        <w:tc>
          <w:tcPr>
            <w:tcW w:w="0" w:type="auto"/>
            <w:hideMark/>
          </w:tcPr>
          <w:p w14:paraId="2EF89B01"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b/>
                <w:bCs/>
                <w:lang w:eastAsia="es-EC"/>
              </w:rPr>
              <w:t>Jerarquía 5</w:t>
            </w:r>
          </w:p>
        </w:tc>
        <w:tc>
          <w:tcPr>
            <w:tcW w:w="0" w:type="auto"/>
            <w:hideMark/>
          </w:tcPr>
          <w:p w14:paraId="125F3B0D"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Vías urbanas</w:t>
            </w:r>
          </w:p>
        </w:tc>
        <w:tc>
          <w:tcPr>
            <w:tcW w:w="0" w:type="auto"/>
            <w:hideMark/>
          </w:tcPr>
          <w:p w14:paraId="6A691FFC"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GAD Municipal</w:t>
            </w:r>
          </w:p>
        </w:tc>
        <w:tc>
          <w:tcPr>
            <w:tcW w:w="0" w:type="auto"/>
            <w:hideMark/>
          </w:tcPr>
          <w:p w14:paraId="5DFD0493"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8</w:t>
            </w:r>
          </w:p>
        </w:tc>
        <w:tc>
          <w:tcPr>
            <w:tcW w:w="0" w:type="auto"/>
            <w:hideMark/>
          </w:tcPr>
          <w:p w14:paraId="4EA5692C" w14:textId="77777777" w:rsidR="00171A53" w:rsidRPr="00B24A80" w:rsidRDefault="00171A53" w:rsidP="00E13F9E">
            <w:pPr>
              <w:jc w:val="center"/>
              <w:rPr>
                <w:rFonts w:asciiTheme="majorHAnsi" w:eastAsia="Times New Roman" w:hAnsiTheme="majorHAnsi" w:cstheme="majorHAnsi"/>
                <w:lang w:eastAsia="es-EC"/>
              </w:rPr>
            </w:pPr>
            <w:r w:rsidRPr="00B24A80">
              <w:rPr>
                <w:rFonts w:asciiTheme="majorHAnsi" w:eastAsia="Times New Roman" w:hAnsiTheme="majorHAnsi" w:cstheme="majorHAnsi"/>
                <w:lang w:eastAsia="es-EC"/>
              </w:rPr>
              <w:t>10</w:t>
            </w:r>
          </w:p>
        </w:tc>
      </w:tr>
    </w:tbl>
    <w:p w14:paraId="09FF4779" w14:textId="3DF90CFE"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11.</w:t>
      </w:r>
      <w:r w:rsidRPr="00B24A80">
        <w:rPr>
          <w:rFonts w:asciiTheme="majorHAnsi" w:eastAsia="Times New Roman" w:hAnsiTheme="majorHAnsi" w:cstheme="majorHAnsi"/>
          <w:sz w:val="22"/>
          <w:szCs w:val="22"/>
          <w:lang w:eastAsia="es-EC"/>
        </w:rPr>
        <w:t xml:space="preserve"> Franjas de protección adicional.</w:t>
      </w:r>
      <w:r w:rsidRPr="00B24A80">
        <w:rPr>
          <w:rFonts w:asciiTheme="majorHAnsi" w:eastAsia="Times New Roman" w:hAnsiTheme="majorHAnsi" w:cstheme="majorHAnsi"/>
          <w:sz w:val="22"/>
          <w:szCs w:val="22"/>
          <w:lang w:eastAsia="es-EC"/>
        </w:rPr>
        <w:br/>
        <w:t xml:space="preserve">En zonas donde el crecimiento urbano sea más acelerado o donde existan proyectos de ampliación vial, el </w:t>
      </w:r>
      <w:r w:rsidRPr="00B24A80">
        <w:rPr>
          <w:rFonts w:asciiTheme="majorHAnsi" w:eastAsia="Times New Roman" w:hAnsiTheme="majorHAnsi" w:cstheme="majorHAnsi"/>
          <w:b/>
          <w:bCs/>
          <w:sz w:val="22"/>
          <w:szCs w:val="22"/>
          <w:lang w:eastAsia="es-EC"/>
        </w:rPr>
        <w:t>GAD Municipal del Cantón Joya de los Sachas</w:t>
      </w:r>
      <w:r w:rsidRPr="00B24A80">
        <w:rPr>
          <w:rFonts w:asciiTheme="majorHAnsi" w:eastAsia="Times New Roman" w:hAnsiTheme="majorHAnsi" w:cstheme="majorHAnsi"/>
          <w:sz w:val="22"/>
          <w:szCs w:val="22"/>
          <w:lang w:eastAsia="es-EC"/>
        </w:rPr>
        <w:t xml:space="preserve"> podrá definir franjas de protección adicionales para facilitar futuras ampliaciones o mejoras de la infraestructura vial, conforme a lo dispuesto en el </w:t>
      </w:r>
      <w:r w:rsidRPr="00B24A80">
        <w:rPr>
          <w:rFonts w:asciiTheme="majorHAnsi" w:eastAsia="Times New Roman" w:hAnsiTheme="majorHAnsi" w:cstheme="majorHAnsi"/>
          <w:b/>
          <w:bCs/>
          <w:sz w:val="22"/>
          <w:szCs w:val="22"/>
          <w:lang w:eastAsia="es-EC"/>
        </w:rPr>
        <w:t>COOTAD</w:t>
      </w:r>
      <w:r w:rsidRPr="00B24A80">
        <w:rPr>
          <w:rFonts w:asciiTheme="majorHAnsi" w:eastAsia="Times New Roman" w:hAnsiTheme="majorHAnsi" w:cstheme="majorHAnsi"/>
          <w:sz w:val="22"/>
          <w:szCs w:val="22"/>
          <w:lang w:eastAsia="es-EC"/>
        </w:rPr>
        <w:t xml:space="preserve"> y </w:t>
      </w:r>
      <w:r w:rsidR="00D91A4A">
        <w:rPr>
          <w:rFonts w:asciiTheme="majorHAnsi" w:eastAsia="Times New Roman" w:hAnsiTheme="majorHAnsi" w:cstheme="majorHAnsi"/>
          <w:sz w:val="22"/>
          <w:szCs w:val="22"/>
          <w:lang w:eastAsia="es-EC"/>
        </w:rPr>
        <w:t xml:space="preserve">la </w:t>
      </w:r>
      <w:r w:rsidR="00D91A4A" w:rsidRPr="00D91A4A">
        <w:rPr>
          <w:rFonts w:asciiTheme="majorHAnsi" w:eastAsia="Times New Roman" w:hAnsiTheme="majorHAnsi" w:cstheme="majorHAnsi"/>
          <w:b/>
          <w:sz w:val="22"/>
          <w:szCs w:val="22"/>
          <w:shd w:val="clear" w:color="auto" w:fill="FFFFFF" w:themeFill="background1"/>
          <w:lang w:eastAsia="es-EC"/>
        </w:rPr>
        <w:t>NEVI</w:t>
      </w:r>
      <w:r w:rsidRPr="00D91A4A">
        <w:rPr>
          <w:rFonts w:asciiTheme="majorHAnsi" w:eastAsia="Times New Roman" w:hAnsiTheme="majorHAnsi" w:cstheme="majorHAnsi"/>
          <w:b/>
          <w:sz w:val="22"/>
          <w:szCs w:val="22"/>
          <w:shd w:val="clear" w:color="auto" w:fill="FFFFFF" w:themeFill="background1"/>
          <w:lang w:eastAsia="es-EC"/>
        </w:rPr>
        <w:t>.</w:t>
      </w:r>
    </w:p>
    <w:p w14:paraId="2165ABC0" w14:textId="77777777"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12.</w:t>
      </w:r>
      <w:r w:rsidRPr="00B24A80">
        <w:rPr>
          <w:rFonts w:asciiTheme="majorHAnsi" w:eastAsia="Times New Roman" w:hAnsiTheme="majorHAnsi" w:cstheme="majorHAnsi"/>
          <w:sz w:val="22"/>
          <w:szCs w:val="22"/>
          <w:lang w:eastAsia="es-EC"/>
        </w:rPr>
        <w:t xml:space="preserve"> Retiro para vías de tránsito pesado y acceso industrial.</w:t>
      </w:r>
      <w:r w:rsidRPr="00B24A80">
        <w:rPr>
          <w:rFonts w:asciiTheme="majorHAnsi" w:eastAsia="Times New Roman" w:hAnsiTheme="majorHAnsi" w:cstheme="majorHAnsi"/>
          <w:sz w:val="22"/>
          <w:szCs w:val="22"/>
          <w:lang w:eastAsia="es-EC"/>
        </w:rPr>
        <w:br/>
        <w:t xml:space="preserve">En vías utilizadas para tránsito pesado o acceso a zonas industriales, la franja de afectación se incrementará en 5 metros adicionales a lo estipulado en las vías de su jerarquía, para garantizar la seguridad del transporte de mercancías peligrosas, como lo establece la </w:t>
      </w:r>
      <w:r w:rsidRPr="00B24A80">
        <w:rPr>
          <w:rFonts w:asciiTheme="majorHAnsi" w:eastAsia="Times New Roman" w:hAnsiTheme="majorHAnsi" w:cstheme="majorHAnsi"/>
          <w:b/>
          <w:bCs/>
          <w:sz w:val="22"/>
          <w:szCs w:val="22"/>
          <w:lang w:eastAsia="es-EC"/>
        </w:rPr>
        <w:t>Normativa Técnica para Infraestructura Vial de Carga del Ministerio de Transporte y Obras Públicas (MTOP)</w:t>
      </w:r>
      <w:r w:rsidRPr="00B24A80">
        <w:rPr>
          <w:rFonts w:asciiTheme="majorHAnsi" w:eastAsia="Times New Roman" w:hAnsiTheme="majorHAnsi" w:cstheme="majorHAnsi"/>
          <w:sz w:val="22"/>
          <w:szCs w:val="22"/>
          <w:lang w:eastAsia="es-EC"/>
        </w:rPr>
        <w:t>.</w:t>
      </w:r>
    </w:p>
    <w:p w14:paraId="547AA078" w14:textId="77777777" w:rsidR="00171A53" w:rsidRPr="00B24A80" w:rsidRDefault="00171A53" w:rsidP="00BC6835">
      <w:pPr>
        <w:rPr>
          <w:rFonts w:asciiTheme="majorHAnsi" w:eastAsia="Times New Roman" w:hAnsiTheme="majorHAnsi" w:cstheme="majorHAnsi"/>
          <w:b/>
          <w:bCs/>
          <w:sz w:val="22"/>
          <w:szCs w:val="22"/>
          <w:lang w:eastAsia="es-EC"/>
        </w:rPr>
      </w:pPr>
      <w:r w:rsidRPr="00B24A80">
        <w:rPr>
          <w:rFonts w:asciiTheme="majorHAnsi" w:eastAsia="Times New Roman" w:hAnsiTheme="majorHAnsi" w:cstheme="majorHAnsi"/>
          <w:b/>
          <w:bCs/>
          <w:sz w:val="22"/>
          <w:szCs w:val="22"/>
          <w:lang w:eastAsia="es-EC"/>
        </w:rPr>
        <w:t>CAPITULO V: ZONAS DE PROTECCIÓN ASOCIADAS A LOS RECURSOS HÍDRICOS</w:t>
      </w:r>
    </w:p>
    <w:p w14:paraId="6C604EFF" w14:textId="77777777" w:rsidR="00BC6835"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14.</w:t>
      </w:r>
      <w:r w:rsidRPr="00B24A80">
        <w:rPr>
          <w:rFonts w:asciiTheme="majorHAnsi" w:eastAsia="Times New Roman" w:hAnsiTheme="majorHAnsi" w:cstheme="majorHAnsi"/>
          <w:sz w:val="22"/>
          <w:szCs w:val="22"/>
          <w:lang w:eastAsia="es-EC"/>
        </w:rPr>
        <w:t xml:space="preserve"> Dominio hídrico público.</w:t>
      </w:r>
    </w:p>
    <w:p w14:paraId="7F6AEC83" w14:textId="45C38AAB"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sz w:val="22"/>
          <w:szCs w:val="22"/>
          <w:lang w:eastAsia="es-EC"/>
        </w:rPr>
        <w:t xml:space="preserve">De conformidad con la </w:t>
      </w:r>
      <w:r w:rsidRPr="00B24A80">
        <w:rPr>
          <w:rFonts w:asciiTheme="majorHAnsi" w:eastAsia="Times New Roman" w:hAnsiTheme="majorHAnsi" w:cstheme="majorHAnsi"/>
          <w:b/>
          <w:bCs/>
          <w:sz w:val="22"/>
          <w:szCs w:val="22"/>
          <w:lang w:eastAsia="es-EC"/>
        </w:rPr>
        <w:t>Ley Orgánica de Recursos Hídricos, Usos y Aprovechamiento del Agua (LORHUYAA)</w:t>
      </w:r>
      <w:r w:rsidRPr="00B24A80">
        <w:rPr>
          <w:rFonts w:asciiTheme="majorHAnsi" w:eastAsia="Times New Roman" w:hAnsiTheme="majorHAnsi" w:cstheme="majorHAnsi"/>
          <w:sz w:val="22"/>
          <w:szCs w:val="22"/>
          <w:lang w:eastAsia="es-EC"/>
        </w:rPr>
        <w:t xml:space="preserve"> y su reglamento, el dominio hídrico público incluye cauces, fuentes de agua, ríos, lagunas, pantanos, humedales y demás cuerpos de agua, así como la infraestructura hidráulica pública. Estos elementos son susceptibles de protección para garantizar el acceso universal al agua con fines de consumo humano, riego para seguridad y soberanía alimentaria, usos industriales y el mantenimiento del caudal ecológico.</w:t>
      </w:r>
    </w:p>
    <w:p w14:paraId="1F23B1DA" w14:textId="376AC5AC" w:rsidR="00BC6835" w:rsidRDefault="006B4139"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
          <w:bCs/>
          <w:sz w:val="22"/>
          <w:szCs w:val="22"/>
          <w:lang w:eastAsia="es-EC"/>
        </w:rPr>
        <w:t>Art. 15.- Zonas de Protección Hídrica: Extensión y Modificación.</w:t>
      </w:r>
      <w:r w:rsidRPr="00B24A80">
        <w:rPr>
          <w:rFonts w:asciiTheme="majorHAnsi" w:eastAsia="Times New Roman" w:hAnsiTheme="majorHAnsi" w:cstheme="majorHAnsi"/>
          <w:bCs/>
          <w:sz w:val="22"/>
          <w:szCs w:val="22"/>
          <w:lang w:eastAsia="es-EC"/>
        </w:rPr>
        <w:t xml:space="preserve"> </w:t>
      </w:r>
    </w:p>
    <w:p w14:paraId="79C215BB" w14:textId="44CD9D98" w:rsidR="006B4139" w:rsidRPr="00B24A80" w:rsidRDefault="00F97F0E"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 xml:space="preserve">De acuerdo al reglamento de la </w:t>
      </w:r>
      <w:r w:rsidRPr="00B24A80">
        <w:rPr>
          <w:rFonts w:asciiTheme="majorHAnsi" w:eastAsia="Times New Roman" w:hAnsiTheme="majorHAnsi" w:cstheme="majorHAnsi"/>
          <w:b/>
          <w:bCs/>
          <w:sz w:val="22"/>
          <w:szCs w:val="22"/>
          <w:lang w:eastAsia="es-EC"/>
        </w:rPr>
        <w:t>(LORHUYAA)</w:t>
      </w:r>
      <w:r w:rsidRPr="00B24A80">
        <w:rPr>
          <w:rFonts w:asciiTheme="majorHAnsi" w:eastAsia="Times New Roman" w:hAnsiTheme="majorHAnsi" w:cstheme="majorHAnsi"/>
          <w:sz w:val="22"/>
          <w:szCs w:val="22"/>
          <w:lang w:eastAsia="es-EC"/>
        </w:rPr>
        <w:t xml:space="preserve"> </w:t>
      </w:r>
      <w:r w:rsidRPr="00B24A80">
        <w:rPr>
          <w:rFonts w:asciiTheme="majorHAnsi" w:eastAsia="Times New Roman" w:hAnsiTheme="majorHAnsi" w:cstheme="majorHAnsi"/>
          <w:bCs/>
          <w:sz w:val="22"/>
          <w:szCs w:val="22"/>
          <w:lang w:eastAsia="es-EC"/>
        </w:rPr>
        <w:t>La</w:t>
      </w:r>
      <w:r w:rsidR="006B4139" w:rsidRPr="00B24A80">
        <w:rPr>
          <w:rFonts w:asciiTheme="majorHAnsi" w:eastAsia="Times New Roman" w:hAnsiTheme="majorHAnsi" w:cstheme="majorHAnsi"/>
          <w:bCs/>
          <w:sz w:val="22"/>
          <w:szCs w:val="22"/>
          <w:lang w:eastAsia="es-EC"/>
        </w:rPr>
        <w:t xml:space="preserve"> zona de protección hídrica tendrá una extensión de 100 metros de anchura medidos horizontalmente a partir del cauce o de la máxima extensión ordinaria de la lámina de agua en los embalses superficiales, pudiéndose variar por razones topográficas, hidrográficas u otras que determine la Autoridad </w:t>
      </w:r>
      <w:r w:rsidRPr="00B24A80">
        <w:rPr>
          <w:rFonts w:asciiTheme="majorHAnsi" w:eastAsia="Times New Roman" w:hAnsiTheme="majorHAnsi" w:cstheme="majorHAnsi"/>
          <w:bCs/>
          <w:sz w:val="22"/>
          <w:szCs w:val="22"/>
          <w:lang w:eastAsia="es-EC"/>
        </w:rPr>
        <w:t>Única</w:t>
      </w:r>
      <w:r w:rsidR="006B4139" w:rsidRPr="00B24A80">
        <w:rPr>
          <w:rFonts w:asciiTheme="majorHAnsi" w:eastAsia="Times New Roman" w:hAnsiTheme="majorHAnsi" w:cstheme="majorHAnsi"/>
          <w:bCs/>
          <w:sz w:val="22"/>
          <w:szCs w:val="22"/>
          <w:lang w:eastAsia="es-EC"/>
        </w:rPr>
        <w:t xml:space="preserve"> del Agua en coordinación con la Autoridad Ambiental Nacional. La extensión indicada podrá modificarse en las siguientes circunstancias:</w:t>
      </w:r>
    </w:p>
    <w:p w14:paraId="25C8B2AD" w14:textId="77777777" w:rsidR="006B4139" w:rsidRPr="00B24A80" w:rsidRDefault="006B4139"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a) En las zonas próximas a la desembocadura de los cursos de agua en el mar;</w:t>
      </w:r>
    </w:p>
    <w:p w14:paraId="1F7B678C" w14:textId="77777777" w:rsidR="006B4139" w:rsidRPr="00B24A80" w:rsidRDefault="006B4139"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b) En el entorno inmediato de los embalses; y,</w:t>
      </w:r>
    </w:p>
    <w:p w14:paraId="25B38067" w14:textId="45C1925F" w:rsidR="006B4139" w:rsidRPr="00B24A80" w:rsidRDefault="006B4139"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lastRenderedPageBreak/>
        <w:t>c) Cuando las condiciones topográficas o hidrográficas de los cauces y márgenes lo hagan necesario para la seguridad de personas y bienes.</w:t>
      </w:r>
    </w:p>
    <w:p w14:paraId="44A96B2E" w14:textId="0EE64AF6" w:rsidR="006B4139" w:rsidRPr="00B24A80" w:rsidRDefault="006B4139"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La modificación exigirá la práctica de un procedimiento administrativo que iniciará la Autoridad de Demarcación Hidrográfica o el Responsable Técnico del Centro de Atención al Ciudadano correspondiente, de oficio o a petición de parte legitimada. Al expediente se incorporará la documentación técnica que haya servido de base para la apertura de oficio del procedimiento o la que aporte el solicitante y se dará audiencia de los titulares de los terrenos afectados y de los Gobiernos Autónomos Descentralizados de la correspondiente área por plazo de quince días. La resolución será emitida la Autoridad de Demarcación Hidrográfica o el Responsable Técnico del Centro de Atención al Ciudadano correspondiente.</w:t>
      </w:r>
    </w:p>
    <w:p w14:paraId="202F9634" w14:textId="514642AB" w:rsidR="006B4139" w:rsidRPr="00B24A80" w:rsidRDefault="006B4139" w:rsidP="006B4139">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El procedimiento administrativo tendrá una duración máxima de tres meses. En los casos en que el trámite se inicie a petición de parte, el plazo antes mencionado se contará a partir de la fecha de ingreso de la solicitud al órgano competente para su tramitación, cumpliendo todos los requisitos previstos para el efecto. La falta de resolución en ese tiempo a los procedimientos iniciados a petición de parte, se entenderá como favorable a la solicitud presentada. Si el procedimiento se iniciare de oficio, caducará por el transcurso de dicho plazo.</w:t>
      </w:r>
    </w:p>
    <w:p w14:paraId="63E09E51" w14:textId="33C1C501" w:rsidR="006B4139" w:rsidRPr="00B24A80" w:rsidRDefault="006B4139" w:rsidP="004E36A8">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Nota: Inciso tercero sustituido por artículo</w:t>
      </w:r>
      <w:r w:rsidR="004E36A8" w:rsidRPr="00B24A80">
        <w:rPr>
          <w:rFonts w:asciiTheme="majorHAnsi" w:eastAsia="Times New Roman" w:hAnsiTheme="majorHAnsi" w:cstheme="majorHAnsi"/>
          <w:bCs/>
          <w:sz w:val="22"/>
          <w:szCs w:val="22"/>
          <w:lang w:eastAsia="es-EC"/>
        </w:rPr>
        <w:t xml:space="preserve">, Reglamento de la </w:t>
      </w:r>
      <w:r w:rsidR="004E36A8" w:rsidRPr="00B24A80">
        <w:rPr>
          <w:rFonts w:asciiTheme="majorHAnsi" w:eastAsia="Times New Roman" w:hAnsiTheme="majorHAnsi" w:cstheme="majorHAnsi"/>
          <w:sz w:val="22"/>
          <w:szCs w:val="22"/>
          <w:lang w:eastAsia="es-EC"/>
        </w:rPr>
        <w:t>Ley Orgánica de Recursos Hídricos, Usos y Aprovechamiento del Agua (LORHUyA).</w:t>
      </w:r>
    </w:p>
    <w:p w14:paraId="1567B365" w14:textId="77777777" w:rsidR="004E36A8" w:rsidRPr="00B24A80" w:rsidRDefault="004E36A8" w:rsidP="004E36A8">
      <w:pPr>
        <w:spacing w:before="100" w:beforeAutospacing="1" w:after="100" w:afterAutospacing="1"/>
        <w:rPr>
          <w:rFonts w:asciiTheme="majorHAnsi" w:eastAsia="Times New Roman" w:hAnsiTheme="majorHAnsi" w:cstheme="majorHAnsi"/>
          <w:bCs/>
          <w:sz w:val="22"/>
          <w:szCs w:val="22"/>
          <w:lang w:eastAsia="es-EC"/>
        </w:rPr>
      </w:pPr>
      <w:r w:rsidRPr="00B24A80">
        <w:rPr>
          <w:rFonts w:asciiTheme="majorHAnsi" w:eastAsia="Times New Roman" w:hAnsiTheme="majorHAnsi" w:cstheme="majorHAnsi"/>
          <w:bCs/>
          <w:sz w:val="22"/>
          <w:szCs w:val="22"/>
          <w:lang w:eastAsia="es-EC"/>
        </w:rPr>
        <w:t>Como efecto de la erosión regresiva del Rio Coca la franja de Protección del borde del cauce podrá ser mayores a los 100 m de acuerdo a los resultados de los estudios técnicos realizados en el mismo.</w:t>
      </w:r>
    </w:p>
    <w:p w14:paraId="33422660" w14:textId="77777777" w:rsidR="00E017BF"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16.</w:t>
      </w:r>
      <w:r w:rsidRPr="00B24A80">
        <w:rPr>
          <w:rFonts w:asciiTheme="majorHAnsi" w:eastAsia="Times New Roman" w:hAnsiTheme="majorHAnsi" w:cstheme="majorHAnsi"/>
          <w:sz w:val="22"/>
          <w:szCs w:val="22"/>
          <w:lang w:eastAsia="es-EC"/>
        </w:rPr>
        <w:t xml:space="preserve"> Determinación de la franja de protección.</w:t>
      </w:r>
    </w:p>
    <w:p w14:paraId="7828750D" w14:textId="0BC70F10"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sz w:val="22"/>
          <w:szCs w:val="22"/>
          <w:lang w:eastAsia="es-EC"/>
        </w:rPr>
        <w:t>Para determinar las franjas de protección hídrica, se utilizará como referencia la línea de máxima crecida, medida o visible. En aquellos casos donde no se cuente con información técnica adecuada, la franja se establecerá en base a los estándares mínimos especificados en este instrumento. Las medidas podrán ser ajustadas por la autoridad competente con base en estudios técnicos hidrológicos o ambientales.</w:t>
      </w:r>
    </w:p>
    <w:p w14:paraId="4ED4E6F2" w14:textId="77777777" w:rsidR="00E017BF"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17.</w:t>
      </w:r>
      <w:r w:rsidRPr="00B24A80">
        <w:rPr>
          <w:rFonts w:asciiTheme="majorHAnsi" w:eastAsia="Times New Roman" w:hAnsiTheme="majorHAnsi" w:cstheme="majorHAnsi"/>
          <w:sz w:val="22"/>
          <w:szCs w:val="22"/>
          <w:lang w:eastAsia="es-EC"/>
        </w:rPr>
        <w:t xml:space="preserve"> Excepciones a la franja de protección.</w:t>
      </w:r>
    </w:p>
    <w:p w14:paraId="431F62B1" w14:textId="58ACAE39"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sz w:val="22"/>
          <w:szCs w:val="22"/>
          <w:lang w:eastAsia="es-EC"/>
        </w:rPr>
        <w:t>Se permite la realización de obras de estabilización técnica y mitigación en las franjas de protección, siempre que cuenten con la aprobación del ente rector del recurso hídrico. Estas intervenciones deberán estar orientadas a la reducción de riesgos de desastres, la protección de infraestructura crítica o la prevención de daños al ecosistema acuático.</w:t>
      </w:r>
    </w:p>
    <w:p w14:paraId="15820F38" w14:textId="77777777" w:rsidR="00E017BF"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b/>
          <w:bCs/>
          <w:sz w:val="22"/>
          <w:szCs w:val="22"/>
          <w:lang w:eastAsia="es-EC"/>
        </w:rPr>
        <w:t>Artículo 18.</w:t>
      </w:r>
      <w:r w:rsidRPr="00B24A80">
        <w:rPr>
          <w:rFonts w:asciiTheme="majorHAnsi" w:eastAsia="Times New Roman" w:hAnsiTheme="majorHAnsi" w:cstheme="majorHAnsi"/>
          <w:sz w:val="22"/>
          <w:szCs w:val="22"/>
          <w:lang w:eastAsia="es-EC"/>
        </w:rPr>
        <w:t xml:space="preserve"> Prohibiciones en las zonas de protección hídrica.</w:t>
      </w:r>
    </w:p>
    <w:p w14:paraId="2619FA97" w14:textId="615BF7F6" w:rsidR="00171A53" w:rsidRPr="00B24A80" w:rsidRDefault="00171A53" w:rsidP="00171A53">
      <w:pPr>
        <w:spacing w:before="100" w:beforeAutospacing="1" w:after="100" w:afterAutospacing="1"/>
        <w:rPr>
          <w:rFonts w:asciiTheme="majorHAnsi" w:eastAsia="Times New Roman" w:hAnsiTheme="majorHAnsi" w:cstheme="majorHAnsi"/>
          <w:sz w:val="22"/>
          <w:szCs w:val="22"/>
          <w:lang w:eastAsia="es-EC"/>
        </w:rPr>
      </w:pPr>
      <w:r w:rsidRPr="00B24A80">
        <w:rPr>
          <w:rFonts w:asciiTheme="majorHAnsi" w:eastAsia="Times New Roman" w:hAnsiTheme="majorHAnsi" w:cstheme="majorHAnsi"/>
          <w:sz w:val="22"/>
          <w:szCs w:val="22"/>
          <w:lang w:eastAsia="es-EC"/>
        </w:rPr>
        <w:t>En las franjas de protección de ríos, lagunas, humedales y otros cuerpos de agua, se prohíbe cualquier tipo de construcción, embaulamiento, canalización o modificación del cauce natural, salvo que se trate de infraestructuras necesarias para la gestión del recurso hídrico</w:t>
      </w:r>
      <w:r w:rsidR="009D5D80">
        <w:rPr>
          <w:rFonts w:asciiTheme="majorHAnsi" w:eastAsia="Times New Roman" w:hAnsiTheme="majorHAnsi" w:cstheme="majorHAnsi"/>
          <w:sz w:val="22"/>
          <w:szCs w:val="22"/>
          <w:lang w:eastAsia="es-EC"/>
        </w:rPr>
        <w:t xml:space="preserve"> y de riesgos</w:t>
      </w:r>
      <w:r w:rsidR="00910713">
        <w:rPr>
          <w:rFonts w:asciiTheme="majorHAnsi" w:eastAsia="Times New Roman" w:hAnsiTheme="majorHAnsi" w:cstheme="majorHAnsi"/>
          <w:sz w:val="22"/>
          <w:szCs w:val="22"/>
          <w:lang w:eastAsia="es-EC"/>
        </w:rPr>
        <w:t>, que</w:t>
      </w:r>
      <w:r w:rsidRPr="00B24A80">
        <w:rPr>
          <w:rFonts w:asciiTheme="majorHAnsi" w:eastAsia="Times New Roman" w:hAnsiTheme="majorHAnsi" w:cstheme="majorHAnsi"/>
          <w:sz w:val="22"/>
          <w:szCs w:val="22"/>
          <w:lang w:eastAsia="es-EC"/>
        </w:rPr>
        <w:t xml:space="preserve"> cuenten con los permisos de la </w:t>
      </w:r>
      <w:r w:rsidRPr="00B24A80">
        <w:rPr>
          <w:rFonts w:asciiTheme="majorHAnsi" w:eastAsia="Times New Roman" w:hAnsiTheme="majorHAnsi" w:cstheme="majorHAnsi"/>
          <w:b/>
          <w:bCs/>
          <w:sz w:val="22"/>
          <w:szCs w:val="22"/>
          <w:lang w:eastAsia="es-EC"/>
        </w:rPr>
        <w:t>Unidad de Gestión de Riesgos</w:t>
      </w:r>
      <w:r w:rsidRPr="00B24A80">
        <w:rPr>
          <w:rFonts w:asciiTheme="majorHAnsi" w:eastAsia="Times New Roman" w:hAnsiTheme="majorHAnsi" w:cstheme="majorHAnsi"/>
          <w:sz w:val="22"/>
          <w:szCs w:val="22"/>
          <w:lang w:eastAsia="es-EC"/>
        </w:rPr>
        <w:t xml:space="preserve"> y la autoridad competente. Además, las actividades </w:t>
      </w:r>
      <w:r w:rsidR="00A35002">
        <w:rPr>
          <w:rFonts w:asciiTheme="majorHAnsi" w:eastAsia="Times New Roman" w:hAnsiTheme="majorHAnsi" w:cstheme="majorHAnsi"/>
          <w:sz w:val="22"/>
          <w:szCs w:val="22"/>
          <w:lang w:eastAsia="es-EC"/>
        </w:rPr>
        <w:t>rural</w:t>
      </w:r>
      <w:r w:rsidRPr="00B24A80">
        <w:rPr>
          <w:rFonts w:asciiTheme="majorHAnsi" w:eastAsia="Times New Roman" w:hAnsiTheme="majorHAnsi" w:cstheme="majorHAnsi"/>
          <w:sz w:val="22"/>
          <w:szCs w:val="22"/>
          <w:lang w:eastAsia="es-EC"/>
        </w:rPr>
        <w:t xml:space="preserve">s, industriales y extractivas que se realicen en las zonas cercanas a los cuerpos de agua deberán cumplir con las normas de protección ambiental establecidas en el </w:t>
      </w:r>
      <w:r w:rsidRPr="00B24A80">
        <w:rPr>
          <w:rFonts w:asciiTheme="majorHAnsi" w:eastAsia="Times New Roman" w:hAnsiTheme="majorHAnsi" w:cstheme="majorHAnsi"/>
          <w:b/>
          <w:bCs/>
          <w:sz w:val="22"/>
          <w:szCs w:val="22"/>
          <w:lang w:eastAsia="es-EC"/>
        </w:rPr>
        <w:t>Código Orgánico del Ambiente</w:t>
      </w:r>
      <w:r w:rsidRPr="00B24A80">
        <w:rPr>
          <w:rFonts w:asciiTheme="majorHAnsi" w:eastAsia="Times New Roman" w:hAnsiTheme="majorHAnsi" w:cstheme="majorHAnsi"/>
          <w:sz w:val="22"/>
          <w:szCs w:val="22"/>
          <w:lang w:eastAsia="es-EC"/>
        </w:rPr>
        <w:t>.</w:t>
      </w:r>
    </w:p>
    <w:p w14:paraId="0552D6E4" w14:textId="77777777" w:rsidR="00E017BF" w:rsidRPr="004471F3" w:rsidRDefault="00171A53" w:rsidP="00B24A80">
      <w:pPr>
        <w:spacing w:before="100" w:beforeAutospacing="1" w:after="100" w:afterAutospacing="1"/>
        <w:rPr>
          <w:rFonts w:asciiTheme="majorHAnsi" w:eastAsia="Times New Roman" w:hAnsiTheme="majorHAnsi" w:cstheme="majorHAnsi"/>
          <w:sz w:val="22"/>
          <w:szCs w:val="22"/>
          <w:lang w:eastAsia="es-EC"/>
        </w:rPr>
      </w:pPr>
      <w:r w:rsidRPr="004471F3">
        <w:rPr>
          <w:rFonts w:asciiTheme="majorHAnsi" w:eastAsia="Times New Roman" w:hAnsiTheme="majorHAnsi" w:cstheme="majorHAnsi"/>
          <w:b/>
          <w:bCs/>
          <w:sz w:val="22"/>
          <w:szCs w:val="22"/>
          <w:lang w:eastAsia="es-EC"/>
        </w:rPr>
        <w:lastRenderedPageBreak/>
        <w:t>Artículo 19.</w:t>
      </w:r>
      <w:r w:rsidRPr="004471F3">
        <w:rPr>
          <w:rFonts w:asciiTheme="majorHAnsi" w:eastAsia="Times New Roman" w:hAnsiTheme="majorHAnsi" w:cstheme="majorHAnsi"/>
          <w:sz w:val="22"/>
          <w:szCs w:val="22"/>
          <w:lang w:eastAsia="es-EC"/>
        </w:rPr>
        <w:t xml:space="preserve"> Protección de las fuentes de agua para consumo humano.</w:t>
      </w:r>
    </w:p>
    <w:p w14:paraId="60B438D1" w14:textId="14CF7424" w:rsidR="00DC27E8" w:rsidRPr="004471F3" w:rsidRDefault="00171A53" w:rsidP="00B24A80">
      <w:pPr>
        <w:spacing w:before="100" w:beforeAutospacing="1" w:after="100" w:afterAutospacing="1"/>
        <w:rPr>
          <w:rFonts w:asciiTheme="majorHAnsi" w:eastAsia="Times New Roman" w:hAnsiTheme="majorHAnsi" w:cstheme="majorHAnsi"/>
          <w:sz w:val="22"/>
          <w:szCs w:val="22"/>
          <w:lang w:eastAsia="es-EC"/>
        </w:rPr>
      </w:pPr>
      <w:r w:rsidRPr="004471F3">
        <w:rPr>
          <w:rFonts w:asciiTheme="majorHAnsi" w:eastAsia="Times New Roman" w:hAnsiTheme="majorHAnsi" w:cstheme="majorHAnsi"/>
          <w:sz w:val="22"/>
          <w:szCs w:val="22"/>
          <w:lang w:eastAsia="es-EC"/>
        </w:rPr>
        <w:t xml:space="preserve">En cuerpos de agua destinados al consumo humano, las franjas de protección serán mayores, conforme a lo dispuesto en el </w:t>
      </w:r>
      <w:r w:rsidRPr="004471F3">
        <w:rPr>
          <w:rFonts w:asciiTheme="majorHAnsi" w:eastAsia="Times New Roman" w:hAnsiTheme="majorHAnsi" w:cstheme="majorHAnsi"/>
          <w:bCs/>
          <w:sz w:val="22"/>
          <w:szCs w:val="22"/>
          <w:lang w:eastAsia="es-EC"/>
        </w:rPr>
        <w:t xml:space="preserve">Reglamento de la </w:t>
      </w:r>
      <w:r w:rsidRPr="004471F3">
        <w:rPr>
          <w:rFonts w:asciiTheme="majorHAnsi" w:eastAsia="Times New Roman" w:hAnsiTheme="majorHAnsi" w:cstheme="majorHAnsi"/>
          <w:sz w:val="22"/>
          <w:szCs w:val="22"/>
          <w:lang w:eastAsia="es-EC"/>
        </w:rPr>
        <w:t xml:space="preserve">Ley Orgánica de Recursos Hídricos, Usos y Aprovechamiento del Agua (LORHUyA). Para los reservorios y fuentes de agua potable, la franja mínima de protección será de 200 metros desde el borde, con el fin de prevenir la contaminación por actividades antrópicas. Cualquier intervención en estas áreas deberá cumplir con los estándares de calidad de agua </w:t>
      </w:r>
      <w:r w:rsidR="002F72BE">
        <w:rPr>
          <w:rFonts w:asciiTheme="majorHAnsi" w:eastAsia="Times New Roman" w:hAnsiTheme="majorHAnsi" w:cstheme="majorHAnsi"/>
          <w:sz w:val="22"/>
          <w:szCs w:val="22"/>
          <w:lang w:eastAsia="es-EC"/>
        </w:rPr>
        <w:t>para consumo humano</w:t>
      </w:r>
      <w:r w:rsidRPr="004471F3">
        <w:rPr>
          <w:rFonts w:asciiTheme="majorHAnsi" w:eastAsia="Times New Roman" w:hAnsiTheme="majorHAnsi" w:cstheme="majorHAnsi"/>
          <w:sz w:val="22"/>
          <w:szCs w:val="22"/>
          <w:lang w:eastAsia="es-EC"/>
        </w:rPr>
        <w:t xml:space="preserve"> establecidos por el </w:t>
      </w:r>
      <w:r w:rsidRPr="004471F3">
        <w:rPr>
          <w:rFonts w:asciiTheme="majorHAnsi" w:eastAsia="Times New Roman" w:hAnsiTheme="majorHAnsi" w:cstheme="majorHAnsi"/>
          <w:b/>
          <w:bCs/>
          <w:sz w:val="22"/>
          <w:szCs w:val="22"/>
          <w:lang w:eastAsia="es-EC"/>
        </w:rPr>
        <w:t xml:space="preserve">Reglamento Sanitario de Calidad del Agua </w:t>
      </w:r>
      <w:r w:rsidR="000E6E3D">
        <w:rPr>
          <w:rFonts w:asciiTheme="majorHAnsi" w:eastAsia="Times New Roman" w:hAnsiTheme="majorHAnsi" w:cstheme="majorHAnsi"/>
          <w:b/>
          <w:bCs/>
          <w:sz w:val="22"/>
          <w:szCs w:val="22"/>
          <w:lang w:eastAsia="es-EC"/>
        </w:rPr>
        <w:t xml:space="preserve">para </w:t>
      </w:r>
      <w:r w:rsidR="00E3667F">
        <w:rPr>
          <w:rFonts w:asciiTheme="majorHAnsi" w:eastAsia="Times New Roman" w:hAnsiTheme="majorHAnsi" w:cstheme="majorHAnsi"/>
          <w:b/>
          <w:bCs/>
          <w:sz w:val="22"/>
          <w:szCs w:val="22"/>
          <w:lang w:eastAsia="es-EC"/>
        </w:rPr>
        <w:t>C</w:t>
      </w:r>
      <w:r w:rsidR="000E6E3D">
        <w:rPr>
          <w:rFonts w:asciiTheme="majorHAnsi" w:eastAsia="Times New Roman" w:hAnsiTheme="majorHAnsi" w:cstheme="majorHAnsi"/>
          <w:b/>
          <w:bCs/>
          <w:sz w:val="22"/>
          <w:szCs w:val="22"/>
          <w:lang w:eastAsia="es-EC"/>
        </w:rPr>
        <w:t xml:space="preserve">onsumo </w:t>
      </w:r>
      <w:r w:rsidR="00E3667F">
        <w:rPr>
          <w:rFonts w:asciiTheme="majorHAnsi" w:eastAsia="Times New Roman" w:hAnsiTheme="majorHAnsi" w:cstheme="majorHAnsi"/>
          <w:b/>
          <w:bCs/>
          <w:sz w:val="22"/>
          <w:szCs w:val="22"/>
          <w:lang w:eastAsia="es-EC"/>
        </w:rPr>
        <w:t>H</w:t>
      </w:r>
      <w:r w:rsidR="000E6E3D">
        <w:rPr>
          <w:rFonts w:asciiTheme="majorHAnsi" w:eastAsia="Times New Roman" w:hAnsiTheme="majorHAnsi" w:cstheme="majorHAnsi"/>
          <w:b/>
          <w:bCs/>
          <w:sz w:val="22"/>
          <w:szCs w:val="22"/>
          <w:lang w:eastAsia="es-EC"/>
        </w:rPr>
        <w:t>umano</w:t>
      </w:r>
      <w:r w:rsidRPr="004471F3">
        <w:rPr>
          <w:rFonts w:asciiTheme="majorHAnsi" w:eastAsia="Times New Roman" w:hAnsiTheme="majorHAnsi" w:cstheme="majorHAnsi"/>
          <w:sz w:val="22"/>
          <w:szCs w:val="22"/>
          <w:lang w:eastAsia="es-EC"/>
        </w:rPr>
        <w:t>.</w:t>
      </w:r>
    </w:p>
    <w:sectPr w:rsidR="00DC27E8" w:rsidRPr="004471F3">
      <w:type w:val="continuous"/>
      <w:pgSz w:w="11900" w:h="16840"/>
      <w:pgMar w:top="1417" w:right="1701" w:bottom="1417" w:left="1701"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58830" w14:textId="77777777" w:rsidR="00B80ACF" w:rsidRDefault="00B80ACF">
      <w:r>
        <w:separator/>
      </w:r>
    </w:p>
  </w:endnote>
  <w:endnote w:type="continuationSeparator" w:id="0">
    <w:p w14:paraId="01E0D6CB" w14:textId="77777777" w:rsidR="00B80ACF" w:rsidRDefault="00B8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mo">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B710" w14:textId="066BD736" w:rsidR="008F682C" w:rsidRPr="00B24A80" w:rsidRDefault="008F682C">
    <w:pPr>
      <w:pBdr>
        <w:top w:val="nil"/>
        <w:left w:val="nil"/>
        <w:bottom w:val="nil"/>
        <w:right w:val="nil"/>
        <w:between w:val="nil"/>
      </w:pBdr>
      <w:tabs>
        <w:tab w:val="center" w:pos="4419"/>
        <w:tab w:val="right" w:pos="8838"/>
      </w:tabs>
      <w:jc w:val="right"/>
      <w:rPr>
        <w:color w:val="000000"/>
        <w:sz w:val="18"/>
        <w:szCs w:val="18"/>
      </w:rPr>
    </w:pPr>
    <w:r w:rsidRPr="00B24A80">
      <w:rPr>
        <w:color w:val="000000"/>
        <w:sz w:val="18"/>
        <w:szCs w:val="18"/>
      </w:rPr>
      <w:fldChar w:fldCharType="begin"/>
    </w:r>
    <w:r w:rsidRPr="00B24A80">
      <w:rPr>
        <w:color w:val="000000"/>
        <w:sz w:val="18"/>
        <w:szCs w:val="18"/>
      </w:rPr>
      <w:instrText>PAGE</w:instrText>
    </w:r>
    <w:r w:rsidRPr="00B24A80">
      <w:rPr>
        <w:color w:val="000000"/>
        <w:sz w:val="18"/>
        <w:szCs w:val="18"/>
      </w:rPr>
      <w:fldChar w:fldCharType="separate"/>
    </w:r>
    <w:r w:rsidR="00D525E1">
      <w:rPr>
        <w:noProof/>
        <w:color w:val="000000"/>
        <w:sz w:val="18"/>
        <w:szCs w:val="18"/>
      </w:rPr>
      <w:t>1</w:t>
    </w:r>
    <w:r w:rsidRPr="00B24A80">
      <w:rPr>
        <w:color w:val="000000"/>
        <w:sz w:val="18"/>
        <w:szCs w:val="18"/>
      </w:rPr>
      <w:fldChar w:fldCharType="end"/>
    </w:r>
  </w:p>
  <w:p w14:paraId="58B8D1A7" w14:textId="77777777" w:rsidR="008F682C" w:rsidRDefault="008F682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8F2E0" w14:textId="77777777" w:rsidR="00B80ACF" w:rsidRDefault="00B80ACF">
      <w:r>
        <w:separator/>
      </w:r>
    </w:p>
  </w:footnote>
  <w:footnote w:type="continuationSeparator" w:id="0">
    <w:p w14:paraId="3F08F81A" w14:textId="77777777" w:rsidR="00B80ACF" w:rsidRDefault="00B80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65640C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B43025"/>
    <w:multiLevelType w:val="multilevel"/>
    <w:tmpl w:val="4D68FE64"/>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 w15:restartNumberingAfterBreak="0">
    <w:nsid w:val="01A40ED0"/>
    <w:multiLevelType w:val="multilevel"/>
    <w:tmpl w:val="D7963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4A476D"/>
    <w:multiLevelType w:val="multilevel"/>
    <w:tmpl w:val="C6403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EC2F07"/>
    <w:multiLevelType w:val="hybridMultilevel"/>
    <w:tmpl w:val="D4263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02A5E"/>
    <w:multiLevelType w:val="multilevel"/>
    <w:tmpl w:val="325666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D054FF"/>
    <w:multiLevelType w:val="hybridMultilevel"/>
    <w:tmpl w:val="FA3A2C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07E87249"/>
    <w:multiLevelType w:val="hybridMultilevel"/>
    <w:tmpl w:val="48181E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E8764F"/>
    <w:multiLevelType w:val="hybridMultilevel"/>
    <w:tmpl w:val="F18C26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B4C140E"/>
    <w:multiLevelType w:val="multilevel"/>
    <w:tmpl w:val="2E90A35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B613654"/>
    <w:multiLevelType w:val="hybridMultilevel"/>
    <w:tmpl w:val="07466F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D39005D"/>
    <w:multiLevelType w:val="hybridMultilevel"/>
    <w:tmpl w:val="3976C5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7903D2"/>
    <w:multiLevelType w:val="multilevel"/>
    <w:tmpl w:val="6B703C42"/>
    <w:lvl w:ilvl="0">
      <w:start w:val="1"/>
      <w:numFmt w:val="lowerLetter"/>
      <w:lvlText w:val="%1)"/>
      <w:lvlJc w:val="left"/>
      <w:pPr>
        <w:ind w:left="1743" w:hanging="1035"/>
      </w:pPr>
    </w:lvl>
    <w:lvl w:ilvl="1">
      <w:start w:val="1"/>
      <w:numFmt w:val="bullet"/>
      <w:lvlText w:val=""/>
      <w:lvlJc w:val="left"/>
      <w:pPr>
        <w:ind w:left="1788" w:hanging="360"/>
      </w:pPr>
      <w:rPr>
        <w:rFonts w:ascii="Calibri" w:eastAsia="Calibri" w:hAnsi="Calibri" w:cs="Calibri"/>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0EF15CB5"/>
    <w:multiLevelType w:val="hybridMultilevel"/>
    <w:tmpl w:val="C93EF010"/>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0F0A1FD3"/>
    <w:multiLevelType w:val="hybridMultilevel"/>
    <w:tmpl w:val="1D3612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75615"/>
    <w:multiLevelType w:val="multilevel"/>
    <w:tmpl w:val="33A0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1A806F7"/>
    <w:multiLevelType w:val="multilevel"/>
    <w:tmpl w:val="C6F2B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EF2F03"/>
    <w:multiLevelType w:val="hybridMultilevel"/>
    <w:tmpl w:val="632AAAC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12D64482"/>
    <w:multiLevelType w:val="hybridMultilevel"/>
    <w:tmpl w:val="022459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1D2404"/>
    <w:multiLevelType w:val="hybridMultilevel"/>
    <w:tmpl w:val="C76AE69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20" w15:restartNumberingAfterBreak="0">
    <w:nsid w:val="15DF36A8"/>
    <w:multiLevelType w:val="multilevel"/>
    <w:tmpl w:val="C788250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F61D80"/>
    <w:multiLevelType w:val="multilevel"/>
    <w:tmpl w:val="E9D05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B2D461B"/>
    <w:multiLevelType w:val="multilevel"/>
    <w:tmpl w:val="6C463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DD76C4B"/>
    <w:multiLevelType w:val="hybridMultilevel"/>
    <w:tmpl w:val="AFDC0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663A71"/>
    <w:multiLevelType w:val="hybridMultilevel"/>
    <w:tmpl w:val="8D3CE1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1F942136"/>
    <w:multiLevelType w:val="hybridMultilevel"/>
    <w:tmpl w:val="7A28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B9301F"/>
    <w:multiLevelType w:val="hybridMultilevel"/>
    <w:tmpl w:val="BEA2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D20172"/>
    <w:multiLevelType w:val="multilevel"/>
    <w:tmpl w:val="297A71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2D16E43"/>
    <w:multiLevelType w:val="hybridMultilevel"/>
    <w:tmpl w:val="78EED1E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9" w15:restartNumberingAfterBreak="0">
    <w:nsid w:val="23291F17"/>
    <w:multiLevelType w:val="multilevel"/>
    <w:tmpl w:val="FE5A852A"/>
    <w:lvl w:ilvl="0">
      <w:start w:val="1"/>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30" w15:restartNumberingAfterBreak="0">
    <w:nsid w:val="261E78FA"/>
    <w:multiLevelType w:val="multilevel"/>
    <w:tmpl w:val="E17A8C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6234E69"/>
    <w:multiLevelType w:val="multilevel"/>
    <w:tmpl w:val="BCBAE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95025A4"/>
    <w:multiLevelType w:val="multilevel"/>
    <w:tmpl w:val="A1524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9682DAE"/>
    <w:multiLevelType w:val="multilevel"/>
    <w:tmpl w:val="6FB4A6F4"/>
    <w:lvl w:ilvl="0">
      <w:start w:val="1"/>
      <w:numFmt w:val="lowerLetter"/>
      <w:lvlText w:val="%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29FB3365"/>
    <w:multiLevelType w:val="hybridMultilevel"/>
    <w:tmpl w:val="B1F0E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7C6BE8"/>
    <w:multiLevelType w:val="hybridMultilevel"/>
    <w:tmpl w:val="C262D8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531DC2"/>
    <w:multiLevelType w:val="hybridMultilevel"/>
    <w:tmpl w:val="B1BAA9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A3588F"/>
    <w:multiLevelType w:val="hybridMultilevel"/>
    <w:tmpl w:val="56B25C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2F0BEC"/>
    <w:multiLevelType w:val="multilevel"/>
    <w:tmpl w:val="201C3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17E66D3"/>
    <w:multiLevelType w:val="multilevel"/>
    <w:tmpl w:val="19C051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18B6638"/>
    <w:multiLevelType w:val="multilevel"/>
    <w:tmpl w:val="5B485B82"/>
    <w:lvl w:ilvl="0">
      <w:start w:val="1"/>
      <w:numFmt w:val="lowerLetter"/>
      <w:lvlText w:val="%1)"/>
      <w:lvlJc w:val="left"/>
      <w:pPr>
        <w:ind w:left="3443" w:hanging="1035"/>
      </w:pPr>
    </w:lvl>
    <w:lvl w:ilvl="1">
      <w:start w:val="1"/>
      <w:numFmt w:val="lowerLetter"/>
      <w:lvlText w:val="%2."/>
      <w:lvlJc w:val="left"/>
      <w:pPr>
        <w:ind w:left="3488" w:hanging="360"/>
      </w:pPr>
    </w:lvl>
    <w:lvl w:ilvl="2">
      <w:start w:val="1"/>
      <w:numFmt w:val="lowerRoman"/>
      <w:lvlText w:val="%3."/>
      <w:lvlJc w:val="right"/>
      <w:pPr>
        <w:ind w:left="4208" w:hanging="180"/>
      </w:pPr>
    </w:lvl>
    <w:lvl w:ilvl="3">
      <w:start w:val="1"/>
      <w:numFmt w:val="decimal"/>
      <w:lvlText w:val="%4."/>
      <w:lvlJc w:val="left"/>
      <w:pPr>
        <w:ind w:left="4928" w:hanging="360"/>
      </w:pPr>
    </w:lvl>
    <w:lvl w:ilvl="4">
      <w:start w:val="1"/>
      <w:numFmt w:val="lowerLetter"/>
      <w:lvlText w:val="%5."/>
      <w:lvlJc w:val="left"/>
      <w:pPr>
        <w:ind w:left="5648" w:hanging="360"/>
      </w:pPr>
    </w:lvl>
    <w:lvl w:ilvl="5">
      <w:start w:val="1"/>
      <w:numFmt w:val="lowerRoman"/>
      <w:lvlText w:val="%6."/>
      <w:lvlJc w:val="right"/>
      <w:pPr>
        <w:ind w:left="6368" w:hanging="180"/>
      </w:pPr>
    </w:lvl>
    <w:lvl w:ilvl="6">
      <w:start w:val="1"/>
      <w:numFmt w:val="decimal"/>
      <w:lvlText w:val="%7."/>
      <w:lvlJc w:val="left"/>
      <w:pPr>
        <w:ind w:left="7088" w:hanging="360"/>
      </w:pPr>
    </w:lvl>
    <w:lvl w:ilvl="7">
      <w:start w:val="1"/>
      <w:numFmt w:val="lowerLetter"/>
      <w:lvlText w:val="%8."/>
      <w:lvlJc w:val="left"/>
      <w:pPr>
        <w:ind w:left="7808" w:hanging="360"/>
      </w:pPr>
    </w:lvl>
    <w:lvl w:ilvl="8">
      <w:start w:val="1"/>
      <w:numFmt w:val="lowerRoman"/>
      <w:lvlText w:val="%9."/>
      <w:lvlJc w:val="right"/>
      <w:pPr>
        <w:ind w:left="8528" w:hanging="180"/>
      </w:pPr>
    </w:lvl>
  </w:abstractNum>
  <w:abstractNum w:abstractNumId="41" w15:restartNumberingAfterBreak="0">
    <w:nsid w:val="3274390D"/>
    <w:multiLevelType w:val="multilevel"/>
    <w:tmpl w:val="D6F06A5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2DE3F48"/>
    <w:multiLevelType w:val="hybridMultilevel"/>
    <w:tmpl w:val="45A42858"/>
    <w:lvl w:ilvl="0" w:tplc="E97A71D4">
      <w:start w:val="1"/>
      <w:numFmt w:val="lowerLetter"/>
      <w:lvlText w:val="%1."/>
      <w:lvlJc w:val="left"/>
      <w:pPr>
        <w:ind w:left="1635" w:hanging="360"/>
      </w:pPr>
      <w:rPr>
        <w:b/>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3" w15:restartNumberingAfterBreak="0">
    <w:nsid w:val="3397563A"/>
    <w:multiLevelType w:val="hybridMultilevel"/>
    <w:tmpl w:val="93CA14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33E349D3"/>
    <w:multiLevelType w:val="hybridMultilevel"/>
    <w:tmpl w:val="1CCE857E"/>
    <w:lvl w:ilvl="0" w:tplc="300A0017">
      <w:start w:val="1"/>
      <w:numFmt w:val="lowerLetter"/>
      <w:lvlText w:val="%1)"/>
      <w:lvlJc w:val="left"/>
      <w:pPr>
        <w:ind w:left="720" w:hanging="360"/>
      </w:pPr>
    </w:lvl>
    <w:lvl w:ilvl="1" w:tplc="B854284E">
      <w:start w:val="1"/>
      <w:numFmt w:val="lowerLetter"/>
      <w:lvlText w:val="%2)"/>
      <w:lvlJc w:val="left"/>
      <w:pPr>
        <w:ind w:left="1440" w:hanging="360"/>
      </w:pPr>
      <w:rPr>
        <w:rFonts w:asciiTheme="majorHAnsi" w:eastAsia="Arimo" w:hAnsiTheme="majorHAnsi" w:cstheme="majorHAnsi"/>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34AF699A"/>
    <w:multiLevelType w:val="hybridMultilevel"/>
    <w:tmpl w:val="25F6AA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3A417E"/>
    <w:multiLevelType w:val="hybridMultilevel"/>
    <w:tmpl w:val="402AE7B2"/>
    <w:lvl w:ilvl="0" w:tplc="19BA5FFE">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375213C8"/>
    <w:multiLevelType w:val="multilevel"/>
    <w:tmpl w:val="0868D0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78D5453"/>
    <w:multiLevelType w:val="hybridMultilevel"/>
    <w:tmpl w:val="59488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C17E0F"/>
    <w:multiLevelType w:val="multilevel"/>
    <w:tmpl w:val="BACA4EC8"/>
    <w:lvl w:ilvl="0">
      <w:start w:val="1"/>
      <w:numFmt w:val="bullet"/>
      <w:lvlText w:val="o"/>
      <w:lvlJc w:val="left"/>
      <w:pPr>
        <w:ind w:left="720" w:hanging="360"/>
      </w:pPr>
      <w:rPr>
        <w:rFonts w:ascii="Courier New" w:eastAsia="Courier New" w:hAnsi="Courier New" w:cs="Courier New"/>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9A52408"/>
    <w:multiLevelType w:val="multilevel"/>
    <w:tmpl w:val="F40C0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C854B3"/>
    <w:multiLevelType w:val="multilevel"/>
    <w:tmpl w:val="4E9C12B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3AFE63D0"/>
    <w:multiLevelType w:val="hybridMultilevel"/>
    <w:tmpl w:val="D2CA0B64"/>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15:restartNumberingAfterBreak="0">
    <w:nsid w:val="3B98074E"/>
    <w:multiLevelType w:val="hybridMultilevel"/>
    <w:tmpl w:val="CBCC0B4A"/>
    <w:lvl w:ilvl="0" w:tplc="300A000F">
      <w:start w:val="1"/>
      <w:numFmt w:val="decimal"/>
      <w:lvlText w:val="%1."/>
      <w:lvlJc w:val="left"/>
      <w:pPr>
        <w:ind w:left="1004" w:hanging="360"/>
      </w:pPr>
    </w:lvl>
    <w:lvl w:ilvl="1" w:tplc="300A0019">
      <w:start w:val="1"/>
      <w:numFmt w:val="lowerLetter"/>
      <w:lvlText w:val="%2."/>
      <w:lvlJc w:val="left"/>
      <w:pPr>
        <w:ind w:left="1724" w:hanging="360"/>
      </w:pPr>
    </w:lvl>
    <w:lvl w:ilvl="2" w:tplc="300A001B">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54" w15:restartNumberingAfterBreak="0">
    <w:nsid w:val="3BE5704F"/>
    <w:multiLevelType w:val="multilevel"/>
    <w:tmpl w:val="CDFCC034"/>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 w15:restartNumberingAfterBreak="0">
    <w:nsid w:val="3D867376"/>
    <w:multiLevelType w:val="multilevel"/>
    <w:tmpl w:val="99F01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B0B8C"/>
    <w:multiLevelType w:val="multilevel"/>
    <w:tmpl w:val="37425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3B1828"/>
    <w:multiLevelType w:val="hybridMultilevel"/>
    <w:tmpl w:val="2AE86122"/>
    <w:lvl w:ilvl="0" w:tplc="E94EEE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317F8C"/>
    <w:multiLevelType w:val="hybridMultilevel"/>
    <w:tmpl w:val="F40652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A90892"/>
    <w:multiLevelType w:val="multilevel"/>
    <w:tmpl w:val="E8521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C65EAD"/>
    <w:multiLevelType w:val="multilevel"/>
    <w:tmpl w:val="C972A8C8"/>
    <w:lvl w:ilvl="0">
      <w:start w:val="1"/>
      <w:numFmt w:val="lowerLetter"/>
      <w:lvlText w:val="%1)"/>
      <w:lvlJc w:val="left"/>
      <w:pPr>
        <w:ind w:left="0" w:firstLine="0"/>
      </w:pPr>
      <w:rPr>
        <w:rFonts w:ascii="Arial" w:eastAsia="Arial" w:hAnsi="Arial" w:cs="Arial"/>
        <w:b w:val="0"/>
        <w:i w:val="0"/>
        <w:smallCaps w:val="0"/>
        <w:strike w:val="0"/>
        <w:color w:val="000000"/>
        <w:sz w:val="24"/>
        <w:szCs w:val="24"/>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 w15:restartNumberingAfterBreak="0">
    <w:nsid w:val="3FF9055A"/>
    <w:multiLevelType w:val="multilevel"/>
    <w:tmpl w:val="089803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30014F6"/>
    <w:multiLevelType w:val="multilevel"/>
    <w:tmpl w:val="B408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3D04490"/>
    <w:multiLevelType w:val="multilevel"/>
    <w:tmpl w:val="38FEF60E"/>
    <w:lvl w:ilvl="0">
      <w:start w:val="1"/>
      <w:numFmt w:val="decimal"/>
      <w:pStyle w:val="ArtCOIP"/>
      <w:lvlText w:val="%1."/>
      <w:lvlJc w:val="left"/>
      <w:pPr>
        <w:tabs>
          <w:tab w:val="num" w:pos="720"/>
        </w:tabs>
        <w:ind w:left="720" w:hanging="720"/>
      </w:pPr>
    </w:lvl>
    <w:lvl w:ilvl="1">
      <w:start w:val="1"/>
      <w:numFmt w:val="decimal"/>
      <w:pStyle w:val="NumeralesCOIP"/>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4052D7D"/>
    <w:multiLevelType w:val="hybridMultilevel"/>
    <w:tmpl w:val="055866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077190"/>
    <w:multiLevelType w:val="hybridMultilevel"/>
    <w:tmpl w:val="FD8EC3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45242E3B"/>
    <w:multiLevelType w:val="hybridMultilevel"/>
    <w:tmpl w:val="445CD7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56A316B"/>
    <w:multiLevelType w:val="hybridMultilevel"/>
    <w:tmpl w:val="3886E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B902E8"/>
    <w:multiLevelType w:val="multilevel"/>
    <w:tmpl w:val="7A6E4C7A"/>
    <w:lvl w:ilvl="0">
      <w:start w:val="1"/>
      <w:numFmt w:val="decimal"/>
      <w:lvlText w:val="%1."/>
      <w:lvlJc w:val="left"/>
      <w:pPr>
        <w:ind w:left="0" w:firstLine="0"/>
      </w:pPr>
      <w:rPr>
        <w:rFonts w:ascii="Arial Narrow" w:eastAsia="Arial Narrow" w:hAnsi="Arial Narrow" w:cs="Arial Narrow"/>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 w15:restartNumberingAfterBreak="0">
    <w:nsid w:val="465F5B75"/>
    <w:multiLevelType w:val="hybridMultilevel"/>
    <w:tmpl w:val="C5640F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2D4542"/>
    <w:multiLevelType w:val="multilevel"/>
    <w:tmpl w:val="56348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B0C432E"/>
    <w:multiLevelType w:val="hybridMultilevel"/>
    <w:tmpl w:val="E6E46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651FD2"/>
    <w:multiLevelType w:val="hybridMultilevel"/>
    <w:tmpl w:val="FF8C42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8211CE"/>
    <w:multiLevelType w:val="hybridMultilevel"/>
    <w:tmpl w:val="9FE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0A2F5A"/>
    <w:multiLevelType w:val="multilevel"/>
    <w:tmpl w:val="ABE87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D393AB1"/>
    <w:multiLevelType w:val="hybridMultilevel"/>
    <w:tmpl w:val="90FEFB8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D6844D9"/>
    <w:multiLevelType w:val="hybridMultilevel"/>
    <w:tmpl w:val="EBC0CCFE"/>
    <w:lvl w:ilvl="0" w:tplc="BB66BDA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7" w15:restartNumberingAfterBreak="0">
    <w:nsid w:val="4EA54BE1"/>
    <w:multiLevelType w:val="hybridMultilevel"/>
    <w:tmpl w:val="5DE6C5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FFC38D1"/>
    <w:multiLevelType w:val="hybridMultilevel"/>
    <w:tmpl w:val="AE824146"/>
    <w:lvl w:ilvl="0" w:tplc="0409000F">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09C474C"/>
    <w:multiLevelType w:val="hybridMultilevel"/>
    <w:tmpl w:val="089A70F2"/>
    <w:lvl w:ilvl="0" w:tplc="300A001B">
      <w:start w:val="1"/>
      <w:numFmt w:val="lowerRoman"/>
      <w:lvlText w:val="%1."/>
      <w:lvlJc w:val="right"/>
      <w:pPr>
        <w:ind w:left="1211" w:hanging="360"/>
      </w:pPr>
    </w:lvl>
    <w:lvl w:ilvl="1" w:tplc="300A0019">
      <w:start w:val="1"/>
      <w:numFmt w:val="lowerLetter"/>
      <w:lvlText w:val="%2."/>
      <w:lvlJc w:val="left"/>
      <w:pPr>
        <w:ind w:left="1931" w:hanging="360"/>
      </w:pPr>
    </w:lvl>
    <w:lvl w:ilvl="2" w:tplc="300A001B">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80" w15:restartNumberingAfterBreak="0">
    <w:nsid w:val="50E77585"/>
    <w:multiLevelType w:val="multilevel"/>
    <w:tmpl w:val="76DC401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512666DA"/>
    <w:multiLevelType w:val="multilevel"/>
    <w:tmpl w:val="0ECE7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18C1F5D"/>
    <w:multiLevelType w:val="hybridMultilevel"/>
    <w:tmpl w:val="D75ED9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3F76D59"/>
    <w:multiLevelType w:val="hybridMultilevel"/>
    <w:tmpl w:val="72E4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1822D4"/>
    <w:multiLevelType w:val="hybridMultilevel"/>
    <w:tmpl w:val="4C6418B0"/>
    <w:lvl w:ilvl="0" w:tplc="04090013">
      <w:start w:val="1"/>
      <w:numFmt w:val="upperRoman"/>
      <w:lvlText w:val="%1."/>
      <w:lvlJc w:val="right"/>
      <w:pPr>
        <w:ind w:left="720" w:hanging="360"/>
      </w:pPr>
      <w:rPr>
        <w:rFonts w:hint="default"/>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5" w15:restartNumberingAfterBreak="0">
    <w:nsid w:val="566A5F55"/>
    <w:multiLevelType w:val="multilevel"/>
    <w:tmpl w:val="2D127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69961ED"/>
    <w:multiLevelType w:val="multilevel"/>
    <w:tmpl w:val="0C42B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74F2F8F"/>
    <w:multiLevelType w:val="hybridMultilevel"/>
    <w:tmpl w:val="728A84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982F80"/>
    <w:multiLevelType w:val="multilevel"/>
    <w:tmpl w:val="F8487798"/>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89" w15:restartNumberingAfterBreak="0">
    <w:nsid w:val="58DB15C8"/>
    <w:multiLevelType w:val="multilevel"/>
    <w:tmpl w:val="B8725D82"/>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0" w15:restartNumberingAfterBreak="0">
    <w:nsid w:val="59846625"/>
    <w:multiLevelType w:val="multilevel"/>
    <w:tmpl w:val="E3142B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AA816DC"/>
    <w:multiLevelType w:val="hybridMultilevel"/>
    <w:tmpl w:val="47CC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AFC3A29"/>
    <w:multiLevelType w:val="hybridMultilevel"/>
    <w:tmpl w:val="C8DE7E1A"/>
    <w:lvl w:ilvl="0" w:tplc="31DE6D8C">
      <w:numFmt w:val="bullet"/>
      <w:lvlText w:val=""/>
      <w:lvlJc w:val="left"/>
      <w:pPr>
        <w:ind w:left="822" w:hanging="360"/>
      </w:pPr>
      <w:rPr>
        <w:rFonts w:ascii="Symbol" w:eastAsia="Symbol" w:hAnsi="Symbol" w:cs="Symbol" w:hint="default"/>
        <w:w w:val="100"/>
        <w:sz w:val="24"/>
        <w:szCs w:val="24"/>
        <w:lang w:val="es-ES" w:eastAsia="en-US" w:bidi="ar-SA"/>
      </w:rPr>
    </w:lvl>
    <w:lvl w:ilvl="1" w:tplc="24762F90">
      <w:numFmt w:val="bullet"/>
      <w:lvlText w:val="-"/>
      <w:lvlJc w:val="left"/>
      <w:pPr>
        <w:ind w:left="1542" w:hanging="360"/>
      </w:pPr>
      <w:rPr>
        <w:rFonts w:ascii="Calibri" w:eastAsia="Calibri" w:hAnsi="Calibri" w:cs="Calibri" w:hint="default"/>
        <w:w w:val="100"/>
        <w:sz w:val="24"/>
        <w:szCs w:val="24"/>
        <w:lang w:val="es-ES" w:eastAsia="en-US" w:bidi="ar-SA"/>
      </w:rPr>
    </w:lvl>
    <w:lvl w:ilvl="2" w:tplc="09E86DEC">
      <w:numFmt w:val="bullet"/>
      <w:lvlText w:val="•"/>
      <w:lvlJc w:val="left"/>
      <w:pPr>
        <w:ind w:left="2338" w:hanging="360"/>
      </w:pPr>
      <w:rPr>
        <w:rFonts w:hint="default"/>
        <w:lang w:val="es-ES" w:eastAsia="en-US" w:bidi="ar-SA"/>
      </w:rPr>
    </w:lvl>
    <w:lvl w:ilvl="3" w:tplc="71B00786">
      <w:numFmt w:val="bullet"/>
      <w:lvlText w:val="•"/>
      <w:lvlJc w:val="left"/>
      <w:pPr>
        <w:ind w:left="3136" w:hanging="360"/>
      </w:pPr>
      <w:rPr>
        <w:rFonts w:hint="default"/>
        <w:lang w:val="es-ES" w:eastAsia="en-US" w:bidi="ar-SA"/>
      </w:rPr>
    </w:lvl>
    <w:lvl w:ilvl="4" w:tplc="11AC3DD2">
      <w:numFmt w:val="bullet"/>
      <w:lvlText w:val="•"/>
      <w:lvlJc w:val="left"/>
      <w:pPr>
        <w:ind w:left="3935" w:hanging="360"/>
      </w:pPr>
      <w:rPr>
        <w:rFonts w:hint="default"/>
        <w:lang w:val="es-ES" w:eastAsia="en-US" w:bidi="ar-SA"/>
      </w:rPr>
    </w:lvl>
    <w:lvl w:ilvl="5" w:tplc="282220C2">
      <w:numFmt w:val="bullet"/>
      <w:lvlText w:val="•"/>
      <w:lvlJc w:val="left"/>
      <w:pPr>
        <w:ind w:left="4733" w:hanging="360"/>
      </w:pPr>
      <w:rPr>
        <w:rFonts w:hint="default"/>
        <w:lang w:val="es-ES" w:eastAsia="en-US" w:bidi="ar-SA"/>
      </w:rPr>
    </w:lvl>
    <w:lvl w:ilvl="6" w:tplc="2DFC6E44">
      <w:numFmt w:val="bullet"/>
      <w:lvlText w:val="•"/>
      <w:lvlJc w:val="left"/>
      <w:pPr>
        <w:ind w:left="5532" w:hanging="360"/>
      </w:pPr>
      <w:rPr>
        <w:rFonts w:hint="default"/>
        <w:lang w:val="es-ES" w:eastAsia="en-US" w:bidi="ar-SA"/>
      </w:rPr>
    </w:lvl>
    <w:lvl w:ilvl="7" w:tplc="B30A1EE4">
      <w:numFmt w:val="bullet"/>
      <w:lvlText w:val="•"/>
      <w:lvlJc w:val="left"/>
      <w:pPr>
        <w:ind w:left="6330" w:hanging="360"/>
      </w:pPr>
      <w:rPr>
        <w:rFonts w:hint="default"/>
        <w:lang w:val="es-ES" w:eastAsia="en-US" w:bidi="ar-SA"/>
      </w:rPr>
    </w:lvl>
    <w:lvl w:ilvl="8" w:tplc="6CC8BF9C">
      <w:numFmt w:val="bullet"/>
      <w:lvlText w:val="•"/>
      <w:lvlJc w:val="left"/>
      <w:pPr>
        <w:ind w:left="7129" w:hanging="360"/>
      </w:pPr>
      <w:rPr>
        <w:rFonts w:hint="default"/>
        <w:lang w:val="es-ES" w:eastAsia="en-US" w:bidi="ar-SA"/>
      </w:rPr>
    </w:lvl>
  </w:abstractNum>
  <w:abstractNum w:abstractNumId="93" w15:restartNumberingAfterBreak="0">
    <w:nsid w:val="5B1C017C"/>
    <w:multiLevelType w:val="multilevel"/>
    <w:tmpl w:val="44BEB0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341488"/>
    <w:multiLevelType w:val="hybridMultilevel"/>
    <w:tmpl w:val="A04606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5BA344F7"/>
    <w:multiLevelType w:val="hybridMultilevel"/>
    <w:tmpl w:val="DFDA6B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CA270D2"/>
    <w:multiLevelType w:val="hybridMultilevel"/>
    <w:tmpl w:val="0D245F4C"/>
    <w:lvl w:ilvl="0" w:tplc="57864B4E">
      <w:start w:val="1"/>
      <w:numFmt w:val="lowerLetter"/>
      <w:lvlText w:val="%1)"/>
      <w:lvlJc w:val="left"/>
      <w:pPr>
        <w:ind w:left="810" w:hanging="343"/>
      </w:pPr>
      <w:rPr>
        <w:rFonts w:ascii="Times New Roman" w:eastAsia="Arial" w:hAnsi="Times New Roman" w:cs="Times New Roman" w:hint="default"/>
        <w:b/>
        <w:bCs/>
        <w:w w:val="99"/>
        <w:sz w:val="24"/>
        <w:szCs w:val="24"/>
        <w:lang w:val="es-ES" w:eastAsia="en-US" w:bidi="ar-SA"/>
      </w:rPr>
    </w:lvl>
    <w:lvl w:ilvl="1" w:tplc="E1AAF6C8">
      <w:numFmt w:val="bullet"/>
      <w:lvlText w:val="•"/>
      <w:lvlJc w:val="left"/>
      <w:pPr>
        <w:ind w:left="1610" w:hanging="343"/>
      </w:pPr>
      <w:rPr>
        <w:rFonts w:hint="default"/>
        <w:lang w:val="es-ES" w:eastAsia="en-US" w:bidi="ar-SA"/>
      </w:rPr>
    </w:lvl>
    <w:lvl w:ilvl="2" w:tplc="0E50642C">
      <w:numFmt w:val="bullet"/>
      <w:lvlText w:val="•"/>
      <w:lvlJc w:val="left"/>
      <w:pPr>
        <w:ind w:left="2401" w:hanging="343"/>
      </w:pPr>
      <w:rPr>
        <w:rFonts w:hint="default"/>
        <w:lang w:val="es-ES" w:eastAsia="en-US" w:bidi="ar-SA"/>
      </w:rPr>
    </w:lvl>
    <w:lvl w:ilvl="3" w:tplc="87C031D0">
      <w:numFmt w:val="bullet"/>
      <w:lvlText w:val="•"/>
      <w:lvlJc w:val="left"/>
      <w:pPr>
        <w:ind w:left="3191" w:hanging="343"/>
      </w:pPr>
      <w:rPr>
        <w:rFonts w:hint="default"/>
        <w:lang w:val="es-ES" w:eastAsia="en-US" w:bidi="ar-SA"/>
      </w:rPr>
    </w:lvl>
    <w:lvl w:ilvl="4" w:tplc="7346A658">
      <w:numFmt w:val="bullet"/>
      <w:lvlText w:val="•"/>
      <w:lvlJc w:val="left"/>
      <w:pPr>
        <w:ind w:left="3982" w:hanging="343"/>
      </w:pPr>
      <w:rPr>
        <w:rFonts w:hint="default"/>
        <w:lang w:val="es-ES" w:eastAsia="en-US" w:bidi="ar-SA"/>
      </w:rPr>
    </w:lvl>
    <w:lvl w:ilvl="5" w:tplc="18ACD87C">
      <w:numFmt w:val="bullet"/>
      <w:lvlText w:val="•"/>
      <w:lvlJc w:val="left"/>
      <w:pPr>
        <w:ind w:left="4773" w:hanging="343"/>
      </w:pPr>
      <w:rPr>
        <w:rFonts w:hint="default"/>
        <w:lang w:val="es-ES" w:eastAsia="en-US" w:bidi="ar-SA"/>
      </w:rPr>
    </w:lvl>
    <w:lvl w:ilvl="6" w:tplc="A600B914">
      <w:numFmt w:val="bullet"/>
      <w:lvlText w:val="•"/>
      <w:lvlJc w:val="left"/>
      <w:pPr>
        <w:ind w:left="5563" w:hanging="343"/>
      </w:pPr>
      <w:rPr>
        <w:rFonts w:hint="default"/>
        <w:lang w:val="es-ES" w:eastAsia="en-US" w:bidi="ar-SA"/>
      </w:rPr>
    </w:lvl>
    <w:lvl w:ilvl="7" w:tplc="CC5A3CD6">
      <w:numFmt w:val="bullet"/>
      <w:lvlText w:val="•"/>
      <w:lvlJc w:val="left"/>
      <w:pPr>
        <w:ind w:left="6354" w:hanging="343"/>
      </w:pPr>
      <w:rPr>
        <w:rFonts w:hint="default"/>
        <w:lang w:val="es-ES" w:eastAsia="en-US" w:bidi="ar-SA"/>
      </w:rPr>
    </w:lvl>
    <w:lvl w:ilvl="8" w:tplc="2D18801A">
      <w:numFmt w:val="bullet"/>
      <w:lvlText w:val="•"/>
      <w:lvlJc w:val="left"/>
      <w:pPr>
        <w:ind w:left="7145" w:hanging="343"/>
      </w:pPr>
      <w:rPr>
        <w:rFonts w:hint="default"/>
        <w:lang w:val="es-ES" w:eastAsia="en-US" w:bidi="ar-SA"/>
      </w:rPr>
    </w:lvl>
  </w:abstractNum>
  <w:abstractNum w:abstractNumId="97" w15:restartNumberingAfterBreak="0">
    <w:nsid w:val="5D1C390A"/>
    <w:multiLevelType w:val="multilevel"/>
    <w:tmpl w:val="E1CE1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DA6671F"/>
    <w:multiLevelType w:val="hybridMultilevel"/>
    <w:tmpl w:val="DAC42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E0B0894"/>
    <w:multiLevelType w:val="hybridMultilevel"/>
    <w:tmpl w:val="55FE463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5F297EDF"/>
    <w:multiLevelType w:val="hybridMultilevel"/>
    <w:tmpl w:val="D67E3270"/>
    <w:lvl w:ilvl="0" w:tplc="66DEB1C4">
      <w:start w:val="1"/>
      <w:numFmt w:val="decimal"/>
      <w:lvlText w:val="Art.%1.-"/>
      <w:lvlJc w:val="left"/>
      <w:pPr>
        <w:ind w:left="360" w:hanging="360"/>
      </w:pPr>
      <w:rPr>
        <w:rFonts w:hint="default"/>
        <w:b/>
        <w:color w:val="000000" w:themeColor="text1"/>
      </w:rPr>
    </w:lvl>
    <w:lvl w:ilvl="1" w:tplc="A23A3D5A">
      <w:start w:val="1"/>
      <w:numFmt w:val="lowerLetter"/>
      <w:lvlText w:val="%2)"/>
      <w:lvlJc w:val="left"/>
      <w:pPr>
        <w:ind w:left="1440" w:hanging="360"/>
      </w:pPr>
      <w:rPr>
        <w:rFonts w:hint="default"/>
      </w:rPr>
    </w:lvl>
    <w:lvl w:ilvl="2" w:tplc="DCA8C19C">
      <w:start w:val="1"/>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1" w15:restartNumberingAfterBreak="0">
    <w:nsid w:val="60235705"/>
    <w:multiLevelType w:val="hybridMultilevel"/>
    <w:tmpl w:val="569296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0461C89"/>
    <w:multiLevelType w:val="hybridMultilevel"/>
    <w:tmpl w:val="D69EE6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3B5940"/>
    <w:multiLevelType w:val="multilevel"/>
    <w:tmpl w:val="687CD6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48B7F4D"/>
    <w:multiLevelType w:val="hybridMultilevel"/>
    <w:tmpl w:val="1BBA2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4C238E0"/>
    <w:multiLevelType w:val="hybridMultilevel"/>
    <w:tmpl w:val="8EEC55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61741D"/>
    <w:multiLevelType w:val="hybridMultilevel"/>
    <w:tmpl w:val="BCC442EC"/>
    <w:lvl w:ilvl="0" w:tplc="04090017">
      <w:start w:val="1"/>
      <w:numFmt w:val="lowerLetter"/>
      <w:lvlText w:val="%1)"/>
      <w:lvlJc w:val="left"/>
      <w:pPr>
        <w:ind w:left="1494"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65F93CCB"/>
    <w:multiLevelType w:val="hybridMultilevel"/>
    <w:tmpl w:val="0C2653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8A60747"/>
    <w:multiLevelType w:val="multilevel"/>
    <w:tmpl w:val="DE3A19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A2B52F4"/>
    <w:multiLevelType w:val="hybridMultilevel"/>
    <w:tmpl w:val="304AEF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AD965EB"/>
    <w:multiLevelType w:val="multilevel"/>
    <w:tmpl w:val="55BC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87600F"/>
    <w:multiLevelType w:val="multilevel"/>
    <w:tmpl w:val="C0C003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0664E18"/>
    <w:multiLevelType w:val="hybridMultilevel"/>
    <w:tmpl w:val="465EDC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FC7BB7"/>
    <w:multiLevelType w:val="multilevel"/>
    <w:tmpl w:val="F36C26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3A67945"/>
    <w:multiLevelType w:val="multilevel"/>
    <w:tmpl w:val="4C20B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62F2E97"/>
    <w:multiLevelType w:val="hybridMultilevel"/>
    <w:tmpl w:val="093A63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4F746C"/>
    <w:multiLevelType w:val="hybridMultilevel"/>
    <w:tmpl w:val="2968CCF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7" w15:restartNumberingAfterBreak="0">
    <w:nsid w:val="77612040"/>
    <w:multiLevelType w:val="hybridMultilevel"/>
    <w:tmpl w:val="F1D28D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8" w15:restartNumberingAfterBreak="0">
    <w:nsid w:val="7BF653FE"/>
    <w:multiLevelType w:val="hybridMultilevel"/>
    <w:tmpl w:val="1E46C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7C0A6275"/>
    <w:multiLevelType w:val="multilevel"/>
    <w:tmpl w:val="CE9E3A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C483BFE"/>
    <w:multiLevelType w:val="hybridMultilevel"/>
    <w:tmpl w:val="3BCC66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1" w15:restartNumberingAfterBreak="0">
    <w:nsid w:val="7CBD416E"/>
    <w:multiLevelType w:val="multilevel"/>
    <w:tmpl w:val="A954745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D1B3C8D"/>
    <w:multiLevelType w:val="multilevel"/>
    <w:tmpl w:val="7930C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D3C491A"/>
    <w:multiLevelType w:val="multilevel"/>
    <w:tmpl w:val="52309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D544670"/>
    <w:multiLevelType w:val="multilevel"/>
    <w:tmpl w:val="F88A4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D8C26CE"/>
    <w:multiLevelType w:val="hybridMultilevel"/>
    <w:tmpl w:val="B2669234"/>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7DC303C7"/>
    <w:multiLevelType w:val="hybridMultilevel"/>
    <w:tmpl w:val="4BBE2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DD53489"/>
    <w:multiLevelType w:val="hybridMultilevel"/>
    <w:tmpl w:val="55FE463E"/>
    <w:lvl w:ilvl="0" w:tplc="300A0017">
      <w:start w:val="1"/>
      <w:numFmt w:val="lowerLetter"/>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8" w15:restartNumberingAfterBreak="0">
    <w:nsid w:val="7F651C32"/>
    <w:multiLevelType w:val="hybridMultilevel"/>
    <w:tmpl w:val="D660D4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81897706">
    <w:abstractNumId w:val="54"/>
  </w:num>
  <w:num w:numId="2" w16cid:durableId="1829977176">
    <w:abstractNumId w:val="89"/>
  </w:num>
  <w:num w:numId="3" w16cid:durableId="1329595491">
    <w:abstractNumId w:val="80"/>
  </w:num>
  <w:num w:numId="4" w16cid:durableId="1359816922">
    <w:abstractNumId w:val="74"/>
  </w:num>
  <w:num w:numId="5" w16cid:durableId="65077324">
    <w:abstractNumId w:val="33"/>
  </w:num>
  <w:num w:numId="6" w16cid:durableId="408501074">
    <w:abstractNumId w:val="38"/>
  </w:num>
  <w:num w:numId="7" w16cid:durableId="1139954679">
    <w:abstractNumId w:val="68"/>
  </w:num>
  <w:num w:numId="8" w16cid:durableId="1055280706">
    <w:abstractNumId w:val="27"/>
  </w:num>
  <w:num w:numId="9" w16cid:durableId="613483162">
    <w:abstractNumId w:val="29"/>
  </w:num>
  <w:num w:numId="10" w16cid:durableId="1334332277">
    <w:abstractNumId w:val="1"/>
  </w:num>
  <w:num w:numId="11" w16cid:durableId="1319918769">
    <w:abstractNumId w:val="111"/>
  </w:num>
  <w:num w:numId="12" w16cid:durableId="1429545790">
    <w:abstractNumId w:val="122"/>
  </w:num>
  <w:num w:numId="13" w16cid:durableId="651176458">
    <w:abstractNumId w:val="85"/>
  </w:num>
  <w:num w:numId="14" w16cid:durableId="290594425">
    <w:abstractNumId w:val="124"/>
  </w:num>
  <w:num w:numId="15" w16cid:durableId="1828011487">
    <w:abstractNumId w:val="114"/>
  </w:num>
  <w:num w:numId="16" w16cid:durableId="1841658303">
    <w:abstractNumId w:val="47"/>
  </w:num>
  <w:num w:numId="17" w16cid:durableId="1387098301">
    <w:abstractNumId w:val="55"/>
  </w:num>
  <w:num w:numId="18" w16cid:durableId="53697915">
    <w:abstractNumId w:val="40"/>
  </w:num>
  <w:num w:numId="19" w16cid:durableId="644971200">
    <w:abstractNumId w:val="12"/>
  </w:num>
  <w:num w:numId="20" w16cid:durableId="2030179523">
    <w:abstractNumId w:val="5"/>
  </w:num>
  <w:num w:numId="21" w16cid:durableId="1724524177">
    <w:abstractNumId w:val="30"/>
  </w:num>
  <w:num w:numId="22" w16cid:durableId="1137335519">
    <w:abstractNumId w:val="15"/>
  </w:num>
  <w:num w:numId="23" w16cid:durableId="1510297136">
    <w:abstractNumId w:val="61"/>
  </w:num>
  <w:num w:numId="24" w16cid:durableId="386606939">
    <w:abstractNumId w:val="31"/>
  </w:num>
  <w:num w:numId="25" w16cid:durableId="637610612">
    <w:abstractNumId w:val="20"/>
  </w:num>
  <w:num w:numId="26" w16cid:durableId="364214178">
    <w:abstractNumId w:val="59"/>
  </w:num>
  <w:num w:numId="27" w16cid:durableId="1220436273">
    <w:abstractNumId w:val="56"/>
  </w:num>
  <w:num w:numId="28" w16cid:durableId="413090780">
    <w:abstractNumId w:val="50"/>
  </w:num>
  <w:num w:numId="29" w16cid:durableId="1526095510">
    <w:abstractNumId w:val="60"/>
  </w:num>
  <w:num w:numId="30" w16cid:durableId="1584295163">
    <w:abstractNumId w:val="62"/>
  </w:num>
  <w:num w:numId="31" w16cid:durableId="364334121">
    <w:abstractNumId w:val="97"/>
  </w:num>
  <w:num w:numId="32" w16cid:durableId="589778352">
    <w:abstractNumId w:val="41"/>
  </w:num>
  <w:num w:numId="33" w16cid:durableId="1493256351">
    <w:abstractNumId w:val="121"/>
  </w:num>
  <w:num w:numId="34" w16cid:durableId="369887482">
    <w:abstractNumId w:val="49"/>
  </w:num>
  <w:num w:numId="35" w16cid:durableId="1230269063">
    <w:abstractNumId w:val="90"/>
  </w:num>
  <w:num w:numId="36" w16cid:durableId="865488549">
    <w:abstractNumId w:val="16"/>
  </w:num>
  <w:num w:numId="37" w16cid:durableId="566963740">
    <w:abstractNumId w:val="70"/>
  </w:num>
  <w:num w:numId="38" w16cid:durableId="1591618031">
    <w:abstractNumId w:val="39"/>
  </w:num>
  <w:num w:numId="39" w16cid:durableId="1033071044">
    <w:abstractNumId w:val="88"/>
  </w:num>
  <w:num w:numId="40" w16cid:durableId="1502886135">
    <w:abstractNumId w:val="108"/>
  </w:num>
  <w:num w:numId="41" w16cid:durableId="697197179">
    <w:abstractNumId w:val="93"/>
  </w:num>
  <w:num w:numId="42" w16cid:durableId="1705401241">
    <w:abstractNumId w:val="86"/>
  </w:num>
  <w:num w:numId="43" w16cid:durableId="1133673033">
    <w:abstractNumId w:val="119"/>
  </w:num>
  <w:num w:numId="44" w16cid:durableId="1378965504">
    <w:abstractNumId w:val="81"/>
  </w:num>
  <w:num w:numId="45" w16cid:durableId="1122529834">
    <w:abstractNumId w:val="32"/>
  </w:num>
  <w:num w:numId="46" w16cid:durableId="1663195204">
    <w:abstractNumId w:val="113"/>
  </w:num>
  <w:num w:numId="47" w16cid:durableId="598100703">
    <w:abstractNumId w:val="2"/>
  </w:num>
  <w:num w:numId="48" w16cid:durableId="715744114">
    <w:abstractNumId w:val="123"/>
  </w:num>
  <w:num w:numId="49" w16cid:durableId="1157378940">
    <w:abstractNumId w:val="9"/>
  </w:num>
  <w:num w:numId="50" w16cid:durableId="279268597">
    <w:abstractNumId w:val="21"/>
  </w:num>
  <w:num w:numId="51" w16cid:durableId="1910529115">
    <w:abstractNumId w:val="22"/>
  </w:num>
  <w:num w:numId="52" w16cid:durableId="1477187937">
    <w:abstractNumId w:val="103"/>
  </w:num>
  <w:num w:numId="53" w16cid:durableId="1290355421">
    <w:abstractNumId w:val="63"/>
  </w:num>
  <w:num w:numId="54" w16cid:durableId="2144541006">
    <w:abstractNumId w:val="25"/>
  </w:num>
  <w:num w:numId="55" w16cid:durableId="1355419931">
    <w:abstractNumId w:val="57"/>
  </w:num>
  <w:num w:numId="56" w16cid:durableId="740978925">
    <w:abstractNumId w:val="64"/>
  </w:num>
  <w:num w:numId="57" w16cid:durableId="1209202">
    <w:abstractNumId w:val="23"/>
  </w:num>
  <w:num w:numId="58" w16cid:durableId="20323104">
    <w:abstractNumId w:val="101"/>
  </w:num>
  <w:num w:numId="59" w16cid:durableId="1276132324">
    <w:abstractNumId w:val="102"/>
  </w:num>
  <w:num w:numId="60" w16cid:durableId="1048261468">
    <w:abstractNumId w:val="45"/>
  </w:num>
  <w:num w:numId="61" w16cid:durableId="1933970955">
    <w:abstractNumId w:val="126"/>
  </w:num>
  <w:num w:numId="62" w16cid:durableId="2053113617">
    <w:abstractNumId w:val="118"/>
  </w:num>
  <w:num w:numId="63" w16cid:durableId="1284191178">
    <w:abstractNumId w:val="58"/>
  </w:num>
  <w:num w:numId="64" w16cid:durableId="1369334327">
    <w:abstractNumId w:val="37"/>
  </w:num>
  <w:num w:numId="65" w16cid:durableId="2078433861">
    <w:abstractNumId w:val="109"/>
  </w:num>
  <w:num w:numId="66" w16cid:durableId="1862813305">
    <w:abstractNumId w:val="67"/>
  </w:num>
  <w:num w:numId="67" w16cid:durableId="179392772">
    <w:abstractNumId w:val="77"/>
  </w:num>
  <w:num w:numId="68" w16cid:durableId="952518353">
    <w:abstractNumId w:val="14"/>
  </w:num>
  <w:num w:numId="69" w16cid:durableId="273904678">
    <w:abstractNumId w:val="11"/>
  </w:num>
  <w:num w:numId="70" w16cid:durableId="2048066126">
    <w:abstractNumId w:val="112"/>
  </w:num>
  <w:num w:numId="71" w16cid:durableId="35784213">
    <w:abstractNumId w:val="35"/>
  </w:num>
  <w:num w:numId="72" w16cid:durableId="68114650">
    <w:abstractNumId w:val="104"/>
  </w:num>
  <w:num w:numId="73" w16cid:durableId="1065687997">
    <w:abstractNumId w:val="82"/>
  </w:num>
  <w:num w:numId="74" w16cid:durableId="1195386389">
    <w:abstractNumId w:val="91"/>
  </w:num>
  <w:num w:numId="75" w16cid:durableId="753402724">
    <w:abstractNumId w:val="34"/>
  </w:num>
  <w:num w:numId="76" w16cid:durableId="649018649">
    <w:abstractNumId w:val="72"/>
  </w:num>
  <w:num w:numId="77" w16cid:durableId="2046559113">
    <w:abstractNumId w:val="115"/>
  </w:num>
  <w:num w:numId="78" w16cid:durableId="806627142">
    <w:abstractNumId w:val="94"/>
  </w:num>
  <w:num w:numId="79" w16cid:durableId="1214732121">
    <w:abstractNumId w:val="95"/>
  </w:num>
  <w:num w:numId="80" w16cid:durableId="1521815990">
    <w:abstractNumId w:val="105"/>
  </w:num>
  <w:num w:numId="81" w16cid:durableId="1336151846">
    <w:abstractNumId w:val="36"/>
  </w:num>
  <w:num w:numId="82" w16cid:durableId="966009964">
    <w:abstractNumId w:val="7"/>
  </w:num>
  <w:num w:numId="83" w16cid:durableId="1474567004">
    <w:abstractNumId w:val="71"/>
  </w:num>
  <w:num w:numId="84" w16cid:durableId="847988189">
    <w:abstractNumId w:val="87"/>
  </w:num>
  <w:num w:numId="85" w16cid:durableId="1187518222">
    <w:abstractNumId w:val="48"/>
  </w:num>
  <w:num w:numId="86" w16cid:durableId="2118676096">
    <w:abstractNumId w:val="75"/>
  </w:num>
  <w:num w:numId="87" w16cid:durableId="1176967300">
    <w:abstractNumId w:val="78"/>
  </w:num>
  <w:num w:numId="88" w16cid:durableId="216667932">
    <w:abstractNumId w:val="107"/>
  </w:num>
  <w:num w:numId="89" w16cid:durableId="129371034">
    <w:abstractNumId w:val="98"/>
  </w:num>
  <w:num w:numId="90" w16cid:durableId="397362300">
    <w:abstractNumId w:val="3"/>
  </w:num>
  <w:num w:numId="91" w16cid:durableId="2034573794">
    <w:abstractNumId w:val="69"/>
  </w:num>
  <w:num w:numId="92" w16cid:durableId="1749763101">
    <w:abstractNumId w:val="106"/>
  </w:num>
  <w:num w:numId="93" w16cid:durableId="1777171185">
    <w:abstractNumId w:val="66"/>
  </w:num>
  <w:num w:numId="94" w16cid:durableId="154958311">
    <w:abstractNumId w:val="125"/>
  </w:num>
  <w:num w:numId="95" w16cid:durableId="1614552852">
    <w:abstractNumId w:val="19"/>
  </w:num>
  <w:num w:numId="96" w16cid:durableId="1848058929">
    <w:abstractNumId w:val="83"/>
  </w:num>
  <w:num w:numId="97" w16cid:durableId="533269887">
    <w:abstractNumId w:val="46"/>
  </w:num>
  <w:num w:numId="98" w16cid:durableId="1550528470">
    <w:abstractNumId w:val="13"/>
  </w:num>
  <w:num w:numId="99" w16cid:durableId="1647011171">
    <w:abstractNumId w:val="26"/>
  </w:num>
  <w:num w:numId="100" w16cid:durableId="1351687445">
    <w:abstractNumId w:val="4"/>
  </w:num>
  <w:num w:numId="101" w16cid:durableId="1806922728">
    <w:abstractNumId w:val="73"/>
  </w:num>
  <w:num w:numId="102" w16cid:durableId="2092702109">
    <w:abstractNumId w:val="42"/>
  </w:num>
  <w:num w:numId="103" w16cid:durableId="819272409">
    <w:abstractNumId w:val="18"/>
  </w:num>
  <w:num w:numId="104" w16cid:durableId="1875384166">
    <w:abstractNumId w:val="96"/>
  </w:num>
  <w:num w:numId="105" w16cid:durableId="1329138807">
    <w:abstractNumId w:val="92"/>
  </w:num>
  <w:num w:numId="106" w16cid:durableId="218325905">
    <w:abstractNumId w:val="65"/>
  </w:num>
  <w:num w:numId="107" w16cid:durableId="500198271">
    <w:abstractNumId w:val="84"/>
  </w:num>
  <w:num w:numId="108" w16cid:durableId="1667248871">
    <w:abstractNumId w:val="120"/>
  </w:num>
  <w:num w:numId="109" w16cid:durableId="655304529">
    <w:abstractNumId w:val="117"/>
  </w:num>
  <w:num w:numId="110" w16cid:durableId="1229652685">
    <w:abstractNumId w:val="8"/>
  </w:num>
  <w:num w:numId="111" w16cid:durableId="76876149">
    <w:abstractNumId w:val="24"/>
  </w:num>
  <w:num w:numId="112" w16cid:durableId="1778284826">
    <w:abstractNumId w:val="128"/>
  </w:num>
  <w:num w:numId="113" w16cid:durableId="821313396">
    <w:abstractNumId w:val="43"/>
  </w:num>
  <w:num w:numId="114" w16cid:durableId="1691833731">
    <w:abstractNumId w:val="100"/>
  </w:num>
  <w:num w:numId="115" w16cid:durableId="225142277">
    <w:abstractNumId w:val="52"/>
  </w:num>
  <w:num w:numId="116" w16cid:durableId="1443184922">
    <w:abstractNumId w:val="51"/>
  </w:num>
  <w:num w:numId="117" w16cid:durableId="199170532">
    <w:abstractNumId w:val="44"/>
  </w:num>
  <w:num w:numId="118" w16cid:durableId="1924340501">
    <w:abstractNumId w:val="28"/>
  </w:num>
  <w:num w:numId="119" w16cid:durableId="1529444750">
    <w:abstractNumId w:val="110"/>
  </w:num>
  <w:num w:numId="120" w16cid:durableId="1164122134">
    <w:abstractNumId w:val="10"/>
  </w:num>
  <w:num w:numId="121" w16cid:durableId="830415582">
    <w:abstractNumId w:val="127"/>
  </w:num>
  <w:num w:numId="122" w16cid:durableId="1288466653">
    <w:abstractNumId w:val="99"/>
  </w:num>
  <w:num w:numId="123" w16cid:durableId="1237860854">
    <w:abstractNumId w:val="53"/>
  </w:num>
  <w:num w:numId="124" w16cid:durableId="117603318">
    <w:abstractNumId w:val="0"/>
  </w:num>
  <w:num w:numId="125" w16cid:durableId="1998535202">
    <w:abstractNumId w:val="116"/>
  </w:num>
  <w:num w:numId="126" w16cid:durableId="536239703">
    <w:abstractNumId w:val="6"/>
  </w:num>
  <w:num w:numId="127" w16cid:durableId="1860923164">
    <w:abstractNumId w:val="79"/>
  </w:num>
  <w:num w:numId="128" w16cid:durableId="282277094">
    <w:abstractNumId w:val="17"/>
  </w:num>
  <w:num w:numId="129" w16cid:durableId="539900913">
    <w:abstractNumId w:val="7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7E8"/>
    <w:rsid w:val="00000B63"/>
    <w:rsid w:val="00001B0F"/>
    <w:rsid w:val="000021B3"/>
    <w:rsid w:val="00003885"/>
    <w:rsid w:val="000041B4"/>
    <w:rsid w:val="000063BA"/>
    <w:rsid w:val="000065A0"/>
    <w:rsid w:val="00006F48"/>
    <w:rsid w:val="0000702F"/>
    <w:rsid w:val="000072C8"/>
    <w:rsid w:val="000108FC"/>
    <w:rsid w:val="00012C72"/>
    <w:rsid w:val="00013A3A"/>
    <w:rsid w:val="000140A2"/>
    <w:rsid w:val="00014458"/>
    <w:rsid w:val="00015CCF"/>
    <w:rsid w:val="0001778C"/>
    <w:rsid w:val="00020488"/>
    <w:rsid w:val="0002241F"/>
    <w:rsid w:val="0002418D"/>
    <w:rsid w:val="000256D8"/>
    <w:rsid w:val="0003012C"/>
    <w:rsid w:val="0003016B"/>
    <w:rsid w:val="00030A44"/>
    <w:rsid w:val="00032F1E"/>
    <w:rsid w:val="0003302F"/>
    <w:rsid w:val="00036145"/>
    <w:rsid w:val="000367E3"/>
    <w:rsid w:val="00036B9F"/>
    <w:rsid w:val="0004014E"/>
    <w:rsid w:val="000408F9"/>
    <w:rsid w:val="00041B7A"/>
    <w:rsid w:val="00041C74"/>
    <w:rsid w:val="000422FA"/>
    <w:rsid w:val="000425DB"/>
    <w:rsid w:val="00042B1B"/>
    <w:rsid w:val="00042C54"/>
    <w:rsid w:val="00043348"/>
    <w:rsid w:val="000433B8"/>
    <w:rsid w:val="00044A65"/>
    <w:rsid w:val="000452DA"/>
    <w:rsid w:val="00045963"/>
    <w:rsid w:val="00046286"/>
    <w:rsid w:val="000466BF"/>
    <w:rsid w:val="00046CE0"/>
    <w:rsid w:val="000473E9"/>
    <w:rsid w:val="00047CDA"/>
    <w:rsid w:val="0005049B"/>
    <w:rsid w:val="00050775"/>
    <w:rsid w:val="00051F45"/>
    <w:rsid w:val="0005226E"/>
    <w:rsid w:val="00052401"/>
    <w:rsid w:val="000532ED"/>
    <w:rsid w:val="000538AA"/>
    <w:rsid w:val="000538EE"/>
    <w:rsid w:val="000541BA"/>
    <w:rsid w:val="00054598"/>
    <w:rsid w:val="00054DAE"/>
    <w:rsid w:val="00055D8E"/>
    <w:rsid w:val="0006048A"/>
    <w:rsid w:val="00061695"/>
    <w:rsid w:val="0006199D"/>
    <w:rsid w:val="00063F90"/>
    <w:rsid w:val="0006555F"/>
    <w:rsid w:val="000660C6"/>
    <w:rsid w:val="000703BD"/>
    <w:rsid w:val="00070A5C"/>
    <w:rsid w:val="000714CC"/>
    <w:rsid w:val="00071D42"/>
    <w:rsid w:val="000721CA"/>
    <w:rsid w:val="00072568"/>
    <w:rsid w:val="000727BD"/>
    <w:rsid w:val="00072FBC"/>
    <w:rsid w:val="000731A5"/>
    <w:rsid w:val="000740A7"/>
    <w:rsid w:val="00074E9A"/>
    <w:rsid w:val="000753F8"/>
    <w:rsid w:val="0007579C"/>
    <w:rsid w:val="00076093"/>
    <w:rsid w:val="000768B8"/>
    <w:rsid w:val="000778FB"/>
    <w:rsid w:val="000804B8"/>
    <w:rsid w:val="000811BF"/>
    <w:rsid w:val="00083C09"/>
    <w:rsid w:val="00083E97"/>
    <w:rsid w:val="000841AF"/>
    <w:rsid w:val="00084F6C"/>
    <w:rsid w:val="00087534"/>
    <w:rsid w:val="00087648"/>
    <w:rsid w:val="00090ADE"/>
    <w:rsid w:val="00090B24"/>
    <w:rsid w:val="00090F4E"/>
    <w:rsid w:val="00092790"/>
    <w:rsid w:val="00093D3E"/>
    <w:rsid w:val="00094A6B"/>
    <w:rsid w:val="0009522B"/>
    <w:rsid w:val="000977C0"/>
    <w:rsid w:val="000A055F"/>
    <w:rsid w:val="000A0D9F"/>
    <w:rsid w:val="000A1A9D"/>
    <w:rsid w:val="000A20F0"/>
    <w:rsid w:val="000A2EED"/>
    <w:rsid w:val="000A3398"/>
    <w:rsid w:val="000A341C"/>
    <w:rsid w:val="000A38D5"/>
    <w:rsid w:val="000A3C2A"/>
    <w:rsid w:val="000A41D2"/>
    <w:rsid w:val="000A50EE"/>
    <w:rsid w:val="000A555C"/>
    <w:rsid w:val="000A5A52"/>
    <w:rsid w:val="000A608A"/>
    <w:rsid w:val="000A6AE4"/>
    <w:rsid w:val="000A7BFD"/>
    <w:rsid w:val="000B1CA8"/>
    <w:rsid w:val="000B2530"/>
    <w:rsid w:val="000B2A62"/>
    <w:rsid w:val="000B3EF8"/>
    <w:rsid w:val="000B484E"/>
    <w:rsid w:val="000B4E15"/>
    <w:rsid w:val="000B74E3"/>
    <w:rsid w:val="000B792A"/>
    <w:rsid w:val="000C0CA6"/>
    <w:rsid w:val="000C1BF3"/>
    <w:rsid w:val="000C1DEA"/>
    <w:rsid w:val="000C23DD"/>
    <w:rsid w:val="000C2C03"/>
    <w:rsid w:val="000C4DE4"/>
    <w:rsid w:val="000D008B"/>
    <w:rsid w:val="000D011A"/>
    <w:rsid w:val="000D06F1"/>
    <w:rsid w:val="000D09E7"/>
    <w:rsid w:val="000D1355"/>
    <w:rsid w:val="000D19DE"/>
    <w:rsid w:val="000D1D7B"/>
    <w:rsid w:val="000D219A"/>
    <w:rsid w:val="000D2725"/>
    <w:rsid w:val="000D28F8"/>
    <w:rsid w:val="000D2D01"/>
    <w:rsid w:val="000D40BE"/>
    <w:rsid w:val="000D4D14"/>
    <w:rsid w:val="000D6940"/>
    <w:rsid w:val="000D6B9B"/>
    <w:rsid w:val="000D73D1"/>
    <w:rsid w:val="000E40BD"/>
    <w:rsid w:val="000E509A"/>
    <w:rsid w:val="000E537D"/>
    <w:rsid w:val="000E65D1"/>
    <w:rsid w:val="000E6E3D"/>
    <w:rsid w:val="000F057A"/>
    <w:rsid w:val="000F09D6"/>
    <w:rsid w:val="000F1CBB"/>
    <w:rsid w:val="000F23FD"/>
    <w:rsid w:val="000F300C"/>
    <w:rsid w:val="000F4166"/>
    <w:rsid w:val="000F4EC0"/>
    <w:rsid w:val="000F5109"/>
    <w:rsid w:val="000F5704"/>
    <w:rsid w:val="000F6A9A"/>
    <w:rsid w:val="00100A47"/>
    <w:rsid w:val="00100B20"/>
    <w:rsid w:val="00100DDD"/>
    <w:rsid w:val="00100E4A"/>
    <w:rsid w:val="001024EB"/>
    <w:rsid w:val="00102616"/>
    <w:rsid w:val="00103C8B"/>
    <w:rsid w:val="0010444C"/>
    <w:rsid w:val="00106EFC"/>
    <w:rsid w:val="001070BB"/>
    <w:rsid w:val="001158E6"/>
    <w:rsid w:val="00116148"/>
    <w:rsid w:val="0011709C"/>
    <w:rsid w:val="00120B85"/>
    <w:rsid w:val="00122680"/>
    <w:rsid w:val="00125057"/>
    <w:rsid w:val="0012722B"/>
    <w:rsid w:val="001275CB"/>
    <w:rsid w:val="00130445"/>
    <w:rsid w:val="001311C9"/>
    <w:rsid w:val="0013199F"/>
    <w:rsid w:val="00131DE3"/>
    <w:rsid w:val="00133010"/>
    <w:rsid w:val="00133BBC"/>
    <w:rsid w:val="00140C2E"/>
    <w:rsid w:val="001418D4"/>
    <w:rsid w:val="001433D5"/>
    <w:rsid w:val="00143ACE"/>
    <w:rsid w:val="001440C3"/>
    <w:rsid w:val="00144964"/>
    <w:rsid w:val="0014534A"/>
    <w:rsid w:val="001455FA"/>
    <w:rsid w:val="0014562E"/>
    <w:rsid w:val="00145D98"/>
    <w:rsid w:val="001468F4"/>
    <w:rsid w:val="00146AE5"/>
    <w:rsid w:val="0014799A"/>
    <w:rsid w:val="00150354"/>
    <w:rsid w:val="00150CA3"/>
    <w:rsid w:val="00151809"/>
    <w:rsid w:val="00152171"/>
    <w:rsid w:val="00152538"/>
    <w:rsid w:val="00154F1B"/>
    <w:rsid w:val="00155931"/>
    <w:rsid w:val="00157976"/>
    <w:rsid w:val="00160069"/>
    <w:rsid w:val="001609DF"/>
    <w:rsid w:val="00161058"/>
    <w:rsid w:val="0016301D"/>
    <w:rsid w:val="0016327E"/>
    <w:rsid w:val="00163308"/>
    <w:rsid w:val="00163545"/>
    <w:rsid w:val="001647F4"/>
    <w:rsid w:val="00164D2D"/>
    <w:rsid w:val="00166473"/>
    <w:rsid w:val="00166F1C"/>
    <w:rsid w:val="001675D5"/>
    <w:rsid w:val="00167A84"/>
    <w:rsid w:val="001700D5"/>
    <w:rsid w:val="001702D8"/>
    <w:rsid w:val="0017108E"/>
    <w:rsid w:val="00171137"/>
    <w:rsid w:val="00171A53"/>
    <w:rsid w:val="00171DD8"/>
    <w:rsid w:val="001728F1"/>
    <w:rsid w:val="00173232"/>
    <w:rsid w:val="00175B3C"/>
    <w:rsid w:val="00176528"/>
    <w:rsid w:val="00176C4E"/>
    <w:rsid w:val="001818A2"/>
    <w:rsid w:val="00181BB8"/>
    <w:rsid w:val="00181DC2"/>
    <w:rsid w:val="0018299E"/>
    <w:rsid w:val="001832E6"/>
    <w:rsid w:val="00183386"/>
    <w:rsid w:val="00184466"/>
    <w:rsid w:val="001860E2"/>
    <w:rsid w:val="001868A7"/>
    <w:rsid w:val="00186DFF"/>
    <w:rsid w:val="00187EC2"/>
    <w:rsid w:val="001948C0"/>
    <w:rsid w:val="0019554E"/>
    <w:rsid w:val="001960C7"/>
    <w:rsid w:val="00196534"/>
    <w:rsid w:val="0019675D"/>
    <w:rsid w:val="0019680B"/>
    <w:rsid w:val="0019776E"/>
    <w:rsid w:val="001A0508"/>
    <w:rsid w:val="001A0F6A"/>
    <w:rsid w:val="001A276F"/>
    <w:rsid w:val="001A2D00"/>
    <w:rsid w:val="001A3151"/>
    <w:rsid w:val="001A34A0"/>
    <w:rsid w:val="001A3501"/>
    <w:rsid w:val="001A44AF"/>
    <w:rsid w:val="001A7E87"/>
    <w:rsid w:val="001B172A"/>
    <w:rsid w:val="001B1D36"/>
    <w:rsid w:val="001B1E11"/>
    <w:rsid w:val="001B33BB"/>
    <w:rsid w:val="001B36AB"/>
    <w:rsid w:val="001B4B41"/>
    <w:rsid w:val="001B4D53"/>
    <w:rsid w:val="001B4D57"/>
    <w:rsid w:val="001B4F83"/>
    <w:rsid w:val="001B5EDF"/>
    <w:rsid w:val="001B6592"/>
    <w:rsid w:val="001B7430"/>
    <w:rsid w:val="001C0556"/>
    <w:rsid w:val="001C091C"/>
    <w:rsid w:val="001C09A8"/>
    <w:rsid w:val="001C1880"/>
    <w:rsid w:val="001C2168"/>
    <w:rsid w:val="001C399A"/>
    <w:rsid w:val="001C3BFC"/>
    <w:rsid w:val="001C4AC7"/>
    <w:rsid w:val="001C6441"/>
    <w:rsid w:val="001C6F36"/>
    <w:rsid w:val="001C7491"/>
    <w:rsid w:val="001D0DB5"/>
    <w:rsid w:val="001D1118"/>
    <w:rsid w:val="001D1423"/>
    <w:rsid w:val="001D2239"/>
    <w:rsid w:val="001D3BA2"/>
    <w:rsid w:val="001D3D2B"/>
    <w:rsid w:val="001D3DAA"/>
    <w:rsid w:val="001D4740"/>
    <w:rsid w:val="001D779A"/>
    <w:rsid w:val="001E0082"/>
    <w:rsid w:val="001E00EE"/>
    <w:rsid w:val="001E068D"/>
    <w:rsid w:val="001E08E0"/>
    <w:rsid w:val="001E0B23"/>
    <w:rsid w:val="001E0E17"/>
    <w:rsid w:val="001E1BB0"/>
    <w:rsid w:val="001E263E"/>
    <w:rsid w:val="001E32B9"/>
    <w:rsid w:val="001E32BE"/>
    <w:rsid w:val="001E3FB3"/>
    <w:rsid w:val="001E461F"/>
    <w:rsid w:val="001E48C2"/>
    <w:rsid w:val="001E4FCA"/>
    <w:rsid w:val="001E698D"/>
    <w:rsid w:val="001E776F"/>
    <w:rsid w:val="001F0A21"/>
    <w:rsid w:val="001F0C2C"/>
    <w:rsid w:val="001F0E46"/>
    <w:rsid w:val="001F1C66"/>
    <w:rsid w:val="001F1D81"/>
    <w:rsid w:val="001F268A"/>
    <w:rsid w:val="001F2B85"/>
    <w:rsid w:val="001F2F44"/>
    <w:rsid w:val="001F6877"/>
    <w:rsid w:val="001F69F4"/>
    <w:rsid w:val="001F721A"/>
    <w:rsid w:val="001F7704"/>
    <w:rsid w:val="00202017"/>
    <w:rsid w:val="00202F9A"/>
    <w:rsid w:val="00203216"/>
    <w:rsid w:val="00203B45"/>
    <w:rsid w:val="00203CF2"/>
    <w:rsid w:val="002048E2"/>
    <w:rsid w:val="00204994"/>
    <w:rsid w:val="00204D86"/>
    <w:rsid w:val="00204EC6"/>
    <w:rsid w:val="0020677F"/>
    <w:rsid w:val="00206F34"/>
    <w:rsid w:val="00210411"/>
    <w:rsid w:val="00211303"/>
    <w:rsid w:val="002116D7"/>
    <w:rsid w:val="00212710"/>
    <w:rsid w:val="00212740"/>
    <w:rsid w:val="00214B82"/>
    <w:rsid w:val="002152A3"/>
    <w:rsid w:val="00215959"/>
    <w:rsid w:val="00217328"/>
    <w:rsid w:val="002177F0"/>
    <w:rsid w:val="002178AA"/>
    <w:rsid w:val="002207F6"/>
    <w:rsid w:val="0022161D"/>
    <w:rsid w:val="0022287C"/>
    <w:rsid w:val="0022365A"/>
    <w:rsid w:val="0022464F"/>
    <w:rsid w:val="00224CB7"/>
    <w:rsid w:val="00225C4B"/>
    <w:rsid w:val="00225D33"/>
    <w:rsid w:val="002265FF"/>
    <w:rsid w:val="0022677E"/>
    <w:rsid w:val="002300EB"/>
    <w:rsid w:val="00231159"/>
    <w:rsid w:val="00232303"/>
    <w:rsid w:val="002355BF"/>
    <w:rsid w:val="00236CA3"/>
    <w:rsid w:val="00237539"/>
    <w:rsid w:val="0024054F"/>
    <w:rsid w:val="00240708"/>
    <w:rsid w:val="00240A40"/>
    <w:rsid w:val="00241251"/>
    <w:rsid w:val="002413C5"/>
    <w:rsid w:val="002416BD"/>
    <w:rsid w:val="002421CF"/>
    <w:rsid w:val="00242A0F"/>
    <w:rsid w:val="00242B78"/>
    <w:rsid w:val="00244159"/>
    <w:rsid w:val="0024464D"/>
    <w:rsid w:val="002452E8"/>
    <w:rsid w:val="00245FBE"/>
    <w:rsid w:val="00246214"/>
    <w:rsid w:val="0024633D"/>
    <w:rsid w:val="00246CDF"/>
    <w:rsid w:val="00247426"/>
    <w:rsid w:val="00251531"/>
    <w:rsid w:val="00251688"/>
    <w:rsid w:val="00252981"/>
    <w:rsid w:val="00252B4A"/>
    <w:rsid w:val="00252B7D"/>
    <w:rsid w:val="00252E08"/>
    <w:rsid w:val="002535CF"/>
    <w:rsid w:val="0025408E"/>
    <w:rsid w:val="00254097"/>
    <w:rsid w:val="00255072"/>
    <w:rsid w:val="0025554F"/>
    <w:rsid w:val="002570D6"/>
    <w:rsid w:val="00261143"/>
    <w:rsid w:val="00261F6B"/>
    <w:rsid w:val="002651E7"/>
    <w:rsid w:val="0026520A"/>
    <w:rsid w:val="00265742"/>
    <w:rsid w:val="00265CCE"/>
    <w:rsid w:val="0026684B"/>
    <w:rsid w:val="00266CEC"/>
    <w:rsid w:val="002670A9"/>
    <w:rsid w:val="00270524"/>
    <w:rsid w:val="0027111A"/>
    <w:rsid w:val="00272E4F"/>
    <w:rsid w:val="00273A61"/>
    <w:rsid w:val="00275845"/>
    <w:rsid w:val="002761EA"/>
    <w:rsid w:val="002765A1"/>
    <w:rsid w:val="002768BF"/>
    <w:rsid w:val="00276A13"/>
    <w:rsid w:val="00277AF7"/>
    <w:rsid w:val="00280C70"/>
    <w:rsid w:val="00281AE4"/>
    <w:rsid w:val="00282D13"/>
    <w:rsid w:val="002840FD"/>
    <w:rsid w:val="002841A7"/>
    <w:rsid w:val="00284AE8"/>
    <w:rsid w:val="002905F8"/>
    <w:rsid w:val="00290716"/>
    <w:rsid w:val="0029126A"/>
    <w:rsid w:val="002940E8"/>
    <w:rsid w:val="0029546D"/>
    <w:rsid w:val="002A10D0"/>
    <w:rsid w:val="002A2207"/>
    <w:rsid w:val="002A252C"/>
    <w:rsid w:val="002A28BC"/>
    <w:rsid w:val="002A528D"/>
    <w:rsid w:val="002A61E4"/>
    <w:rsid w:val="002A6307"/>
    <w:rsid w:val="002A6507"/>
    <w:rsid w:val="002A694E"/>
    <w:rsid w:val="002A6FA4"/>
    <w:rsid w:val="002A7C93"/>
    <w:rsid w:val="002B028D"/>
    <w:rsid w:val="002B14D1"/>
    <w:rsid w:val="002B2704"/>
    <w:rsid w:val="002B53A4"/>
    <w:rsid w:val="002B6493"/>
    <w:rsid w:val="002B6A7B"/>
    <w:rsid w:val="002B7687"/>
    <w:rsid w:val="002C0994"/>
    <w:rsid w:val="002C101A"/>
    <w:rsid w:val="002C3717"/>
    <w:rsid w:val="002C3E2F"/>
    <w:rsid w:val="002C4911"/>
    <w:rsid w:val="002C4F15"/>
    <w:rsid w:val="002D03D4"/>
    <w:rsid w:val="002D40AA"/>
    <w:rsid w:val="002D6E19"/>
    <w:rsid w:val="002D73EF"/>
    <w:rsid w:val="002E01DC"/>
    <w:rsid w:val="002E18CC"/>
    <w:rsid w:val="002E19C7"/>
    <w:rsid w:val="002E256B"/>
    <w:rsid w:val="002E3822"/>
    <w:rsid w:val="002E38CF"/>
    <w:rsid w:val="002E3F0D"/>
    <w:rsid w:val="002E4EA0"/>
    <w:rsid w:val="002E5785"/>
    <w:rsid w:val="002E66E5"/>
    <w:rsid w:val="002E76A3"/>
    <w:rsid w:val="002E7AEB"/>
    <w:rsid w:val="002F0CBA"/>
    <w:rsid w:val="002F1280"/>
    <w:rsid w:val="002F1AD2"/>
    <w:rsid w:val="002F1D53"/>
    <w:rsid w:val="002F27A9"/>
    <w:rsid w:val="002F2A37"/>
    <w:rsid w:val="002F49A2"/>
    <w:rsid w:val="002F72BE"/>
    <w:rsid w:val="00300C4C"/>
    <w:rsid w:val="00302105"/>
    <w:rsid w:val="0030211F"/>
    <w:rsid w:val="00302FB8"/>
    <w:rsid w:val="003033CC"/>
    <w:rsid w:val="00304313"/>
    <w:rsid w:val="00304E40"/>
    <w:rsid w:val="00305FA7"/>
    <w:rsid w:val="00306A22"/>
    <w:rsid w:val="00306F1A"/>
    <w:rsid w:val="00307092"/>
    <w:rsid w:val="003077A9"/>
    <w:rsid w:val="00307FA7"/>
    <w:rsid w:val="00310AA1"/>
    <w:rsid w:val="003115BB"/>
    <w:rsid w:val="00313418"/>
    <w:rsid w:val="00313D20"/>
    <w:rsid w:val="00315A47"/>
    <w:rsid w:val="00320415"/>
    <w:rsid w:val="0032059C"/>
    <w:rsid w:val="003214D2"/>
    <w:rsid w:val="003225B9"/>
    <w:rsid w:val="00325885"/>
    <w:rsid w:val="00325AD7"/>
    <w:rsid w:val="00326311"/>
    <w:rsid w:val="0032711B"/>
    <w:rsid w:val="00330032"/>
    <w:rsid w:val="00330C38"/>
    <w:rsid w:val="003318D5"/>
    <w:rsid w:val="003326DB"/>
    <w:rsid w:val="00333410"/>
    <w:rsid w:val="00333F80"/>
    <w:rsid w:val="003347CD"/>
    <w:rsid w:val="00334E43"/>
    <w:rsid w:val="0033509B"/>
    <w:rsid w:val="00335767"/>
    <w:rsid w:val="0033799B"/>
    <w:rsid w:val="00337B11"/>
    <w:rsid w:val="00341B86"/>
    <w:rsid w:val="00342A5C"/>
    <w:rsid w:val="00342F91"/>
    <w:rsid w:val="00343301"/>
    <w:rsid w:val="0034397C"/>
    <w:rsid w:val="00344755"/>
    <w:rsid w:val="003452D2"/>
    <w:rsid w:val="0034613D"/>
    <w:rsid w:val="003479B4"/>
    <w:rsid w:val="003508FC"/>
    <w:rsid w:val="00355056"/>
    <w:rsid w:val="003551D1"/>
    <w:rsid w:val="003552A5"/>
    <w:rsid w:val="00356355"/>
    <w:rsid w:val="003564DA"/>
    <w:rsid w:val="00360E0B"/>
    <w:rsid w:val="003613C5"/>
    <w:rsid w:val="00361F07"/>
    <w:rsid w:val="00363881"/>
    <w:rsid w:val="00363883"/>
    <w:rsid w:val="00364680"/>
    <w:rsid w:val="00365337"/>
    <w:rsid w:val="00365928"/>
    <w:rsid w:val="00365BF2"/>
    <w:rsid w:val="00366140"/>
    <w:rsid w:val="003668E7"/>
    <w:rsid w:val="0036761A"/>
    <w:rsid w:val="0037033E"/>
    <w:rsid w:val="0037140D"/>
    <w:rsid w:val="003718FE"/>
    <w:rsid w:val="00373A0B"/>
    <w:rsid w:val="0037445C"/>
    <w:rsid w:val="00374835"/>
    <w:rsid w:val="00374C06"/>
    <w:rsid w:val="00374E6E"/>
    <w:rsid w:val="00374EEB"/>
    <w:rsid w:val="00374FC4"/>
    <w:rsid w:val="00375018"/>
    <w:rsid w:val="00375100"/>
    <w:rsid w:val="003763F0"/>
    <w:rsid w:val="00376750"/>
    <w:rsid w:val="00377365"/>
    <w:rsid w:val="0037748D"/>
    <w:rsid w:val="00380935"/>
    <w:rsid w:val="00380DFD"/>
    <w:rsid w:val="00382558"/>
    <w:rsid w:val="003826A9"/>
    <w:rsid w:val="003827F8"/>
    <w:rsid w:val="00382C8F"/>
    <w:rsid w:val="00383466"/>
    <w:rsid w:val="003843F4"/>
    <w:rsid w:val="00384E1A"/>
    <w:rsid w:val="00385713"/>
    <w:rsid w:val="00385B3B"/>
    <w:rsid w:val="00385C71"/>
    <w:rsid w:val="00386BDB"/>
    <w:rsid w:val="003871D0"/>
    <w:rsid w:val="003871D6"/>
    <w:rsid w:val="0038724A"/>
    <w:rsid w:val="003877C0"/>
    <w:rsid w:val="00387AAD"/>
    <w:rsid w:val="00387AB5"/>
    <w:rsid w:val="00387B20"/>
    <w:rsid w:val="00387F6C"/>
    <w:rsid w:val="0039060C"/>
    <w:rsid w:val="00390798"/>
    <w:rsid w:val="003927BB"/>
    <w:rsid w:val="00394233"/>
    <w:rsid w:val="0039579F"/>
    <w:rsid w:val="00397F4A"/>
    <w:rsid w:val="003A09F6"/>
    <w:rsid w:val="003A1DFE"/>
    <w:rsid w:val="003A20E8"/>
    <w:rsid w:val="003A23FC"/>
    <w:rsid w:val="003A252D"/>
    <w:rsid w:val="003A3254"/>
    <w:rsid w:val="003A346C"/>
    <w:rsid w:val="003A438F"/>
    <w:rsid w:val="003A5542"/>
    <w:rsid w:val="003A597A"/>
    <w:rsid w:val="003A6014"/>
    <w:rsid w:val="003B0442"/>
    <w:rsid w:val="003B077D"/>
    <w:rsid w:val="003B0E4D"/>
    <w:rsid w:val="003B189B"/>
    <w:rsid w:val="003B2490"/>
    <w:rsid w:val="003B552C"/>
    <w:rsid w:val="003B596F"/>
    <w:rsid w:val="003B5F5F"/>
    <w:rsid w:val="003C0548"/>
    <w:rsid w:val="003C0B1F"/>
    <w:rsid w:val="003C3B68"/>
    <w:rsid w:val="003C4608"/>
    <w:rsid w:val="003C566C"/>
    <w:rsid w:val="003C5CCB"/>
    <w:rsid w:val="003C6927"/>
    <w:rsid w:val="003C754F"/>
    <w:rsid w:val="003C7AD4"/>
    <w:rsid w:val="003D1B11"/>
    <w:rsid w:val="003D2BE6"/>
    <w:rsid w:val="003D40B0"/>
    <w:rsid w:val="003D4CF8"/>
    <w:rsid w:val="003D58B4"/>
    <w:rsid w:val="003D5D8F"/>
    <w:rsid w:val="003D5EE2"/>
    <w:rsid w:val="003D65CC"/>
    <w:rsid w:val="003D7D6E"/>
    <w:rsid w:val="003E0393"/>
    <w:rsid w:val="003E0BF6"/>
    <w:rsid w:val="003E3394"/>
    <w:rsid w:val="003E3510"/>
    <w:rsid w:val="003E3D7A"/>
    <w:rsid w:val="003E45B7"/>
    <w:rsid w:val="003E5921"/>
    <w:rsid w:val="003E669A"/>
    <w:rsid w:val="003E6C22"/>
    <w:rsid w:val="003F0E51"/>
    <w:rsid w:val="003F148A"/>
    <w:rsid w:val="003F571F"/>
    <w:rsid w:val="003F64BF"/>
    <w:rsid w:val="003F6680"/>
    <w:rsid w:val="003F72F4"/>
    <w:rsid w:val="003F73D4"/>
    <w:rsid w:val="0040039C"/>
    <w:rsid w:val="00400D15"/>
    <w:rsid w:val="004011A2"/>
    <w:rsid w:val="00401334"/>
    <w:rsid w:val="00401833"/>
    <w:rsid w:val="00402244"/>
    <w:rsid w:val="00403D11"/>
    <w:rsid w:val="00403E41"/>
    <w:rsid w:val="00404916"/>
    <w:rsid w:val="00406CC5"/>
    <w:rsid w:val="00410015"/>
    <w:rsid w:val="004107C1"/>
    <w:rsid w:val="00410F63"/>
    <w:rsid w:val="00411512"/>
    <w:rsid w:val="00411736"/>
    <w:rsid w:val="00411CA7"/>
    <w:rsid w:val="00414BC3"/>
    <w:rsid w:val="00415017"/>
    <w:rsid w:val="00415926"/>
    <w:rsid w:val="00415A82"/>
    <w:rsid w:val="00416ED3"/>
    <w:rsid w:val="0041761D"/>
    <w:rsid w:val="00421CC2"/>
    <w:rsid w:val="00421D55"/>
    <w:rsid w:val="00422480"/>
    <w:rsid w:val="00423C88"/>
    <w:rsid w:val="00424704"/>
    <w:rsid w:val="00424BD5"/>
    <w:rsid w:val="0042580A"/>
    <w:rsid w:val="00425982"/>
    <w:rsid w:val="00425A72"/>
    <w:rsid w:val="00425D9C"/>
    <w:rsid w:val="00426C79"/>
    <w:rsid w:val="00427307"/>
    <w:rsid w:val="00427C0D"/>
    <w:rsid w:val="00427D35"/>
    <w:rsid w:val="00427E6B"/>
    <w:rsid w:val="00430037"/>
    <w:rsid w:val="00430496"/>
    <w:rsid w:val="00430832"/>
    <w:rsid w:val="004311F9"/>
    <w:rsid w:val="004313C9"/>
    <w:rsid w:val="00431869"/>
    <w:rsid w:val="004319C7"/>
    <w:rsid w:val="00432C55"/>
    <w:rsid w:val="004332BF"/>
    <w:rsid w:val="004337A2"/>
    <w:rsid w:val="00433976"/>
    <w:rsid w:val="0043415F"/>
    <w:rsid w:val="00434323"/>
    <w:rsid w:val="004357CE"/>
    <w:rsid w:val="00435D7A"/>
    <w:rsid w:val="00435F29"/>
    <w:rsid w:val="00436983"/>
    <w:rsid w:val="00436EF7"/>
    <w:rsid w:val="00441C6F"/>
    <w:rsid w:val="004431C1"/>
    <w:rsid w:val="00443FB5"/>
    <w:rsid w:val="00444381"/>
    <w:rsid w:val="00444AAB"/>
    <w:rsid w:val="00444AEC"/>
    <w:rsid w:val="0044589A"/>
    <w:rsid w:val="004471F3"/>
    <w:rsid w:val="00447942"/>
    <w:rsid w:val="00447C78"/>
    <w:rsid w:val="004501B7"/>
    <w:rsid w:val="004502E6"/>
    <w:rsid w:val="00452FE5"/>
    <w:rsid w:val="0045351A"/>
    <w:rsid w:val="00454ADF"/>
    <w:rsid w:val="00454C6B"/>
    <w:rsid w:val="004550DB"/>
    <w:rsid w:val="004559CB"/>
    <w:rsid w:val="00455E56"/>
    <w:rsid w:val="0045623F"/>
    <w:rsid w:val="00457B25"/>
    <w:rsid w:val="00457DB9"/>
    <w:rsid w:val="00457F5A"/>
    <w:rsid w:val="0046078A"/>
    <w:rsid w:val="00461194"/>
    <w:rsid w:val="00461EB7"/>
    <w:rsid w:val="00463333"/>
    <w:rsid w:val="0046355F"/>
    <w:rsid w:val="004639E7"/>
    <w:rsid w:val="00464361"/>
    <w:rsid w:val="00465552"/>
    <w:rsid w:val="00465830"/>
    <w:rsid w:val="00465C77"/>
    <w:rsid w:val="00466782"/>
    <w:rsid w:val="00466B1F"/>
    <w:rsid w:val="00467196"/>
    <w:rsid w:val="00471A4A"/>
    <w:rsid w:val="00472B00"/>
    <w:rsid w:val="00472D2B"/>
    <w:rsid w:val="004732FF"/>
    <w:rsid w:val="0047472C"/>
    <w:rsid w:val="00475655"/>
    <w:rsid w:val="0047757A"/>
    <w:rsid w:val="0047790B"/>
    <w:rsid w:val="00480246"/>
    <w:rsid w:val="00481480"/>
    <w:rsid w:val="00482775"/>
    <w:rsid w:val="00482C63"/>
    <w:rsid w:val="004830FA"/>
    <w:rsid w:val="00483172"/>
    <w:rsid w:val="004848E3"/>
    <w:rsid w:val="00486052"/>
    <w:rsid w:val="00486916"/>
    <w:rsid w:val="00486EFF"/>
    <w:rsid w:val="00487BA4"/>
    <w:rsid w:val="00487C99"/>
    <w:rsid w:val="00487E14"/>
    <w:rsid w:val="00487F18"/>
    <w:rsid w:val="00491231"/>
    <w:rsid w:val="00491CDB"/>
    <w:rsid w:val="00493CE4"/>
    <w:rsid w:val="004941A0"/>
    <w:rsid w:val="0049508A"/>
    <w:rsid w:val="004960F6"/>
    <w:rsid w:val="004961DF"/>
    <w:rsid w:val="0049720D"/>
    <w:rsid w:val="004A13D5"/>
    <w:rsid w:val="004A16D8"/>
    <w:rsid w:val="004A18C5"/>
    <w:rsid w:val="004A1CAB"/>
    <w:rsid w:val="004A1EC1"/>
    <w:rsid w:val="004A1F8A"/>
    <w:rsid w:val="004A3144"/>
    <w:rsid w:val="004A45A5"/>
    <w:rsid w:val="004A51F8"/>
    <w:rsid w:val="004A5F24"/>
    <w:rsid w:val="004A75A7"/>
    <w:rsid w:val="004A7FBC"/>
    <w:rsid w:val="004B0B64"/>
    <w:rsid w:val="004B2150"/>
    <w:rsid w:val="004B22F9"/>
    <w:rsid w:val="004B3A98"/>
    <w:rsid w:val="004B52C0"/>
    <w:rsid w:val="004B565D"/>
    <w:rsid w:val="004B5E25"/>
    <w:rsid w:val="004B687B"/>
    <w:rsid w:val="004B68FD"/>
    <w:rsid w:val="004C0A18"/>
    <w:rsid w:val="004C1205"/>
    <w:rsid w:val="004C1D1A"/>
    <w:rsid w:val="004C65FD"/>
    <w:rsid w:val="004C676B"/>
    <w:rsid w:val="004C683B"/>
    <w:rsid w:val="004C7F18"/>
    <w:rsid w:val="004D2F0D"/>
    <w:rsid w:val="004D3954"/>
    <w:rsid w:val="004D3E20"/>
    <w:rsid w:val="004D4185"/>
    <w:rsid w:val="004D4CB3"/>
    <w:rsid w:val="004D4F33"/>
    <w:rsid w:val="004D63B7"/>
    <w:rsid w:val="004E0B03"/>
    <w:rsid w:val="004E0B6E"/>
    <w:rsid w:val="004E0D8C"/>
    <w:rsid w:val="004E153B"/>
    <w:rsid w:val="004E346A"/>
    <w:rsid w:val="004E36A8"/>
    <w:rsid w:val="004E42FF"/>
    <w:rsid w:val="004E4F11"/>
    <w:rsid w:val="004E5AC2"/>
    <w:rsid w:val="004E5C04"/>
    <w:rsid w:val="004E670A"/>
    <w:rsid w:val="004E75A8"/>
    <w:rsid w:val="004E7D47"/>
    <w:rsid w:val="004F050C"/>
    <w:rsid w:val="004F2471"/>
    <w:rsid w:val="004F3ABD"/>
    <w:rsid w:val="004F3F9E"/>
    <w:rsid w:val="004F71B2"/>
    <w:rsid w:val="004F7488"/>
    <w:rsid w:val="004F7651"/>
    <w:rsid w:val="004F76B3"/>
    <w:rsid w:val="004F78AA"/>
    <w:rsid w:val="004F7BF0"/>
    <w:rsid w:val="00501680"/>
    <w:rsid w:val="005022AD"/>
    <w:rsid w:val="00502CA5"/>
    <w:rsid w:val="00503933"/>
    <w:rsid w:val="00503E36"/>
    <w:rsid w:val="00504E07"/>
    <w:rsid w:val="00505A11"/>
    <w:rsid w:val="00506E92"/>
    <w:rsid w:val="00507619"/>
    <w:rsid w:val="005128D4"/>
    <w:rsid w:val="00513957"/>
    <w:rsid w:val="005140BE"/>
    <w:rsid w:val="00516DC9"/>
    <w:rsid w:val="005223A7"/>
    <w:rsid w:val="00522C79"/>
    <w:rsid w:val="0052307B"/>
    <w:rsid w:val="00523F45"/>
    <w:rsid w:val="00524243"/>
    <w:rsid w:val="005243D9"/>
    <w:rsid w:val="0052452C"/>
    <w:rsid w:val="00524A13"/>
    <w:rsid w:val="00524E7A"/>
    <w:rsid w:val="005252E6"/>
    <w:rsid w:val="005259B8"/>
    <w:rsid w:val="00525E87"/>
    <w:rsid w:val="00525F1C"/>
    <w:rsid w:val="0052783B"/>
    <w:rsid w:val="0053019D"/>
    <w:rsid w:val="0053044C"/>
    <w:rsid w:val="00531720"/>
    <w:rsid w:val="0053179D"/>
    <w:rsid w:val="005327A0"/>
    <w:rsid w:val="00532B7E"/>
    <w:rsid w:val="00533861"/>
    <w:rsid w:val="00534A06"/>
    <w:rsid w:val="00534F97"/>
    <w:rsid w:val="005353BA"/>
    <w:rsid w:val="0053650A"/>
    <w:rsid w:val="0053680A"/>
    <w:rsid w:val="005405C6"/>
    <w:rsid w:val="00540D9E"/>
    <w:rsid w:val="00540FEA"/>
    <w:rsid w:val="0054138C"/>
    <w:rsid w:val="005417A6"/>
    <w:rsid w:val="00541EA2"/>
    <w:rsid w:val="005422FF"/>
    <w:rsid w:val="0054237E"/>
    <w:rsid w:val="00542893"/>
    <w:rsid w:val="00543316"/>
    <w:rsid w:val="00545AE3"/>
    <w:rsid w:val="00545E60"/>
    <w:rsid w:val="00546A09"/>
    <w:rsid w:val="00546EAA"/>
    <w:rsid w:val="00551382"/>
    <w:rsid w:val="0055263C"/>
    <w:rsid w:val="00552E2B"/>
    <w:rsid w:val="00553743"/>
    <w:rsid w:val="00555C51"/>
    <w:rsid w:val="00556123"/>
    <w:rsid w:val="00560718"/>
    <w:rsid w:val="0056172F"/>
    <w:rsid w:val="005629BA"/>
    <w:rsid w:val="00563296"/>
    <w:rsid w:val="005640D6"/>
    <w:rsid w:val="005646F9"/>
    <w:rsid w:val="00566CAB"/>
    <w:rsid w:val="005705A3"/>
    <w:rsid w:val="00570627"/>
    <w:rsid w:val="00570CF9"/>
    <w:rsid w:val="00570D98"/>
    <w:rsid w:val="00570EC6"/>
    <w:rsid w:val="005712C9"/>
    <w:rsid w:val="00572733"/>
    <w:rsid w:val="005735FB"/>
    <w:rsid w:val="0057593F"/>
    <w:rsid w:val="00575CBE"/>
    <w:rsid w:val="00576A38"/>
    <w:rsid w:val="0057734D"/>
    <w:rsid w:val="00581109"/>
    <w:rsid w:val="00581E06"/>
    <w:rsid w:val="005827AE"/>
    <w:rsid w:val="00583F1F"/>
    <w:rsid w:val="00585AAE"/>
    <w:rsid w:val="0058676A"/>
    <w:rsid w:val="00590E92"/>
    <w:rsid w:val="00590F46"/>
    <w:rsid w:val="005928EC"/>
    <w:rsid w:val="00593305"/>
    <w:rsid w:val="0059350A"/>
    <w:rsid w:val="00593F74"/>
    <w:rsid w:val="005949C0"/>
    <w:rsid w:val="0059511E"/>
    <w:rsid w:val="005954A4"/>
    <w:rsid w:val="005A1D98"/>
    <w:rsid w:val="005A34C4"/>
    <w:rsid w:val="005A37C1"/>
    <w:rsid w:val="005A5887"/>
    <w:rsid w:val="005A599A"/>
    <w:rsid w:val="005A5B95"/>
    <w:rsid w:val="005A69EF"/>
    <w:rsid w:val="005A71FA"/>
    <w:rsid w:val="005B00DF"/>
    <w:rsid w:val="005B2A3C"/>
    <w:rsid w:val="005B34B2"/>
    <w:rsid w:val="005B3B30"/>
    <w:rsid w:val="005B4D53"/>
    <w:rsid w:val="005B5224"/>
    <w:rsid w:val="005C005A"/>
    <w:rsid w:val="005C085F"/>
    <w:rsid w:val="005C0BA2"/>
    <w:rsid w:val="005C0E83"/>
    <w:rsid w:val="005C1C51"/>
    <w:rsid w:val="005C2113"/>
    <w:rsid w:val="005C3C32"/>
    <w:rsid w:val="005C4307"/>
    <w:rsid w:val="005C48E4"/>
    <w:rsid w:val="005C714D"/>
    <w:rsid w:val="005D0540"/>
    <w:rsid w:val="005D1C2F"/>
    <w:rsid w:val="005D224A"/>
    <w:rsid w:val="005D2EA4"/>
    <w:rsid w:val="005D38BF"/>
    <w:rsid w:val="005D42DF"/>
    <w:rsid w:val="005D5070"/>
    <w:rsid w:val="005D69F6"/>
    <w:rsid w:val="005E16E8"/>
    <w:rsid w:val="005E1C3E"/>
    <w:rsid w:val="005E1EBA"/>
    <w:rsid w:val="005E40C1"/>
    <w:rsid w:val="005E53E0"/>
    <w:rsid w:val="005E5861"/>
    <w:rsid w:val="005E5952"/>
    <w:rsid w:val="005E65F6"/>
    <w:rsid w:val="005F05B8"/>
    <w:rsid w:val="005F087E"/>
    <w:rsid w:val="005F16E2"/>
    <w:rsid w:val="005F310F"/>
    <w:rsid w:val="005F3210"/>
    <w:rsid w:val="005F3CF1"/>
    <w:rsid w:val="005F3DAE"/>
    <w:rsid w:val="005F4757"/>
    <w:rsid w:val="005F489F"/>
    <w:rsid w:val="005F7C09"/>
    <w:rsid w:val="005F7FB0"/>
    <w:rsid w:val="00600918"/>
    <w:rsid w:val="00601122"/>
    <w:rsid w:val="0060150F"/>
    <w:rsid w:val="00601C54"/>
    <w:rsid w:val="0060314C"/>
    <w:rsid w:val="006037BC"/>
    <w:rsid w:val="00603E45"/>
    <w:rsid w:val="0060764C"/>
    <w:rsid w:val="00610E3A"/>
    <w:rsid w:val="00611C4D"/>
    <w:rsid w:val="00611EBA"/>
    <w:rsid w:val="006127FA"/>
    <w:rsid w:val="006134BD"/>
    <w:rsid w:val="006135EA"/>
    <w:rsid w:val="00613C73"/>
    <w:rsid w:val="00614EF6"/>
    <w:rsid w:val="0061653B"/>
    <w:rsid w:val="006208FF"/>
    <w:rsid w:val="00620D89"/>
    <w:rsid w:val="00621124"/>
    <w:rsid w:val="00621D82"/>
    <w:rsid w:val="00623D1D"/>
    <w:rsid w:val="00624595"/>
    <w:rsid w:val="0062472A"/>
    <w:rsid w:val="00624DF4"/>
    <w:rsid w:val="00624F4F"/>
    <w:rsid w:val="0062601F"/>
    <w:rsid w:val="0062682F"/>
    <w:rsid w:val="00626949"/>
    <w:rsid w:val="0062718C"/>
    <w:rsid w:val="00630555"/>
    <w:rsid w:val="00631A2F"/>
    <w:rsid w:val="00632545"/>
    <w:rsid w:val="00632672"/>
    <w:rsid w:val="00633892"/>
    <w:rsid w:val="00635552"/>
    <w:rsid w:val="0063786C"/>
    <w:rsid w:val="00640DCE"/>
    <w:rsid w:val="00643EE1"/>
    <w:rsid w:val="00644016"/>
    <w:rsid w:val="00644D5D"/>
    <w:rsid w:val="00647D98"/>
    <w:rsid w:val="00651C2C"/>
    <w:rsid w:val="0065283E"/>
    <w:rsid w:val="00652EFA"/>
    <w:rsid w:val="0065323C"/>
    <w:rsid w:val="00655896"/>
    <w:rsid w:val="00656705"/>
    <w:rsid w:val="00657121"/>
    <w:rsid w:val="0066037A"/>
    <w:rsid w:val="0066072D"/>
    <w:rsid w:val="00661429"/>
    <w:rsid w:val="00662211"/>
    <w:rsid w:val="0066375D"/>
    <w:rsid w:val="006639A1"/>
    <w:rsid w:val="00663F75"/>
    <w:rsid w:val="00664232"/>
    <w:rsid w:val="006644D7"/>
    <w:rsid w:val="0066452F"/>
    <w:rsid w:val="00666F6B"/>
    <w:rsid w:val="00667110"/>
    <w:rsid w:val="006674EA"/>
    <w:rsid w:val="00667CFA"/>
    <w:rsid w:val="00671B79"/>
    <w:rsid w:val="006726C1"/>
    <w:rsid w:val="00672D56"/>
    <w:rsid w:val="00673E3D"/>
    <w:rsid w:val="006806B8"/>
    <w:rsid w:val="006811F9"/>
    <w:rsid w:val="006816E8"/>
    <w:rsid w:val="00682906"/>
    <w:rsid w:val="0068335B"/>
    <w:rsid w:val="00683590"/>
    <w:rsid w:val="006840B2"/>
    <w:rsid w:val="00685851"/>
    <w:rsid w:val="0068676E"/>
    <w:rsid w:val="006879E7"/>
    <w:rsid w:val="00690285"/>
    <w:rsid w:val="006914C3"/>
    <w:rsid w:val="0069183B"/>
    <w:rsid w:val="00691E26"/>
    <w:rsid w:val="00692126"/>
    <w:rsid w:val="006928C3"/>
    <w:rsid w:val="00692C76"/>
    <w:rsid w:val="00693C2E"/>
    <w:rsid w:val="00693C56"/>
    <w:rsid w:val="00693D4E"/>
    <w:rsid w:val="00694230"/>
    <w:rsid w:val="00696A95"/>
    <w:rsid w:val="00696D84"/>
    <w:rsid w:val="0069737B"/>
    <w:rsid w:val="006A0AD6"/>
    <w:rsid w:val="006A2A8B"/>
    <w:rsid w:val="006A2CD4"/>
    <w:rsid w:val="006A4385"/>
    <w:rsid w:val="006A525E"/>
    <w:rsid w:val="006A53CF"/>
    <w:rsid w:val="006A72E6"/>
    <w:rsid w:val="006A79F6"/>
    <w:rsid w:val="006A7B14"/>
    <w:rsid w:val="006B0AAE"/>
    <w:rsid w:val="006B0B42"/>
    <w:rsid w:val="006B0D7B"/>
    <w:rsid w:val="006B1E23"/>
    <w:rsid w:val="006B3CDB"/>
    <w:rsid w:val="006B4139"/>
    <w:rsid w:val="006B438B"/>
    <w:rsid w:val="006B50B6"/>
    <w:rsid w:val="006B597E"/>
    <w:rsid w:val="006B5DDA"/>
    <w:rsid w:val="006B6EE9"/>
    <w:rsid w:val="006B7F98"/>
    <w:rsid w:val="006C0B2E"/>
    <w:rsid w:val="006C2713"/>
    <w:rsid w:val="006C4E39"/>
    <w:rsid w:val="006C633F"/>
    <w:rsid w:val="006C6B25"/>
    <w:rsid w:val="006D0C01"/>
    <w:rsid w:val="006D0FDE"/>
    <w:rsid w:val="006D114A"/>
    <w:rsid w:val="006D1498"/>
    <w:rsid w:val="006D1665"/>
    <w:rsid w:val="006D16F6"/>
    <w:rsid w:val="006D2464"/>
    <w:rsid w:val="006D2BF4"/>
    <w:rsid w:val="006D2F1E"/>
    <w:rsid w:val="006D3B2D"/>
    <w:rsid w:val="006D4BC9"/>
    <w:rsid w:val="006D4F0D"/>
    <w:rsid w:val="006D5679"/>
    <w:rsid w:val="006D5E92"/>
    <w:rsid w:val="006D63B3"/>
    <w:rsid w:val="006D6567"/>
    <w:rsid w:val="006D6CAD"/>
    <w:rsid w:val="006D7208"/>
    <w:rsid w:val="006D7D53"/>
    <w:rsid w:val="006E0959"/>
    <w:rsid w:val="006E2026"/>
    <w:rsid w:val="006E27F6"/>
    <w:rsid w:val="006E4188"/>
    <w:rsid w:val="006E4A80"/>
    <w:rsid w:val="006E583A"/>
    <w:rsid w:val="006E6405"/>
    <w:rsid w:val="006E6420"/>
    <w:rsid w:val="006E675E"/>
    <w:rsid w:val="006E7C04"/>
    <w:rsid w:val="006E7FDA"/>
    <w:rsid w:val="006F0598"/>
    <w:rsid w:val="006F05D2"/>
    <w:rsid w:val="006F118F"/>
    <w:rsid w:val="006F12D0"/>
    <w:rsid w:val="006F18D5"/>
    <w:rsid w:val="006F1DE2"/>
    <w:rsid w:val="006F1EC5"/>
    <w:rsid w:val="006F2BFC"/>
    <w:rsid w:val="006F2ECD"/>
    <w:rsid w:val="006F4BCC"/>
    <w:rsid w:val="006F522C"/>
    <w:rsid w:val="006F5231"/>
    <w:rsid w:val="006F5330"/>
    <w:rsid w:val="006F606D"/>
    <w:rsid w:val="0070025A"/>
    <w:rsid w:val="0070166F"/>
    <w:rsid w:val="007037E8"/>
    <w:rsid w:val="00703F06"/>
    <w:rsid w:val="0070485C"/>
    <w:rsid w:val="00705E7E"/>
    <w:rsid w:val="00706A99"/>
    <w:rsid w:val="00707315"/>
    <w:rsid w:val="0070736C"/>
    <w:rsid w:val="00707439"/>
    <w:rsid w:val="00707730"/>
    <w:rsid w:val="00710848"/>
    <w:rsid w:val="0071120D"/>
    <w:rsid w:val="007116EB"/>
    <w:rsid w:val="00712E34"/>
    <w:rsid w:val="007155D3"/>
    <w:rsid w:val="00716482"/>
    <w:rsid w:val="00717539"/>
    <w:rsid w:val="007175BD"/>
    <w:rsid w:val="00717A99"/>
    <w:rsid w:val="00717ABC"/>
    <w:rsid w:val="00720280"/>
    <w:rsid w:val="007206B6"/>
    <w:rsid w:val="00720734"/>
    <w:rsid w:val="00721FC6"/>
    <w:rsid w:val="00722C62"/>
    <w:rsid w:val="00722F5A"/>
    <w:rsid w:val="0072404A"/>
    <w:rsid w:val="007241BA"/>
    <w:rsid w:val="0072513A"/>
    <w:rsid w:val="00725C45"/>
    <w:rsid w:val="00725FF4"/>
    <w:rsid w:val="0072634D"/>
    <w:rsid w:val="0072757A"/>
    <w:rsid w:val="007278DE"/>
    <w:rsid w:val="0073028A"/>
    <w:rsid w:val="007306B0"/>
    <w:rsid w:val="00730FA4"/>
    <w:rsid w:val="00731073"/>
    <w:rsid w:val="0073208A"/>
    <w:rsid w:val="007324D3"/>
    <w:rsid w:val="00732CFA"/>
    <w:rsid w:val="00732FCE"/>
    <w:rsid w:val="007366F5"/>
    <w:rsid w:val="0073702C"/>
    <w:rsid w:val="00737949"/>
    <w:rsid w:val="00737C5B"/>
    <w:rsid w:val="00737F6D"/>
    <w:rsid w:val="00740E88"/>
    <w:rsid w:val="00740F47"/>
    <w:rsid w:val="0074115F"/>
    <w:rsid w:val="00743D2A"/>
    <w:rsid w:val="007446D2"/>
    <w:rsid w:val="00744801"/>
    <w:rsid w:val="00744BD6"/>
    <w:rsid w:val="00744CD7"/>
    <w:rsid w:val="007452F5"/>
    <w:rsid w:val="00746D5D"/>
    <w:rsid w:val="00750225"/>
    <w:rsid w:val="00750CC9"/>
    <w:rsid w:val="00752700"/>
    <w:rsid w:val="00752D36"/>
    <w:rsid w:val="00754443"/>
    <w:rsid w:val="007551EA"/>
    <w:rsid w:val="00755C8C"/>
    <w:rsid w:val="00756BC2"/>
    <w:rsid w:val="00756C0B"/>
    <w:rsid w:val="0075787D"/>
    <w:rsid w:val="00757FDA"/>
    <w:rsid w:val="0076000B"/>
    <w:rsid w:val="007604D5"/>
    <w:rsid w:val="007608F6"/>
    <w:rsid w:val="00760FB8"/>
    <w:rsid w:val="00761379"/>
    <w:rsid w:val="007629B7"/>
    <w:rsid w:val="00762D50"/>
    <w:rsid w:val="00763456"/>
    <w:rsid w:val="007635CA"/>
    <w:rsid w:val="007644F6"/>
    <w:rsid w:val="007658BC"/>
    <w:rsid w:val="00765EB7"/>
    <w:rsid w:val="0076612E"/>
    <w:rsid w:val="00767139"/>
    <w:rsid w:val="00767697"/>
    <w:rsid w:val="007702A3"/>
    <w:rsid w:val="00770949"/>
    <w:rsid w:val="00770E1A"/>
    <w:rsid w:val="00771937"/>
    <w:rsid w:val="00771F00"/>
    <w:rsid w:val="0077276A"/>
    <w:rsid w:val="00772E50"/>
    <w:rsid w:val="00772EDD"/>
    <w:rsid w:val="0077383C"/>
    <w:rsid w:val="00773D37"/>
    <w:rsid w:val="0077496C"/>
    <w:rsid w:val="00775CF3"/>
    <w:rsid w:val="007762D6"/>
    <w:rsid w:val="007764D2"/>
    <w:rsid w:val="00776A43"/>
    <w:rsid w:val="0078045A"/>
    <w:rsid w:val="00780478"/>
    <w:rsid w:val="00780D16"/>
    <w:rsid w:val="00780E7F"/>
    <w:rsid w:val="00780FA7"/>
    <w:rsid w:val="00781AFD"/>
    <w:rsid w:val="00783426"/>
    <w:rsid w:val="00783BC5"/>
    <w:rsid w:val="007846B4"/>
    <w:rsid w:val="00784E29"/>
    <w:rsid w:val="00784FBF"/>
    <w:rsid w:val="00785D3D"/>
    <w:rsid w:val="00786EA2"/>
    <w:rsid w:val="007876E9"/>
    <w:rsid w:val="00790867"/>
    <w:rsid w:val="00792B59"/>
    <w:rsid w:val="00793924"/>
    <w:rsid w:val="007939FF"/>
    <w:rsid w:val="00794175"/>
    <w:rsid w:val="00794700"/>
    <w:rsid w:val="0079796C"/>
    <w:rsid w:val="00797EE1"/>
    <w:rsid w:val="007A0D08"/>
    <w:rsid w:val="007A2B26"/>
    <w:rsid w:val="007A3F97"/>
    <w:rsid w:val="007A443D"/>
    <w:rsid w:val="007A4478"/>
    <w:rsid w:val="007A506F"/>
    <w:rsid w:val="007A6315"/>
    <w:rsid w:val="007A68DE"/>
    <w:rsid w:val="007A76A9"/>
    <w:rsid w:val="007A7AB8"/>
    <w:rsid w:val="007A7D42"/>
    <w:rsid w:val="007B06AD"/>
    <w:rsid w:val="007B06B4"/>
    <w:rsid w:val="007B15F9"/>
    <w:rsid w:val="007B1608"/>
    <w:rsid w:val="007B1BFB"/>
    <w:rsid w:val="007B32EC"/>
    <w:rsid w:val="007B3A4F"/>
    <w:rsid w:val="007B6922"/>
    <w:rsid w:val="007B7882"/>
    <w:rsid w:val="007C0A68"/>
    <w:rsid w:val="007C0C0F"/>
    <w:rsid w:val="007C0D81"/>
    <w:rsid w:val="007C1CF0"/>
    <w:rsid w:val="007C1D2E"/>
    <w:rsid w:val="007C2807"/>
    <w:rsid w:val="007C2AC1"/>
    <w:rsid w:val="007C3FE4"/>
    <w:rsid w:val="007C4285"/>
    <w:rsid w:val="007C6862"/>
    <w:rsid w:val="007C7C2E"/>
    <w:rsid w:val="007D03B7"/>
    <w:rsid w:val="007D07E8"/>
    <w:rsid w:val="007D1354"/>
    <w:rsid w:val="007D312C"/>
    <w:rsid w:val="007D3AC7"/>
    <w:rsid w:val="007D42FF"/>
    <w:rsid w:val="007D5258"/>
    <w:rsid w:val="007D57D8"/>
    <w:rsid w:val="007D5D0D"/>
    <w:rsid w:val="007D5F37"/>
    <w:rsid w:val="007D6598"/>
    <w:rsid w:val="007D7568"/>
    <w:rsid w:val="007D7FE4"/>
    <w:rsid w:val="007E3052"/>
    <w:rsid w:val="007E313B"/>
    <w:rsid w:val="007E33D5"/>
    <w:rsid w:val="007E459E"/>
    <w:rsid w:val="007E471B"/>
    <w:rsid w:val="007E484A"/>
    <w:rsid w:val="007E6344"/>
    <w:rsid w:val="007E63F4"/>
    <w:rsid w:val="007E725C"/>
    <w:rsid w:val="007E73B2"/>
    <w:rsid w:val="007F1A0F"/>
    <w:rsid w:val="007F24D7"/>
    <w:rsid w:val="007F3A18"/>
    <w:rsid w:val="007F4260"/>
    <w:rsid w:val="007F426B"/>
    <w:rsid w:val="007F49A5"/>
    <w:rsid w:val="007F52A7"/>
    <w:rsid w:val="007F5505"/>
    <w:rsid w:val="007F5E16"/>
    <w:rsid w:val="007F610C"/>
    <w:rsid w:val="007F65EA"/>
    <w:rsid w:val="007F6D7E"/>
    <w:rsid w:val="0080010B"/>
    <w:rsid w:val="0080067A"/>
    <w:rsid w:val="00800B6E"/>
    <w:rsid w:val="00800BFE"/>
    <w:rsid w:val="00801F37"/>
    <w:rsid w:val="00801F88"/>
    <w:rsid w:val="00802E88"/>
    <w:rsid w:val="0080438B"/>
    <w:rsid w:val="008044D0"/>
    <w:rsid w:val="00807C77"/>
    <w:rsid w:val="00810529"/>
    <w:rsid w:val="00810B50"/>
    <w:rsid w:val="00814318"/>
    <w:rsid w:val="0081441D"/>
    <w:rsid w:val="00814A9F"/>
    <w:rsid w:val="0081553B"/>
    <w:rsid w:val="008162D9"/>
    <w:rsid w:val="00820693"/>
    <w:rsid w:val="00820840"/>
    <w:rsid w:val="00820E25"/>
    <w:rsid w:val="00823771"/>
    <w:rsid w:val="00823BC2"/>
    <w:rsid w:val="008246DA"/>
    <w:rsid w:val="00824820"/>
    <w:rsid w:val="00824A6B"/>
    <w:rsid w:val="00824C26"/>
    <w:rsid w:val="008253E6"/>
    <w:rsid w:val="00826953"/>
    <w:rsid w:val="00827671"/>
    <w:rsid w:val="00827FB2"/>
    <w:rsid w:val="00830714"/>
    <w:rsid w:val="008317B4"/>
    <w:rsid w:val="00832989"/>
    <w:rsid w:val="00834ECE"/>
    <w:rsid w:val="0083597E"/>
    <w:rsid w:val="00836AB6"/>
    <w:rsid w:val="00837058"/>
    <w:rsid w:val="00837D75"/>
    <w:rsid w:val="00842BFC"/>
    <w:rsid w:val="00842E13"/>
    <w:rsid w:val="008436F9"/>
    <w:rsid w:val="00844061"/>
    <w:rsid w:val="00845C93"/>
    <w:rsid w:val="00845F85"/>
    <w:rsid w:val="0084699F"/>
    <w:rsid w:val="008507D3"/>
    <w:rsid w:val="00850BE9"/>
    <w:rsid w:val="00851AC8"/>
    <w:rsid w:val="00852ADB"/>
    <w:rsid w:val="0085301D"/>
    <w:rsid w:val="00856C29"/>
    <w:rsid w:val="00857362"/>
    <w:rsid w:val="008578C0"/>
    <w:rsid w:val="00860510"/>
    <w:rsid w:val="008605B3"/>
    <w:rsid w:val="00860F5A"/>
    <w:rsid w:val="008610C7"/>
    <w:rsid w:val="0086209A"/>
    <w:rsid w:val="0086222E"/>
    <w:rsid w:val="0086292F"/>
    <w:rsid w:val="00862DC6"/>
    <w:rsid w:val="008634D7"/>
    <w:rsid w:val="00865235"/>
    <w:rsid w:val="008664DA"/>
    <w:rsid w:val="00866F2D"/>
    <w:rsid w:val="008676B7"/>
    <w:rsid w:val="00870139"/>
    <w:rsid w:val="008702DF"/>
    <w:rsid w:val="008716D0"/>
    <w:rsid w:val="0087325C"/>
    <w:rsid w:val="00874142"/>
    <w:rsid w:val="0087508E"/>
    <w:rsid w:val="00875253"/>
    <w:rsid w:val="008762DD"/>
    <w:rsid w:val="00876935"/>
    <w:rsid w:val="00876ADE"/>
    <w:rsid w:val="00876B0C"/>
    <w:rsid w:val="00877313"/>
    <w:rsid w:val="008773A4"/>
    <w:rsid w:val="00881BDF"/>
    <w:rsid w:val="00881E8C"/>
    <w:rsid w:val="008855F6"/>
    <w:rsid w:val="008856BE"/>
    <w:rsid w:val="00885754"/>
    <w:rsid w:val="0088589F"/>
    <w:rsid w:val="0088593C"/>
    <w:rsid w:val="00886CC2"/>
    <w:rsid w:val="0088728B"/>
    <w:rsid w:val="0089006D"/>
    <w:rsid w:val="00890170"/>
    <w:rsid w:val="00891122"/>
    <w:rsid w:val="00893247"/>
    <w:rsid w:val="00894250"/>
    <w:rsid w:val="00894C4D"/>
    <w:rsid w:val="00894CE6"/>
    <w:rsid w:val="0089545F"/>
    <w:rsid w:val="00895685"/>
    <w:rsid w:val="00895F81"/>
    <w:rsid w:val="008960D0"/>
    <w:rsid w:val="00896A7D"/>
    <w:rsid w:val="00896B1F"/>
    <w:rsid w:val="0089757E"/>
    <w:rsid w:val="008A073A"/>
    <w:rsid w:val="008A07AF"/>
    <w:rsid w:val="008A0E15"/>
    <w:rsid w:val="008A1D3C"/>
    <w:rsid w:val="008A335E"/>
    <w:rsid w:val="008A3866"/>
    <w:rsid w:val="008A3A0A"/>
    <w:rsid w:val="008A48E0"/>
    <w:rsid w:val="008A52D6"/>
    <w:rsid w:val="008A5738"/>
    <w:rsid w:val="008A66A7"/>
    <w:rsid w:val="008A7129"/>
    <w:rsid w:val="008A76E7"/>
    <w:rsid w:val="008A7C8C"/>
    <w:rsid w:val="008B008E"/>
    <w:rsid w:val="008B1039"/>
    <w:rsid w:val="008B1E37"/>
    <w:rsid w:val="008B2827"/>
    <w:rsid w:val="008B493E"/>
    <w:rsid w:val="008B4E09"/>
    <w:rsid w:val="008B53F4"/>
    <w:rsid w:val="008B5D7C"/>
    <w:rsid w:val="008B5E35"/>
    <w:rsid w:val="008B6E32"/>
    <w:rsid w:val="008B770C"/>
    <w:rsid w:val="008B7F35"/>
    <w:rsid w:val="008C37F8"/>
    <w:rsid w:val="008C3AD3"/>
    <w:rsid w:val="008C44D4"/>
    <w:rsid w:val="008C5598"/>
    <w:rsid w:val="008C6277"/>
    <w:rsid w:val="008C62D6"/>
    <w:rsid w:val="008C673C"/>
    <w:rsid w:val="008C7557"/>
    <w:rsid w:val="008C7C02"/>
    <w:rsid w:val="008D0202"/>
    <w:rsid w:val="008D020C"/>
    <w:rsid w:val="008D0391"/>
    <w:rsid w:val="008D0D39"/>
    <w:rsid w:val="008D2E7A"/>
    <w:rsid w:val="008D357A"/>
    <w:rsid w:val="008D4A55"/>
    <w:rsid w:val="008D59FD"/>
    <w:rsid w:val="008D5A83"/>
    <w:rsid w:val="008D637D"/>
    <w:rsid w:val="008D7169"/>
    <w:rsid w:val="008E0748"/>
    <w:rsid w:val="008E0928"/>
    <w:rsid w:val="008E1F3E"/>
    <w:rsid w:val="008E28D4"/>
    <w:rsid w:val="008E3FD0"/>
    <w:rsid w:val="008E4994"/>
    <w:rsid w:val="008E5AB4"/>
    <w:rsid w:val="008E7A90"/>
    <w:rsid w:val="008E7AFC"/>
    <w:rsid w:val="008F0273"/>
    <w:rsid w:val="008F03A6"/>
    <w:rsid w:val="008F04C2"/>
    <w:rsid w:val="008F3234"/>
    <w:rsid w:val="008F3BFB"/>
    <w:rsid w:val="008F4047"/>
    <w:rsid w:val="008F5B10"/>
    <w:rsid w:val="008F5B92"/>
    <w:rsid w:val="008F5C22"/>
    <w:rsid w:val="008F661A"/>
    <w:rsid w:val="008F6764"/>
    <w:rsid w:val="008F682C"/>
    <w:rsid w:val="008F75CE"/>
    <w:rsid w:val="0090015A"/>
    <w:rsid w:val="009013C1"/>
    <w:rsid w:val="009034BF"/>
    <w:rsid w:val="00903947"/>
    <w:rsid w:val="00903F82"/>
    <w:rsid w:val="009061D0"/>
    <w:rsid w:val="00910713"/>
    <w:rsid w:val="00910CD6"/>
    <w:rsid w:val="009110CD"/>
    <w:rsid w:val="00912895"/>
    <w:rsid w:val="009129FD"/>
    <w:rsid w:val="00912F20"/>
    <w:rsid w:val="009145F6"/>
    <w:rsid w:val="009154CD"/>
    <w:rsid w:val="009155BC"/>
    <w:rsid w:val="009162FD"/>
    <w:rsid w:val="00916ED1"/>
    <w:rsid w:val="00917215"/>
    <w:rsid w:val="00917E20"/>
    <w:rsid w:val="00920B1B"/>
    <w:rsid w:val="009210F5"/>
    <w:rsid w:val="009227FC"/>
    <w:rsid w:val="009244BB"/>
    <w:rsid w:val="009244E3"/>
    <w:rsid w:val="00925177"/>
    <w:rsid w:val="00925521"/>
    <w:rsid w:val="00925CD8"/>
    <w:rsid w:val="0092664A"/>
    <w:rsid w:val="009270D5"/>
    <w:rsid w:val="0093136C"/>
    <w:rsid w:val="00932FE4"/>
    <w:rsid w:val="00936529"/>
    <w:rsid w:val="00936F88"/>
    <w:rsid w:val="00940A9F"/>
    <w:rsid w:val="00940ED4"/>
    <w:rsid w:val="009410F6"/>
    <w:rsid w:val="009417A6"/>
    <w:rsid w:val="00942788"/>
    <w:rsid w:val="009434C0"/>
    <w:rsid w:val="00943CDB"/>
    <w:rsid w:val="00944BFC"/>
    <w:rsid w:val="00945517"/>
    <w:rsid w:val="00945D8A"/>
    <w:rsid w:val="00951737"/>
    <w:rsid w:val="00951797"/>
    <w:rsid w:val="00952A36"/>
    <w:rsid w:val="009534E3"/>
    <w:rsid w:val="00953F21"/>
    <w:rsid w:val="009540EF"/>
    <w:rsid w:val="009541C6"/>
    <w:rsid w:val="00955D1F"/>
    <w:rsid w:val="00957256"/>
    <w:rsid w:val="00961DF7"/>
    <w:rsid w:val="009626ED"/>
    <w:rsid w:val="009629EB"/>
    <w:rsid w:val="009635FF"/>
    <w:rsid w:val="00965682"/>
    <w:rsid w:val="00967206"/>
    <w:rsid w:val="00971373"/>
    <w:rsid w:val="009713E4"/>
    <w:rsid w:val="0097207C"/>
    <w:rsid w:val="0097301C"/>
    <w:rsid w:val="009731A3"/>
    <w:rsid w:val="00973354"/>
    <w:rsid w:val="00973EAD"/>
    <w:rsid w:val="0097424C"/>
    <w:rsid w:val="0097488C"/>
    <w:rsid w:val="00975AFF"/>
    <w:rsid w:val="00976441"/>
    <w:rsid w:val="00976C30"/>
    <w:rsid w:val="00976E79"/>
    <w:rsid w:val="00977E98"/>
    <w:rsid w:val="009804E6"/>
    <w:rsid w:val="00980687"/>
    <w:rsid w:val="0098102A"/>
    <w:rsid w:val="00981F7A"/>
    <w:rsid w:val="00984371"/>
    <w:rsid w:val="009859B2"/>
    <w:rsid w:val="00985E88"/>
    <w:rsid w:val="009861E7"/>
    <w:rsid w:val="009862DE"/>
    <w:rsid w:val="0098684E"/>
    <w:rsid w:val="0098724F"/>
    <w:rsid w:val="0098785C"/>
    <w:rsid w:val="00991C86"/>
    <w:rsid w:val="00994928"/>
    <w:rsid w:val="00995EF6"/>
    <w:rsid w:val="00995F96"/>
    <w:rsid w:val="0099658C"/>
    <w:rsid w:val="00996615"/>
    <w:rsid w:val="00997E38"/>
    <w:rsid w:val="009A13F3"/>
    <w:rsid w:val="009A14FA"/>
    <w:rsid w:val="009A3671"/>
    <w:rsid w:val="009A3F6F"/>
    <w:rsid w:val="009A49E5"/>
    <w:rsid w:val="009B06E5"/>
    <w:rsid w:val="009B09E9"/>
    <w:rsid w:val="009B0DB9"/>
    <w:rsid w:val="009B137A"/>
    <w:rsid w:val="009B1869"/>
    <w:rsid w:val="009B3561"/>
    <w:rsid w:val="009B3D47"/>
    <w:rsid w:val="009B5FEE"/>
    <w:rsid w:val="009B6280"/>
    <w:rsid w:val="009B779C"/>
    <w:rsid w:val="009B7CD7"/>
    <w:rsid w:val="009C06A2"/>
    <w:rsid w:val="009C07F8"/>
    <w:rsid w:val="009C1018"/>
    <w:rsid w:val="009C294C"/>
    <w:rsid w:val="009C2F75"/>
    <w:rsid w:val="009C392E"/>
    <w:rsid w:val="009C5C7B"/>
    <w:rsid w:val="009C629C"/>
    <w:rsid w:val="009C65E0"/>
    <w:rsid w:val="009C65FB"/>
    <w:rsid w:val="009C6E01"/>
    <w:rsid w:val="009D09D1"/>
    <w:rsid w:val="009D100F"/>
    <w:rsid w:val="009D22B1"/>
    <w:rsid w:val="009D2F2A"/>
    <w:rsid w:val="009D564A"/>
    <w:rsid w:val="009D5D80"/>
    <w:rsid w:val="009D632C"/>
    <w:rsid w:val="009D6AF4"/>
    <w:rsid w:val="009D6E71"/>
    <w:rsid w:val="009D72BA"/>
    <w:rsid w:val="009D73F4"/>
    <w:rsid w:val="009D7444"/>
    <w:rsid w:val="009E12D5"/>
    <w:rsid w:val="009E2D49"/>
    <w:rsid w:val="009E355F"/>
    <w:rsid w:val="009E3861"/>
    <w:rsid w:val="009E6E28"/>
    <w:rsid w:val="009E73C4"/>
    <w:rsid w:val="009F132D"/>
    <w:rsid w:val="009F548C"/>
    <w:rsid w:val="009F67C7"/>
    <w:rsid w:val="009F7F21"/>
    <w:rsid w:val="00A01284"/>
    <w:rsid w:val="00A01C4C"/>
    <w:rsid w:val="00A020CD"/>
    <w:rsid w:val="00A023DA"/>
    <w:rsid w:val="00A03400"/>
    <w:rsid w:val="00A0462F"/>
    <w:rsid w:val="00A04B6B"/>
    <w:rsid w:val="00A051D7"/>
    <w:rsid w:val="00A06234"/>
    <w:rsid w:val="00A06FF1"/>
    <w:rsid w:val="00A07B87"/>
    <w:rsid w:val="00A10188"/>
    <w:rsid w:val="00A10772"/>
    <w:rsid w:val="00A110EF"/>
    <w:rsid w:val="00A11103"/>
    <w:rsid w:val="00A11F91"/>
    <w:rsid w:val="00A126F5"/>
    <w:rsid w:val="00A127E3"/>
    <w:rsid w:val="00A128DF"/>
    <w:rsid w:val="00A12F41"/>
    <w:rsid w:val="00A135FA"/>
    <w:rsid w:val="00A13E55"/>
    <w:rsid w:val="00A15249"/>
    <w:rsid w:val="00A15A75"/>
    <w:rsid w:val="00A15BEF"/>
    <w:rsid w:val="00A17885"/>
    <w:rsid w:val="00A17FAB"/>
    <w:rsid w:val="00A2100E"/>
    <w:rsid w:val="00A22C6D"/>
    <w:rsid w:val="00A22CDB"/>
    <w:rsid w:val="00A23887"/>
    <w:rsid w:val="00A243D5"/>
    <w:rsid w:val="00A244C5"/>
    <w:rsid w:val="00A2539C"/>
    <w:rsid w:val="00A31148"/>
    <w:rsid w:val="00A31390"/>
    <w:rsid w:val="00A337F5"/>
    <w:rsid w:val="00A33946"/>
    <w:rsid w:val="00A343BE"/>
    <w:rsid w:val="00A35002"/>
    <w:rsid w:val="00A353F3"/>
    <w:rsid w:val="00A35476"/>
    <w:rsid w:val="00A3563A"/>
    <w:rsid w:val="00A36227"/>
    <w:rsid w:val="00A3735B"/>
    <w:rsid w:val="00A402F2"/>
    <w:rsid w:val="00A40B1F"/>
    <w:rsid w:val="00A410CE"/>
    <w:rsid w:val="00A42DC0"/>
    <w:rsid w:val="00A4588C"/>
    <w:rsid w:val="00A45EA1"/>
    <w:rsid w:val="00A462C7"/>
    <w:rsid w:val="00A463AF"/>
    <w:rsid w:val="00A46D01"/>
    <w:rsid w:val="00A47C04"/>
    <w:rsid w:val="00A509EE"/>
    <w:rsid w:val="00A52A22"/>
    <w:rsid w:val="00A52A8E"/>
    <w:rsid w:val="00A533EE"/>
    <w:rsid w:val="00A536CA"/>
    <w:rsid w:val="00A53730"/>
    <w:rsid w:val="00A56145"/>
    <w:rsid w:val="00A602D4"/>
    <w:rsid w:val="00A60C0D"/>
    <w:rsid w:val="00A61481"/>
    <w:rsid w:val="00A61A77"/>
    <w:rsid w:val="00A62A47"/>
    <w:rsid w:val="00A62F82"/>
    <w:rsid w:val="00A637CE"/>
    <w:rsid w:val="00A64AA8"/>
    <w:rsid w:val="00A650F1"/>
    <w:rsid w:val="00A657D5"/>
    <w:rsid w:val="00A6641B"/>
    <w:rsid w:val="00A66B19"/>
    <w:rsid w:val="00A66C23"/>
    <w:rsid w:val="00A66EB7"/>
    <w:rsid w:val="00A7169A"/>
    <w:rsid w:val="00A73BD9"/>
    <w:rsid w:val="00A74B79"/>
    <w:rsid w:val="00A75293"/>
    <w:rsid w:val="00A752FE"/>
    <w:rsid w:val="00A75C35"/>
    <w:rsid w:val="00A76AB9"/>
    <w:rsid w:val="00A77DFB"/>
    <w:rsid w:val="00A77F47"/>
    <w:rsid w:val="00A81045"/>
    <w:rsid w:val="00A8120E"/>
    <w:rsid w:val="00A81361"/>
    <w:rsid w:val="00A813F6"/>
    <w:rsid w:val="00A8155B"/>
    <w:rsid w:val="00A817B2"/>
    <w:rsid w:val="00A8323E"/>
    <w:rsid w:val="00A837AE"/>
    <w:rsid w:val="00A84907"/>
    <w:rsid w:val="00A84EDD"/>
    <w:rsid w:val="00A851F5"/>
    <w:rsid w:val="00A8544C"/>
    <w:rsid w:val="00A86F89"/>
    <w:rsid w:val="00A874EF"/>
    <w:rsid w:val="00A90543"/>
    <w:rsid w:val="00A90593"/>
    <w:rsid w:val="00A908AB"/>
    <w:rsid w:val="00A90AE1"/>
    <w:rsid w:val="00A919F4"/>
    <w:rsid w:val="00A931AC"/>
    <w:rsid w:val="00A934A7"/>
    <w:rsid w:val="00A93641"/>
    <w:rsid w:val="00A9557F"/>
    <w:rsid w:val="00A95E7F"/>
    <w:rsid w:val="00A968F3"/>
    <w:rsid w:val="00A97133"/>
    <w:rsid w:val="00A97852"/>
    <w:rsid w:val="00A978EC"/>
    <w:rsid w:val="00AA0A3B"/>
    <w:rsid w:val="00AA4606"/>
    <w:rsid w:val="00AA6408"/>
    <w:rsid w:val="00AB0DC4"/>
    <w:rsid w:val="00AB0F56"/>
    <w:rsid w:val="00AB1ABD"/>
    <w:rsid w:val="00AB1B3A"/>
    <w:rsid w:val="00AB1F33"/>
    <w:rsid w:val="00AB25DD"/>
    <w:rsid w:val="00AB2D04"/>
    <w:rsid w:val="00AB2DE3"/>
    <w:rsid w:val="00AB3020"/>
    <w:rsid w:val="00AB3CBA"/>
    <w:rsid w:val="00AB4898"/>
    <w:rsid w:val="00AB554F"/>
    <w:rsid w:val="00AB6276"/>
    <w:rsid w:val="00AB6E9F"/>
    <w:rsid w:val="00AC0126"/>
    <w:rsid w:val="00AC069C"/>
    <w:rsid w:val="00AC11AB"/>
    <w:rsid w:val="00AC120C"/>
    <w:rsid w:val="00AC3815"/>
    <w:rsid w:val="00AC45C3"/>
    <w:rsid w:val="00AC50CB"/>
    <w:rsid w:val="00AC61DB"/>
    <w:rsid w:val="00AC6BE7"/>
    <w:rsid w:val="00AC6C7C"/>
    <w:rsid w:val="00AC79A6"/>
    <w:rsid w:val="00AD156F"/>
    <w:rsid w:val="00AD48A0"/>
    <w:rsid w:val="00AD4F3C"/>
    <w:rsid w:val="00AD5028"/>
    <w:rsid w:val="00AD58BA"/>
    <w:rsid w:val="00AD5DA4"/>
    <w:rsid w:val="00AD5F06"/>
    <w:rsid w:val="00AD68BB"/>
    <w:rsid w:val="00AE0DB0"/>
    <w:rsid w:val="00AE13C9"/>
    <w:rsid w:val="00AE1DA3"/>
    <w:rsid w:val="00AE2745"/>
    <w:rsid w:val="00AE2833"/>
    <w:rsid w:val="00AE301B"/>
    <w:rsid w:val="00AE42CC"/>
    <w:rsid w:val="00AE53FA"/>
    <w:rsid w:val="00AE556F"/>
    <w:rsid w:val="00AE5D27"/>
    <w:rsid w:val="00AE6CCD"/>
    <w:rsid w:val="00AE6E2E"/>
    <w:rsid w:val="00AE737B"/>
    <w:rsid w:val="00AF144D"/>
    <w:rsid w:val="00AF1630"/>
    <w:rsid w:val="00AF1AEF"/>
    <w:rsid w:val="00AF2278"/>
    <w:rsid w:val="00AF39D5"/>
    <w:rsid w:val="00AF3F08"/>
    <w:rsid w:val="00AF543F"/>
    <w:rsid w:val="00AF57CE"/>
    <w:rsid w:val="00AF7D9D"/>
    <w:rsid w:val="00B00758"/>
    <w:rsid w:val="00B01196"/>
    <w:rsid w:val="00B0139C"/>
    <w:rsid w:val="00B04B00"/>
    <w:rsid w:val="00B04CA5"/>
    <w:rsid w:val="00B06C69"/>
    <w:rsid w:val="00B07F1A"/>
    <w:rsid w:val="00B11ACF"/>
    <w:rsid w:val="00B1236C"/>
    <w:rsid w:val="00B13113"/>
    <w:rsid w:val="00B13779"/>
    <w:rsid w:val="00B13D5B"/>
    <w:rsid w:val="00B16367"/>
    <w:rsid w:val="00B1724E"/>
    <w:rsid w:val="00B17E82"/>
    <w:rsid w:val="00B2079B"/>
    <w:rsid w:val="00B20A52"/>
    <w:rsid w:val="00B21151"/>
    <w:rsid w:val="00B21201"/>
    <w:rsid w:val="00B213A8"/>
    <w:rsid w:val="00B218CA"/>
    <w:rsid w:val="00B22E14"/>
    <w:rsid w:val="00B238B8"/>
    <w:rsid w:val="00B24A80"/>
    <w:rsid w:val="00B25C64"/>
    <w:rsid w:val="00B26BF3"/>
    <w:rsid w:val="00B26FFE"/>
    <w:rsid w:val="00B30560"/>
    <w:rsid w:val="00B305F6"/>
    <w:rsid w:val="00B30B7F"/>
    <w:rsid w:val="00B31B7A"/>
    <w:rsid w:val="00B32317"/>
    <w:rsid w:val="00B328A0"/>
    <w:rsid w:val="00B33637"/>
    <w:rsid w:val="00B34CB6"/>
    <w:rsid w:val="00B34E8E"/>
    <w:rsid w:val="00B361D0"/>
    <w:rsid w:val="00B36FDC"/>
    <w:rsid w:val="00B37A57"/>
    <w:rsid w:val="00B37A5F"/>
    <w:rsid w:val="00B4036E"/>
    <w:rsid w:val="00B42434"/>
    <w:rsid w:val="00B42580"/>
    <w:rsid w:val="00B42F5D"/>
    <w:rsid w:val="00B43030"/>
    <w:rsid w:val="00B43CF9"/>
    <w:rsid w:val="00B4420B"/>
    <w:rsid w:val="00B45210"/>
    <w:rsid w:val="00B454F2"/>
    <w:rsid w:val="00B458CE"/>
    <w:rsid w:val="00B46CFA"/>
    <w:rsid w:val="00B5055B"/>
    <w:rsid w:val="00B506B7"/>
    <w:rsid w:val="00B51643"/>
    <w:rsid w:val="00B5315F"/>
    <w:rsid w:val="00B537C2"/>
    <w:rsid w:val="00B539CC"/>
    <w:rsid w:val="00B53E28"/>
    <w:rsid w:val="00B5410A"/>
    <w:rsid w:val="00B60220"/>
    <w:rsid w:val="00B606EB"/>
    <w:rsid w:val="00B618A5"/>
    <w:rsid w:val="00B61EAF"/>
    <w:rsid w:val="00B62682"/>
    <w:rsid w:val="00B62E85"/>
    <w:rsid w:val="00B630B4"/>
    <w:rsid w:val="00B6450C"/>
    <w:rsid w:val="00B66EEB"/>
    <w:rsid w:val="00B66F06"/>
    <w:rsid w:val="00B71E91"/>
    <w:rsid w:val="00B71EAD"/>
    <w:rsid w:val="00B7204E"/>
    <w:rsid w:val="00B723E9"/>
    <w:rsid w:val="00B723ED"/>
    <w:rsid w:val="00B72C76"/>
    <w:rsid w:val="00B733E3"/>
    <w:rsid w:val="00B73EAC"/>
    <w:rsid w:val="00B749A1"/>
    <w:rsid w:val="00B752D5"/>
    <w:rsid w:val="00B77040"/>
    <w:rsid w:val="00B77AC5"/>
    <w:rsid w:val="00B77F9B"/>
    <w:rsid w:val="00B803DA"/>
    <w:rsid w:val="00B80ACF"/>
    <w:rsid w:val="00B80C8B"/>
    <w:rsid w:val="00B810CE"/>
    <w:rsid w:val="00B81938"/>
    <w:rsid w:val="00B81A55"/>
    <w:rsid w:val="00B82F90"/>
    <w:rsid w:val="00B832CE"/>
    <w:rsid w:val="00B842DD"/>
    <w:rsid w:val="00B8481C"/>
    <w:rsid w:val="00B85F69"/>
    <w:rsid w:val="00B862CE"/>
    <w:rsid w:val="00B870E0"/>
    <w:rsid w:val="00B92400"/>
    <w:rsid w:val="00B92E22"/>
    <w:rsid w:val="00B945DE"/>
    <w:rsid w:val="00B95065"/>
    <w:rsid w:val="00B9534E"/>
    <w:rsid w:val="00B95551"/>
    <w:rsid w:val="00B966DC"/>
    <w:rsid w:val="00B96971"/>
    <w:rsid w:val="00B96D72"/>
    <w:rsid w:val="00B96E91"/>
    <w:rsid w:val="00B97361"/>
    <w:rsid w:val="00B97BC7"/>
    <w:rsid w:val="00B97E1A"/>
    <w:rsid w:val="00BA188C"/>
    <w:rsid w:val="00BA1F3C"/>
    <w:rsid w:val="00BA23E8"/>
    <w:rsid w:val="00BA2442"/>
    <w:rsid w:val="00BA4C8F"/>
    <w:rsid w:val="00BA5A1B"/>
    <w:rsid w:val="00BB1C85"/>
    <w:rsid w:val="00BB1F9B"/>
    <w:rsid w:val="00BB2014"/>
    <w:rsid w:val="00BB2743"/>
    <w:rsid w:val="00BB3897"/>
    <w:rsid w:val="00BB4DA5"/>
    <w:rsid w:val="00BB57E4"/>
    <w:rsid w:val="00BB63D4"/>
    <w:rsid w:val="00BB6E9E"/>
    <w:rsid w:val="00BB77C9"/>
    <w:rsid w:val="00BC0D6E"/>
    <w:rsid w:val="00BC11C0"/>
    <w:rsid w:val="00BC1CF4"/>
    <w:rsid w:val="00BC1D83"/>
    <w:rsid w:val="00BC1E62"/>
    <w:rsid w:val="00BC20C1"/>
    <w:rsid w:val="00BC2517"/>
    <w:rsid w:val="00BC2F2E"/>
    <w:rsid w:val="00BC3467"/>
    <w:rsid w:val="00BC4378"/>
    <w:rsid w:val="00BC577C"/>
    <w:rsid w:val="00BC648E"/>
    <w:rsid w:val="00BC6835"/>
    <w:rsid w:val="00BC7C9B"/>
    <w:rsid w:val="00BD0F9A"/>
    <w:rsid w:val="00BD1904"/>
    <w:rsid w:val="00BD1B79"/>
    <w:rsid w:val="00BD315A"/>
    <w:rsid w:val="00BD3FE1"/>
    <w:rsid w:val="00BD598E"/>
    <w:rsid w:val="00BD6C96"/>
    <w:rsid w:val="00BD7C48"/>
    <w:rsid w:val="00BE0890"/>
    <w:rsid w:val="00BE169B"/>
    <w:rsid w:val="00BE3561"/>
    <w:rsid w:val="00BE4FFA"/>
    <w:rsid w:val="00BE5E5D"/>
    <w:rsid w:val="00BE6252"/>
    <w:rsid w:val="00BE6A8C"/>
    <w:rsid w:val="00BE6D97"/>
    <w:rsid w:val="00BE73A5"/>
    <w:rsid w:val="00BE78AB"/>
    <w:rsid w:val="00BE7996"/>
    <w:rsid w:val="00BF18E5"/>
    <w:rsid w:val="00BF1F0D"/>
    <w:rsid w:val="00BF230E"/>
    <w:rsid w:val="00BF4293"/>
    <w:rsid w:val="00BF5806"/>
    <w:rsid w:val="00BF5E7D"/>
    <w:rsid w:val="00BF65DF"/>
    <w:rsid w:val="00C00198"/>
    <w:rsid w:val="00C00FA3"/>
    <w:rsid w:val="00C022B8"/>
    <w:rsid w:val="00C023EC"/>
    <w:rsid w:val="00C0264B"/>
    <w:rsid w:val="00C02708"/>
    <w:rsid w:val="00C029B6"/>
    <w:rsid w:val="00C04367"/>
    <w:rsid w:val="00C0455F"/>
    <w:rsid w:val="00C05F89"/>
    <w:rsid w:val="00C074ED"/>
    <w:rsid w:val="00C079CE"/>
    <w:rsid w:val="00C10B65"/>
    <w:rsid w:val="00C11260"/>
    <w:rsid w:val="00C11891"/>
    <w:rsid w:val="00C12BC9"/>
    <w:rsid w:val="00C12F5D"/>
    <w:rsid w:val="00C13A53"/>
    <w:rsid w:val="00C14635"/>
    <w:rsid w:val="00C161E1"/>
    <w:rsid w:val="00C163E8"/>
    <w:rsid w:val="00C20732"/>
    <w:rsid w:val="00C21BAC"/>
    <w:rsid w:val="00C21DFD"/>
    <w:rsid w:val="00C21F44"/>
    <w:rsid w:val="00C229D6"/>
    <w:rsid w:val="00C22DC5"/>
    <w:rsid w:val="00C241E2"/>
    <w:rsid w:val="00C25D75"/>
    <w:rsid w:val="00C267AF"/>
    <w:rsid w:val="00C274E5"/>
    <w:rsid w:val="00C27664"/>
    <w:rsid w:val="00C31209"/>
    <w:rsid w:val="00C34F7E"/>
    <w:rsid w:val="00C35AE3"/>
    <w:rsid w:val="00C36514"/>
    <w:rsid w:val="00C370A3"/>
    <w:rsid w:val="00C375CB"/>
    <w:rsid w:val="00C37E20"/>
    <w:rsid w:val="00C40A0B"/>
    <w:rsid w:val="00C41B45"/>
    <w:rsid w:val="00C42076"/>
    <w:rsid w:val="00C42232"/>
    <w:rsid w:val="00C4503F"/>
    <w:rsid w:val="00C47234"/>
    <w:rsid w:val="00C501EC"/>
    <w:rsid w:val="00C505B8"/>
    <w:rsid w:val="00C50E47"/>
    <w:rsid w:val="00C51E9D"/>
    <w:rsid w:val="00C523E6"/>
    <w:rsid w:val="00C52970"/>
    <w:rsid w:val="00C536EB"/>
    <w:rsid w:val="00C55D62"/>
    <w:rsid w:val="00C560C0"/>
    <w:rsid w:val="00C560F7"/>
    <w:rsid w:val="00C56807"/>
    <w:rsid w:val="00C56A50"/>
    <w:rsid w:val="00C608BD"/>
    <w:rsid w:val="00C61005"/>
    <w:rsid w:val="00C619EB"/>
    <w:rsid w:val="00C62491"/>
    <w:rsid w:val="00C62682"/>
    <w:rsid w:val="00C633D1"/>
    <w:rsid w:val="00C64A80"/>
    <w:rsid w:val="00C65D97"/>
    <w:rsid w:val="00C65E39"/>
    <w:rsid w:val="00C65F8A"/>
    <w:rsid w:val="00C6680A"/>
    <w:rsid w:val="00C67255"/>
    <w:rsid w:val="00C67322"/>
    <w:rsid w:val="00C71BA7"/>
    <w:rsid w:val="00C71BDF"/>
    <w:rsid w:val="00C71C7F"/>
    <w:rsid w:val="00C73019"/>
    <w:rsid w:val="00C75648"/>
    <w:rsid w:val="00C75D17"/>
    <w:rsid w:val="00C75F52"/>
    <w:rsid w:val="00C77BDC"/>
    <w:rsid w:val="00C802E3"/>
    <w:rsid w:val="00C804CD"/>
    <w:rsid w:val="00C807DB"/>
    <w:rsid w:val="00C8169D"/>
    <w:rsid w:val="00C822E0"/>
    <w:rsid w:val="00C8457D"/>
    <w:rsid w:val="00C84676"/>
    <w:rsid w:val="00C85623"/>
    <w:rsid w:val="00C85A6B"/>
    <w:rsid w:val="00C85FA9"/>
    <w:rsid w:val="00C86256"/>
    <w:rsid w:val="00C9063A"/>
    <w:rsid w:val="00C907BE"/>
    <w:rsid w:val="00C90D10"/>
    <w:rsid w:val="00C93252"/>
    <w:rsid w:val="00C95190"/>
    <w:rsid w:val="00C952F6"/>
    <w:rsid w:val="00C95D3A"/>
    <w:rsid w:val="00C965C1"/>
    <w:rsid w:val="00C966C5"/>
    <w:rsid w:val="00C966D6"/>
    <w:rsid w:val="00C96999"/>
    <w:rsid w:val="00C97FA7"/>
    <w:rsid w:val="00CA029B"/>
    <w:rsid w:val="00CA0B49"/>
    <w:rsid w:val="00CA24CF"/>
    <w:rsid w:val="00CA2D2C"/>
    <w:rsid w:val="00CA2D2F"/>
    <w:rsid w:val="00CA5414"/>
    <w:rsid w:val="00CA5CA8"/>
    <w:rsid w:val="00CA755F"/>
    <w:rsid w:val="00CB04B6"/>
    <w:rsid w:val="00CB093B"/>
    <w:rsid w:val="00CB17AF"/>
    <w:rsid w:val="00CB27D0"/>
    <w:rsid w:val="00CB3A8E"/>
    <w:rsid w:val="00CB647B"/>
    <w:rsid w:val="00CB7194"/>
    <w:rsid w:val="00CB7A87"/>
    <w:rsid w:val="00CC00BC"/>
    <w:rsid w:val="00CC0863"/>
    <w:rsid w:val="00CC162D"/>
    <w:rsid w:val="00CC2021"/>
    <w:rsid w:val="00CC2C2B"/>
    <w:rsid w:val="00CC319B"/>
    <w:rsid w:val="00CC33C6"/>
    <w:rsid w:val="00CC37BB"/>
    <w:rsid w:val="00CC6C56"/>
    <w:rsid w:val="00CC76B2"/>
    <w:rsid w:val="00CC7911"/>
    <w:rsid w:val="00CC79F8"/>
    <w:rsid w:val="00CC7F76"/>
    <w:rsid w:val="00CD0095"/>
    <w:rsid w:val="00CD0664"/>
    <w:rsid w:val="00CD13A8"/>
    <w:rsid w:val="00CD1F12"/>
    <w:rsid w:val="00CD3841"/>
    <w:rsid w:val="00CD3B6D"/>
    <w:rsid w:val="00CD3D81"/>
    <w:rsid w:val="00CD442E"/>
    <w:rsid w:val="00CD4E67"/>
    <w:rsid w:val="00CD4F27"/>
    <w:rsid w:val="00CD555C"/>
    <w:rsid w:val="00CD6428"/>
    <w:rsid w:val="00CD6E43"/>
    <w:rsid w:val="00CD7C87"/>
    <w:rsid w:val="00CD7E8B"/>
    <w:rsid w:val="00CE09F2"/>
    <w:rsid w:val="00CE1082"/>
    <w:rsid w:val="00CE1A4A"/>
    <w:rsid w:val="00CE2FAC"/>
    <w:rsid w:val="00CE31D1"/>
    <w:rsid w:val="00CE36E7"/>
    <w:rsid w:val="00CE37E6"/>
    <w:rsid w:val="00CE3A32"/>
    <w:rsid w:val="00CE418D"/>
    <w:rsid w:val="00CE43F1"/>
    <w:rsid w:val="00CE48F2"/>
    <w:rsid w:val="00CE4ABC"/>
    <w:rsid w:val="00CE5055"/>
    <w:rsid w:val="00CE527D"/>
    <w:rsid w:val="00CF1D8E"/>
    <w:rsid w:val="00CF36F3"/>
    <w:rsid w:val="00CF58FA"/>
    <w:rsid w:val="00CF5F17"/>
    <w:rsid w:val="00CF7A24"/>
    <w:rsid w:val="00CF7A31"/>
    <w:rsid w:val="00D00C13"/>
    <w:rsid w:val="00D01697"/>
    <w:rsid w:val="00D021DB"/>
    <w:rsid w:val="00D024C9"/>
    <w:rsid w:val="00D025FA"/>
    <w:rsid w:val="00D03172"/>
    <w:rsid w:val="00D034CA"/>
    <w:rsid w:val="00D048EA"/>
    <w:rsid w:val="00D04FB3"/>
    <w:rsid w:val="00D051C1"/>
    <w:rsid w:val="00D06D04"/>
    <w:rsid w:val="00D11A19"/>
    <w:rsid w:val="00D120FC"/>
    <w:rsid w:val="00D12290"/>
    <w:rsid w:val="00D12F29"/>
    <w:rsid w:val="00D136D7"/>
    <w:rsid w:val="00D13729"/>
    <w:rsid w:val="00D14D07"/>
    <w:rsid w:val="00D14DB7"/>
    <w:rsid w:val="00D14EE9"/>
    <w:rsid w:val="00D152D2"/>
    <w:rsid w:val="00D1534D"/>
    <w:rsid w:val="00D16ECF"/>
    <w:rsid w:val="00D20DF3"/>
    <w:rsid w:val="00D22CD2"/>
    <w:rsid w:val="00D238B8"/>
    <w:rsid w:val="00D248CF"/>
    <w:rsid w:val="00D264DE"/>
    <w:rsid w:val="00D27B04"/>
    <w:rsid w:val="00D309CA"/>
    <w:rsid w:val="00D30DEA"/>
    <w:rsid w:val="00D31166"/>
    <w:rsid w:val="00D323F1"/>
    <w:rsid w:val="00D33215"/>
    <w:rsid w:val="00D3341A"/>
    <w:rsid w:val="00D34C87"/>
    <w:rsid w:val="00D351A9"/>
    <w:rsid w:val="00D3560D"/>
    <w:rsid w:val="00D3570B"/>
    <w:rsid w:val="00D36254"/>
    <w:rsid w:val="00D37331"/>
    <w:rsid w:val="00D40362"/>
    <w:rsid w:val="00D4104D"/>
    <w:rsid w:val="00D41824"/>
    <w:rsid w:val="00D42474"/>
    <w:rsid w:val="00D43A72"/>
    <w:rsid w:val="00D4479B"/>
    <w:rsid w:val="00D44A4D"/>
    <w:rsid w:val="00D46C6D"/>
    <w:rsid w:val="00D47FC2"/>
    <w:rsid w:val="00D5087E"/>
    <w:rsid w:val="00D50D27"/>
    <w:rsid w:val="00D52383"/>
    <w:rsid w:val="00D525E1"/>
    <w:rsid w:val="00D55E18"/>
    <w:rsid w:val="00D55F30"/>
    <w:rsid w:val="00D55FB3"/>
    <w:rsid w:val="00D560B0"/>
    <w:rsid w:val="00D5642C"/>
    <w:rsid w:val="00D569BC"/>
    <w:rsid w:val="00D56A51"/>
    <w:rsid w:val="00D56B7E"/>
    <w:rsid w:val="00D56CFB"/>
    <w:rsid w:val="00D57514"/>
    <w:rsid w:val="00D6003E"/>
    <w:rsid w:val="00D6028C"/>
    <w:rsid w:val="00D60391"/>
    <w:rsid w:val="00D6234C"/>
    <w:rsid w:val="00D633C1"/>
    <w:rsid w:val="00D63C04"/>
    <w:rsid w:val="00D64EA4"/>
    <w:rsid w:val="00D6566C"/>
    <w:rsid w:val="00D659D5"/>
    <w:rsid w:val="00D66125"/>
    <w:rsid w:val="00D67E1D"/>
    <w:rsid w:val="00D70025"/>
    <w:rsid w:val="00D70230"/>
    <w:rsid w:val="00D70683"/>
    <w:rsid w:val="00D708DF"/>
    <w:rsid w:val="00D72462"/>
    <w:rsid w:val="00D73709"/>
    <w:rsid w:val="00D73CB8"/>
    <w:rsid w:val="00D74FB9"/>
    <w:rsid w:val="00D75DF4"/>
    <w:rsid w:val="00D768C9"/>
    <w:rsid w:val="00D777DC"/>
    <w:rsid w:val="00D77E1C"/>
    <w:rsid w:val="00D801BB"/>
    <w:rsid w:val="00D8095E"/>
    <w:rsid w:val="00D80CA5"/>
    <w:rsid w:val="00D81B1E"/>
    <w:rsid w:val="00D81D37"/>
    <w:rsid w:val="00D831C7"/>
    <w:rsid w:val="00D83706"/>
    <w:rsid w:val="00D84206"/>
    <w:rsid w:val="00D846F4"/>
    <w:rsid w:val="00D85DDE"/>
    <w:rsid w:val="00D864C2"/>
    <w:rsid w:val="00D86B56"/>
    <w:rsid w:val="00D87AD1"/>
    <w:rsid w:val="00D87E66"/>
    <w:rsid w:val="00D87FEF"/>
    <w:rsid w:val="00D90CF6"/>
    <w:rsid w:val="00D91A4A"/>
    <w:rsid w:val="00D92524"/>
    <w:rsid w:val="00D92B81"/>
    <w:rsid w:val="00D93066"/>
    <w:rsid w:val="00D94B3C"/>
    <w:rsid w:val="00D956FB"/>
    <w:rsid w:val="00D95968"/>
    <w:rsid w:val="00D967A2"/>
    <w:rsid w:val="00DA28B2"/>
    <w:rsid w:val="00DA2DC9"/>
    <w:rsid w:val="00DA392A"/>
    <w:rsid w:val="00DA3D8E"/>
    <w:rsid w:val="00DA401B"/>
    <w:rsid w:val="00DA4427"/>
    <w:rsid w:val="00DA4F30"/>
    <w:rsid w:val="00DA66DD"/>
    <w:rsid w:val="00DA6F26"/>
    <w:rsid w:val="00DA7564"/>
    <w:rsid w:val="00DB00F9"/>
    <w:rsid w:val="00DB03E1"/>
    <w:rsid w:val="00DB1CCC"/>
    <w:rsid w:val="00DB25C9"/>
    <w:rsid w:val="00DB3114"/>
    <w:rsid w:val="00DB327A"/>
    <w:rsid w:val="00DB4CE4"/>
    <w:rsid w:val="00DB523F"/>
    <w:rsid w:val="00DB68EB"/>
    <w:rsid w:val="00DB7088"/>
    <w:rsid w:val="00DB7DBF"/>
    <w:rsid w:val="00DC0D49"/>
    <w:rsid w:val="00DC119D"/>
    <w:rsid w:val="00DC1B20"/>
    <w:rsid w:val="00DC27E8"/>
    <w:rsid w:val="00DC2802"/>
    <w:rsid w:val="00DC34DE"/>
    <w:rsid w:val="00DC3609"/>
    <w:rsid w:val="00DC3650"/>
    <w:rsid w:val="00DC5259"/>
    <w:rsid w:val="00DC6E02"/>
    <w:rsid w:val="00DC7E82"/>
    <w:rsid w:val="00DD1F7E"/>
    <w:rsid w:val="00DD501B"/>
    <w:rsid w:val="00DD52B6"/>
    <w:rsid w:val="00DD6608"/>
    <w:rsid w:val="00DD6DF7"/>
    <w:rsid w:val="00DE039B"/>
    <w:rsid w:val="00DE0AEC"/>
    <w:rsid w:val="00DE1314"/>
    <w:rsid w:val="00DE25C0"/>
    <w:rsid w:val="00DE2A1C"/>
    <w:rsid w:val="00DE3533"/>
    <w:rsid w:val="00DE3C37"/>
    <w:rsid w:val="00DE5B94"/>
    <w:rsid w:val="00DE6A9A"/>
    <w:rsid w:val="00DE73ED"/>
    <w:rsid w:val="00DE76BE"/>
    <w:rsid w:val="00DF0945"/>
    <w:rsid w:val="00DF2334"/>
    <w:rsid w:val="00DF32B7"/>
    <w:rsid w:val="00DF4398"/>
    <w:rsid w:val="00DF46CF"/>
    <w:rsid w:val="00DF57E7"/>
    <w:rsid w:val="00DF68F5"/>
    <w:rsid w:val="00DF7501"/>
    <w:rsid w:val="00DF775D"/>
    <w:rsid w:val="00DF7891"/>
    <w:rsid w:val="00E004C2"/>
    <w:rsid w:val="00E00B6E"/>
    <w:rsid w:val="00E017BF"/>
    <w:rsid w:val="00E02D75"/>
    <w:rsid w:val="00E03A0C"/>
    <w:rsid w:val="00E03C18"/>
    <w:rsid w:val="00E046A3"/>
    <w:rsid w:val="00E04E53"/>
    <w:rsid w:val="00E07773"/>
    <w:rsid w:val="00E104C4"/>
    <w:rsid w:val="00E11CE2"/>
    <w:rsid w:val="00E129C3"/>
    <w:rsid w:val="00E13F9E"/>
    <w:rsid w:val="00E145B8"/>
    <w:rsid w:val="00E1532F"/>
    <w:rsid w:val="00E15482"/>
    <w:rsid w:val="00E15B8F"/>
    <w:rsid w:val="00E17F30"/>
    <w:rsid w:val="00E20D9F"/>
    <w:rsid w:val="00E21C13"/>
    <w:rsid w:val="00E22C0B"/>
    <w:rsid w:val="00E2491C"/>
    <w:rsid w:val="00E24C55"/>
    <w:rsid w:val="00E2667E"/>
    <w:rsid w:val="00E27963"/>
    <w:rsid w:val="00E27D15"/>
    <w:rsid w:val="00E30701"/>
    <w:rsid w:val="00E30EEB"/>
    <w:rsid w:val="00E30FC2"/>
    <w:rsid w:val="00E3195C"/>
    <w:rsid w:val="00E32002"/>
    <w:rsid w:val="00E34BC9"/>
    <w:rsid w:val="00E35167"/>
    <w:rsid w:val="00E353E1"/>
    <w:rsid w:val="00E35A90"/>
    <w:rsid w:val="00E3667F"/>
    <w:rsid w:val="00E370CF"/>
    <w:rsid w:val="00E371D3"/>
    <w:rsid w:val="00E3720D"/>
    <w:rsid w:val="00E40146"/>
    <w:rsid w:val="00E4038E"/>
    <w:rsid w:val="00E41555"/>
    <w:rsid w:val="00E4294D"/>
    <w:rsid w:val="00E4321D"/>
    <w:rsid w:val="00E43BF3"/>
    <w:rsid w:val="00E44C20"/>
    <w:rsid w:val="00E46774"/>
    <w:rsid w:val="00E50F1F"/>
    <w:rsid w:val="00E51757"/>
    <w:rsid w:val="00E5227E"/>
    <w:rsid w:val="00E526D2"/>
    <w:rsid w:val="00E530D5"/>
    <w:rsid w:val="00E53971"/>
    <w:rsid w:val="00E5515C"/>
    <w:rsid w:val="00E55CF3"/>
    <w:rsid w:val="00E56524"/>
    <w:rsid w:val="00E5713E"/>
    <w:rsid w:val="00E57825"/>
    <w:rsid w:val="00E57E21"/>
    <w:rsid w:val="00E601AD"/>
    <w:rsid w:val="00E609DA"/>
    <w:rsid w:val="00E617D8"/>
    <w:rsid w:val="00E62362"/>
    <w:rsid w:val="00E6276D"/>
    <w:rsid w:val="00E654BC"/>
    <w:rsid w:val="00E6551A"/>
    <w:rsid w:val="00E655A7"/>
    <w:rsid w:val="00E66352"/>
    <w:rsid w:val="00E66AFB"/>
    <w:rsid w:val="00E705C4"/>
    <w:rsid w:val="00E72CBF"/>
    <w:rsid w:val="00E72CCF"/>
    <w:rsid w:val="00E73788"/>
    <w:rsid w:val="00E750B3"/>
    <w:rsid w:val="00E75459"/>
    <w:rsid w:val="00E76232"/>
    <w:rsid w:val="00E813AA"/>
    <w:rsid w:val="00E81BF3"/>
    <w:rsid w:val="00E83658"/>
    <w:rsid w:val="00E841E2"/>
    <w:rsid w:val="00E8496B"/>
    <w:rsid w:val="00E84972"/>
    <w:rsid w:val="00E84D46"/>
    <w:rsid w:val="00E85171"/>
    <w:rsid w:val="00E8579D"/>
    <w:rsid w:val="00E85B9E"/>
    <w:rsid w:val="00E85EFE"/>
    <w:rsid w:val="00E866D1"/>
    <w:rsid w:val="00E86C7A"/>
    <w:rsid w:val="00E90B67"/>
    <w:rsid w:val="00E91C10"/>
    <w:rsid w:val="00E91C28"/>
    <w:rsid w:val="00E92842"/>
    <w:rsid w:val="00E928AC"/>
    <w:rsid w:val="00E946EC"/>
    <w:rsid w:val="00E94DBF"/>
    <w:rsid w:val="00E95573"/>
    <w:rsid w:val="00E956A2"/>
    <w:rsid w:val="00E957E6"/>
    <w:rsid w:val="00E97AEB"/>
    <w:rsid w:val="00EA0ADF"/>
    <w:rsid w:val="00EA1731"/>
    <w:rsid w:val="00EA3808"/>
    <w:rsid w:val="00EA5E2E"/>
    <w:rsid w:val="00EB20FD"/>
    <w:rsid w:val="00EB27F5"/>
    <w:rsid w:val="00EB2807"/>
    <w:rsid w:val="00EB4877"/>
    <w:rsid w:val="00EB5505"/>
    <w:rsid w:val="00EB5C24"/>
    <w:rsid w:val="00EB6ED9"/>
    <w:rsid w:val="00EB722F"/>
    <w:rsid w:val="00EC161D"/>
    <w:rsid w:val="00EC1823"/>
    <w:rsid w:val="00EC194F"/>
    <w:rsid w:val="00EC1C14"/>
    <w:rsid w:val="00EC34D8"/>
    <w:rsid w:val="00EC39FF"/>
    <w:rsid w:val="00EC4073"/>
    <w:rsid w:val="00EC407F"/>
    <w:rsid w:val="00EC40C3"/>
    <w:rsid w:val="00EC4B03"/>
    <w:rsid w:val="00EC60C5"/>
    <w:rsid w:val="00EC703B"/>
    <w:rsid w:val="00ED0EC7"/>
    <w:rsid w:val="00ED0F24"/>
    <w:rsid w:val="00ED11EF"/>
    <w:rsid w:val="00ED18E3"/>
    <w:rsid w:val="00ED1FE4"/>
    <w:rsid w:val="00ED2DCF"/>
    <w:rsid w:val="00ED3469"/>
    <w:rsid w:val="00ED46DC"/>
    <w:rsid w:val="00ED4EB9"/>
    <w:rsid w:val="00ED52D8"/>
    <w:rsid w:val="00ED5471"/>
    <w:rsid w:val="00ED6DF5"/>
    <w:rsid w:val="00ED7245"/>
    <w:rsid w:val="00ED752B"/>
    <w:rsid w:val="00EE04AC"/>
    <w:rsid w:val="00EE1204"/>
    <w:rsid w:val="00EE1AEC"/>
    <w:rsid w:val="00EE2083"/>
    <w:rsid w:val="00EE278D"/>
    <w:rsid w:val="00EE2F61"/>
    <w:rsid w:val="00EE3709"/>
    <w:rsid w:val="00EE52AD"/>
    <w:rsid w:val="00EE5968"/>
    <w:rsid w:val="00EE7D0F"/>
    <w:rsid w:val="00EF037F"/>
    <w:rsid w:val="00EF0527"/>
    <w:rsid w:val="00EF13C3"/>
    <w:rsid w:val="00EF26FC"/>
    <w:rsid w:val="00EF2B1F"/>
    <w:rsid w:val="00EF36F3"/>
    <w:rsid w:val="00EF4610"/>
    <w:rsid w:val="00EF4EEE"/>
    <w:rsid w:val="00EF5A45"/>
    <w:rsid w:val="00EF6013"/>
    <w:rsid w:val="00EF7985"/>
    <w:rsid w:val="00F01FDB"/>
    <w:rsid w:val="00F0254C"/>
    <w:rsid w:val="00F0397A"/>
    <w:rsid w:val="00F0459B"/>
    <w:rsid w:val="00F04C28"/>
    <w:rsid w:val="00F05145"/>
    <w:rsid w:val="00F05181"/>
    <w:rsid w:val="00F056A8"/>
    <w:rsid w:val="00F05BC1"/>
    <w:rsid w:val="00F06FEC"/>
    <w:rsid w:val="00F0717C"/>
    <w:rsid w:val="00F104A1"/>
    <w:rsid w:val="00F1148F"/>
    <w:rsid w:val="00F121A6"/>
    <w:rsid w:val="00F1249F"/>
    <w:rsid w:val="00F13EC9"/>
    <w:rsid w:val="00F147BC"/>
    <w:rsid w:val="00F17185"/>
    <w:rsid w:val="00F17252"/>
    <w:rsid w:val="00F205DE"/>
    <w:rsid w:val="00F20F94"/>
    <w:rsid w:val="00F20FA7"/>
    <w:rsid w:val="00F21522"/>
    <w:rsid w:val="00F2172C"/>
    <w:rsid w:val="00F221CA"/>
    <w:rsid w:val="00F225EF"/>
    <w:rsid w:val="00F227BE"/>
    <w:rsid w:val="00F23803"/>
    <w:rsid w:val="00F24275"/>
    <w:rsid w:val="00F30519"/>
    <w:rsid w:val="00F3181C"/>
    <w:rsid w:val="00F31D81"/>
    <w:rsid w:val="00F34A50"/>
    <w:rsid w:val="00F3506A"/>
    <w:rsid w:val="00F358AE"/>
    <w:rsid w:val="00F36BC9"/>
    <w:rsid w:val="00F373E4"/>
    <w:rsid w:val="00F376A2"/>
    <w:rsid w:val="00F37C68"/>
    <w:rsid w:val="00F41A29"/>
    <w:rsid w:val="00F41E49"/>
    <w:rsid w:val="00F4260F"/>
    <w:rsid w:val="00F4271D"/>
    <w:rsid w:val="00F428CA"/>
    <w:rsid w:val="00F4350A"/>
    <w:rsid w:val="00F437FA"/>
    <w:rsid w:val="00F439D9"/>
    <w:rsid w:val="00F4504E"/>
    <w:rsid w:val="00F450AE"/>
    <w:rsid w:val="00F453DA"/>
    <w:rsid w:val="00F45E68"/>
    <w:rsid w:val="00F4689A"/>
    <w:rsid w:val="00F469E6"/>
    <w:rsid w:val="00F46AFB"/>
    <w:rsid w:val="00F47F7A"/>
    <w:rsid w:val="00F50358"/>
    <w:rsid w:val="00F50C1C"/>
    <w:rsid w:val="00F52CD4"/>
    <w:rsid w:val="00F5316D"/>
    <w:rsid w:val="00F53605"/>
    <w:rsid w:val="00F5371F"/>
    <w:rsid w:val="00F54D43"/>
    <w:rsid w:val="00F54E7B"/>
    <w:rsid w:val="00F5531F"/>
    <w:rsid w:val="00F55BB0"/>
    <w:rsid w:val="00F55E90"/>
    <w:rsid w:val="00F562D7"/>
    <w:rsid w:val="00F57126"/>
    <w:rsid w:val="00F57393"/>
    <w:rsid w:val="00F57808"/>
    <w:rsid w:val="00F60686"/>
    <w:rsid w:val="00F610FA"/>
    <w:rsid w:val="00F630D0"/>
    <w:rsid w:val="00F6479F"/>
    <w:rsid w:val="00F64B5D"/>
    <w:rsid w:val="00F6636F"/>
    <w:rsid w:val="00F673B6"/>
    <w:rsid w:val="00F716FE"/>
    <w:rsid w:val="00F7338C"/>
    <w:rsid w:val="00F753AC"/>
    <w:rsid w:val="00F7641A"/>
    <w:rsid w:val="00F76BDF"/>
    <w:rsid w:val="00F80082"/>
    <w:rsid w:val="00F80657"/>
    <w:rsid w:val="00F81C94"/>
    <w:rsid w:val="00F82255"/>
    <w:rsid w:val="00F82D96"/>
    <w:rsid w:val="00F83A08"/>
    <w:rsid w:val="00F83DD8"/>
    <w:rsid w:val="00F85359"/>
    <w:rsid w:val="00F87698"/>
    <w:rsid w:val="00F87E2B"/>
    <w:rsid w:val="00F904DB"/>
    <w:rsid w:val="00F90DA7"/>
    <w:rsid w:val="00F91B48"/>
    <w:rsid w:val="00F91BB6"/>
    <w:rsid w:val="00F92C43"/>
    <w:rsid w:val="00F92EC7"/>
    <w:rsid w:val="00F9323E"/>
    <w:rsid w:val="00F93AFA"/>
    <w:rsid w:val="00F973FD"/>
    <w:rsid w:val="00F9780E"/>
    <w:rsid w:val="00F97917"/>
    <w:rsid w:val="00F97F0E"/>
    <w:rsid w:val="00FA095E"/>
    <w:rsid w:val="00FA145B"/>
    <w:rsid w:val="00FA22E4"/>
    <w:rsid w:val="00FA2EFA"/>
    <w:rsid w:val="00FA3759"/>
    <w:rsid w:val="00FA4727"/>
    <w:rsid w:val="00FA4A75"/>
    <w:rsid w:val="00FA57D9"/>
    <w:rsid w:val="00FA71AB"/>
    <w:rsid w:val="00FA7A5E"/>
    <w:rsid w:val="00FB15A3"/>
    <w:rsid w:val="00FB1B94"/>
    <w:rsid w:val="00FB3D15"/>
    <w:rsid w:val="00FB4994"/>
    <w:rsid w:val="00FB5FF4"/>
    <w:rsid w:val="00FB64E3"/>
    <w:rsid w:val="00FB6549"/>
    <w:rsid w:val="00FB7207"/>
    <w:rsid w:val="00FB7E15"/>
    <w:rsid w:val="00FC0314"/>
    <w:rsid w:val="00FC2A14"/>
    <w:rsid w:val="00FC32E6"/>
    <w:rsid w:val="00FC331D"/>
    <w:rsid w:val="00FC336C"/>
    <w:rsid w:val="00FC3770"/>
    <w:rsid w:val="00FC391C"/>
    <w:rsid w:val="00FC3A59"/>
    <w:rsid w:val="00FC3C15"/>
    <w:rsid w:val="00FC4AF7"/>
    <w:rsid w:val="00FC52A0"/>
    <w:rsid w:val="00FC52DD"/>
    <w:rsid w:val="00FC5EC6"/>
    <w:rsid w:val="00FD07D2"/>
    <w:rsid w:val="00FD0ACA"/>
    <w:rsid w:val="00FD257E"/>
    <w:rsid w:val="00FD2CAF"/>
    <w:rsid w:val="00FD3A08"/>
    <w:rsid w:val="00FD3B20"/>
    <w:rsid w:val="00FD4D4B"/>
    <w:rsid w:val="00FD4FF1"/>
    <w:rsid w:val="00FD577C"/>
    <w:rsid w:val="00FD5968"/>
    <w:rsid w:val="00FD6125"/>
    <w:rsid w:val="00FD6A5A"/>
    <w:rsid w:val="00FD7072"/>
    <w:rsid w:val="00FD70D0"/>
    <w:rsid w:val="00FE0DD3"/>
    <w:rsid w:val="00FE1B75"/>
    <w:rsid w:val="00FE29B5"/>
    <w:rsid w:val="00FE3C37"/>
    <w:rsid w:val="00FE5645"/>
    <w:rsid w:val="00FE7C80"/>
    <w:rsid w:val="00FE7E23"/>
    <w:rsid w:val="00FF0F6E"/>
    <w:rsid w:val="00FF1CD4"/>
    <w:rsid w:val="00FF2022"/>
    <w:rsid w:val="00FF2467"/>
    <w:rsid w:val="00FF36ED"/>
    <w:rsid w:val="00FF4365"/>
    <w:rsid w:val="00FF45DF"/>
    <w:rsid w:val="00FF5463"/>
    <w:rsid w:val="00FF6A20"/>
    <w:rsid w:val="00FF752A"/>
    <w:rsid w:val="00FF7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6E5CF"/>
  <w15:docId w15:val="{E1ABBCB4-A5FE-409A-97EC-FC2B1AEE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mo" w:eastAsia="Arimo" w:hAnsi="Arimo" w:cs="Arimo"/>
        <w:sz w:val="24"/>
        <w:szCs w:val="24"/>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835"/>
    <w:pPr>
      <w:spacing w:after="120"/>
      <w:jc w:val="both"/>
    </w:pPr>
  </w:style>
  <w:style w:type="paragraph" w:styleId="Ttulo1">
    <w:name w:val="heading 1"/>
    <w:basedOn w:val="Normal"/>
    <w:next w:val="Normal"/>
    <w:link w:val="Ttulo1Car"/>
    <w:uiPriority w:val="9"/>
    <w:qFormat/>
    <w:rsid w:val="009E355F"/>
    <w:pPr>
      <w:keepNext/>
      <w:keepLines/>
      <w:spacing w:before="480"/>
      <w:jc w:val="center"/>
      <w:outlineLvl w:val="0"/>
    </w:pPr>
    <w:rPr>
      <w:rFonts w:asciiTheme="majorHAnsi" w:hAnsiTheme="majorHAnsi"/>
      <w:b/>
      <w:sz w:val="32"/>
      <w:szCs w:val="48"/>
    </w:rPr>
  </w:style>
  <w:style w:type="paragraph" w:styleId="Ttulo2">
    <w:name w:val="heading 2"/>
    <w:basedOn w:val="Normal"/>
    <w:next w:val="Normal"/>
    <w:link w:val="Ttulo2Car"/>
    <w:uiPriority w:val="9"/>
    <w:unhideWhenUsed/>
    <w:qFormat/>
    <w:rsid w:val="005F3CF1"/>
    <w:pPr>
      <w:keepNext/>
      <w:keepLines/>
      <w:spacing w:before="480" w:after="480"/>
      <w:jc w:val="center"/>
      <w:outlineLvl w:val="1"/>
    </w:pPr>
    <w:rPr>
      <w:rFonts w:asciiTheme="majorHAnsi" w:hAnsiTheme="majorHAnsi"/>
      <w:b/>
      <w:sz w:val="28"/>
      <w:szCs w:val="36"/>
    </w:rPr>
  </w:style>
  <w:style w:type="paragraph" w:styleId="Ttulo3">
    <w:name w:val="heading 3"/>
    <w:basedOn w:val="Normal"/>
    <w:next w:val="Normal"/>
    <w:uiPriority w:val="9"/>
    <w:unhideWhenUsed/>
    <w:qFormat/>
    <w:rsid w:val="00F4271D"/>
    <w:pPr>
      <w:keepNext/>
      <w:keepLines/>
      <w:spacing w:before="480" w:after="480"/>
      <w:jc w:val="center"/>
      <w:outlineLvl w:val="2"/>
    </w:pPr>
    <w:rPr>
      <w:rFonts w:asciiTheme="majorHAnsi" w:hAnsiTheme="majorHAnsi"/>
      <w:b/>
      <w:szCs w:val="28"/>
    </w:rPr>
  </w:style>
  <w:style w:type="paragraph" w:styleId="Ttulo4">
    <w:name w:val="heading 4"/>
    <w:basedOn w:val="Normal"/>
    <w:next w:val="Normal"/>
    <w:uiPriority w:val="9"/>
    <w:unhideWhenUsed/>
    <w:qFormat/>
    <w:rsid w:val="00EB5C24"/>
    <w:pPr>
      <w:keepNext/>
      <w:keepLines/>
      <w:spacing w:before="480" w:after="480"/>
      <w:jc w:val="center"/>
      <w:outlineLvl w:val="3"/>
    </w:pPr>
    <w:rPr>
      <w:rFonts w:asciiTheme="majorHAnsi" w:hAnsiTheme="majorHAnsi"/>
      <w:b/>
      <w:i/>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widowControl/>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1"/>
    <w:pPr>
      <w:widowControl/>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pPr>
      <w:widowControl/>
    </w:pPr>
    <w:rPr>
      <w:rFonts w:ascii="Calibri" w:eastAsia="Calibri" w:hAnsi="Calibri" w:cs="Calibri"/>
      <w:sz w:val="22"/>
      <w:szCs w:val="22"/>
    </w:rPr>
    <w:tblPr>
      <w:tblStyleRowBandSize w:val="1"/>
      <w:tblStyleColBandSize w:val="1"/>
      <w:tblCellMar>
        <w:left w:w="108" w:type="dxa"/>
        <w:right w:w="108" w:type="dxa"/>
      </w:tblCellMar>
    </w:tblPr>
  </w:style>
  <w:style w:type="paragraph" w:styleId="Sinespaciado">
    <w:name w:val="No Spacing"/>
    <w:link w:val="SinespaciadoCar"/>
    <w:uiPriority w:val="1"/>
    <w:qFormat/>
    <w:rsid w:val="00AE6CD0"/>
    <w:pPr>
      <w:widowControl/>
      <w:jc w:val="both"/>
    </w:pPr>
    <w:rPr>
      <w:rFonts w:ascii="Times New Roman" w:eastAsia="Calibri" w:hAnsi="Times New Roman" w:cs="Times New Roman"/>
      <w:szCs w:val="22"/>
    </w:rPr>
  </w:style>
  <w:style w:type="character" w:customStyle="1" w:styleId="SinespaciadoCar">
    <w:name w:val="Sin espaciado Car"/>
    <w:link w:val="Sinespaciado"/>
    <w:uiPriority w:val="1"/>
    <w:rsid w:val="00AE6CD0"/>
    <w:rPr>
      <w:rFonts w:ascii="Times New Roman" w:eastAsia="Calibri" w:hAnsi="Times New Roman" w:cs="Times New Roman"/>
      <w:szCs w:val="22"/>
    </w:rPr>
  </w:style>
  <w:style w:type="character" w:customStyle="1" w:styleId="hit">
    <w:name w:val="hit"/>
    <w:basedOn w:val="Fuentedeprrafopredeter"/>
    <w:rsid w:val="001C729F"/>
  </w:style>
  <w:style w:type="paragraph" w:customStyle="1" w:styleId="Default">
    <w:name w:val="Default"/>
    <w:rsid w:val="005D14C4"/>
    <w:pPr>
      <w:widowControl/>
      <w:autoSpaceDE w:val="0"/>
      <w:autoSpaceDN w:val="0"/>
      <w:adjustRightInd w:val="0"/>
    </w:pPr>
    <w:rPr>
      <w:rFonts w:ascii="Times New Roman" w:eastAsiaTheme="minorHAnsi" w:hAnsi="Times New Roman" w:cs="Times New Roman"/>
      <w:color w:val="000000"/>
      <w:lang w:val="es-EC"/>
    </w:rPr>
  </w:style>
  <w:style w:type="paragraph" w:styleId="Prrafodelista">
    <w:name w:val="List Paragraph"/>
    <w:aliases w:val="TIT 2 IND,Titulo 4,Párrafo de lista1"/>
    <w:basedOn w:val="Normal"/>
    <w:link w:val="PrrafodelistaCar"/>
    <w:uiPriority w:val="34"/>
    <w:qFormat/>
    <w:rsid w:val="00B24A80"/>
    <w:pPr>
      <w:ind w:left="720"/>
      <w:contextualSpacing/>
    </w:pPr>
    <w:rPr>
      <w:rFonts w:ascii="Calibri" w:hAnsi="Calibri"/>
      <w:sz w:val="22"/>
    </w:rPr>
  </w:style>
  <w:style w:type="character" w:customStyle="1" w:styleId="PrrafodelistaCar">
    <w:name w:val="Párrafo de lista Car"/>
    <w:aliases w:val="TIT 2 IND Car,Titulo 4 Car,Párrafo de lista1 Car"/>
    <w:basedOn w:val="Fuentedeprrafopredeter"/>
    <w:link w:val="Prrafodelista"/>
    <w:uiPriority w:val="1"/>
    <w:rsid w:val="00B24A80"/>
    <w:rPr>
      <w:rFonts w:ascii="Calibri" w:hAnsi="Calibri"/>
      <w:sz w:val="22"/>
    </w:rPr>
  </w:style>
  <w:style w:type="table" w:styleId="Tablaconcuadrcula">
    <w:name w:val="Table Grid"/>
    <w:basedOn w:val="Tablanormal"/>
    <w:uiPriority w:val="39"/>
    <w:rsid w:val="00870ECC"/>
    <w:pPr>
      <w:widowControl/>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link w:val="TITULO1Car"/>
    <w:qFormat/>
    <w:rsid w:val="00C00A27"/>
    <w:pPr>
      <w:widowControl/>
      <w:ind w:right="-100"/>
      <w:jc w:val="center"/>
    </w:pPr>
    <w:rPr>
      <w:rFonts w:ascii="Times New Roman" w:eastAsia="Times New Roman" w:hAnsi="Times New Roman" w:cs="Times New Roman"/>
      <w:b/>
    </w:rPr>
  </w:style>
  <w:style w:type="character" w:customStyle="1" w:styleId="TITULO1Car">
    <w:name w:val="TITULO 1 Car"/>
    <w:basedOn w:val="Fuentedeprrafopredeter"/>
    <w:link w:val="TITULO1"/>
    <w:rsid w:val="00C00A27"/>
    <w:rPr>
      <w:rFonts w:ascii="Times New Roman" w:eastAsia="Times New Roman" w:hAnsi="Times New Roman" w:cs="Times New Roman"/>
      <w:b/>
    </w:rPr>
  </w:style>
  <w:style w:type="paragraph" w:styleId="TtuloTDC">
    <w:name w:val="TOC Heading"/>
    <w:basedOn w:val="Ttulo1"/>
    <w:next w:val="Normal"/>
    <w:uiPriority w:val="39"/>
    <w:unhideWhenUsed/>
    <w:qFormat/>
    <w:rsid w:val="00C163E8"/>
    <w:pPr>
      <w:widowControl/>
      <w:spacing w:after="480" w:line="259" w:lineRule="auto"/>
      <w:outlineLvl w:val="9"/>
    </w:pPr>
    <w:rPr>
      <w:rFonts w:eastAsiaTheme="majorEastAsia" w:cstheme="majorBidi"/>
      <w:caps/>
      <w:szCs w:val="32"/>
      <w:lang w:val="en-US"/>
    </w:rPr>
  </w:style>
  <w:style w:type="paragraph" w:customStyle="1" w:styleId="LIBRO-nivel1">
    <w:name w:val="LIBRO - nivel 1"/>
    <w:basedOn w:val="Normal"/>
    <w:link w:val="LIBRO-nivel1Car"/>
    <w:qFormat/>
    <w:rsid w:val="00796DD0"/>
    <w:pPr>
      <w:widowControl/>
      <w:spacing w:line="259" w:lineRule="auto"/>
      <w:ind w:right="-100"/>
    </w:pPr>
    <w:rPr>
      <w:rFonts w:ascii="Times New Roman" w:eastAsia="Times New Roman" w:hAnsi="Times New Roman" w:cs="Times New Roman"/>
      <w:b/>
      <w:color w:val="000000"/>
      <w:sz w:val="32"/>
    </w:rPr>
  </w:style>
  <w:style w:type="character" w:customStyle="1" w:styleId="LIBRO-nivel1Car">
    <w:name w:val="LIBRO - nivel 1 Car"/>
    <w:basedOn w:val="Fuentedeprrafopredeter"/>
    <w:link w:val="LIBRO-nivel1"/>
    <w:rsid w:val="00796DD0"/>
    <w:rPr>
      <w:rFonts w:ascii="Times New Roman" w:eastAsia="Times New Roman" w:hAnsi="Times New Roman" w:cs="Times New Roman"/>
      <w:b/>
      <w:color w:val="000000"/>
      <w:sz w:val="32"/>
    </w:rPr>
  </w:style>
  <w:style w:type="paragraph" w:customStyle="1" w:styleId="TITULO-nivel2">
    <w:name w:val="TITULO - nivel 2"/>
    <w:basedOn w:val="Normal"/>
    <w:link w:val="TITULO-nivel2Car"/>
    <w:qFormat/>
    <w:rsid w:val="00796DD0"/>
    <w:pPr>
      <w:widowControl/>
      <w:spacing w:line="259" w:lineRule="auto"/>
      <w:ind w:right="-100"/>
    </w:pPr>
    <w:rPr>
      <w:rFonts w:ascii="Times New Roman" w:eastAsia="Times New Roman" w:hAnsi="Times New Roman" w:cs="Times New Roman"/>
      <w:b/>
      <w:color w:val="000000"/>
      <w:sz w:val="30"/>
      <w:szCs w:val="30"/>
    </w:rPr>
  </w:style>
  <w:style w:type="character" w:customStyle="1" w:styleId="TITULO-nivel2Car">
    <w:name w:val="TITULO - nivel 2 Car"/>
    <w:basedOn w:val="Fuentedeprrafopredeter"/>
    <w:link w:val="TITULO-nivel2"/>
    <w:rsid w:val="00796DD0"/>
    <w:rPr>
      <w:rFonts w:ascii="Times New Roman" w:eastAsia="Times New Roman" w:hAnsi="Times New Roman" w:cs="Times New Roman"/>
      <w:b/>
      <w:color w:val="000000"/>
      <w:sz w:val="30"/>
      <w:szCs w:val="30"/>
    </w:rPr>
  </w:style>
  <w:style w:type="paragraph" w:customStyle="1" w:styleId="CAPITULOS-nivel3">
    <w:name w:val="CAPITULOS - nivel 3"/>
    <w:basedOn w:val="Normal"/>
    <w:link w:val="CAPITULOS-nivel3Car"/>
    <w:qFormat/>
    <w:rsid w:val="00796DD0"/>
    <w:pPr>
      <w:widowControl/>
      <w:spacing w:line="259" w:lineRule="auto"/>
      <w:ind w:right="-100"/>
    </w:pPr>
    <w:rPr>
      <w:rFonts w:ascii="Times New Roman" w:eastAsia="Times New Roman" w:hAnsi="Times New Roman" w:cs="Times New Roman"/>
      <w:b/>
      <w:color w:val="000000"/>
      <w:sz w:val="28"/>
    </w:rPr>
  </w:style>
  <w:style w:type="character" w:customStyle="1" w:styleId="CAPITULOS-nivel3Car">
    <w:name w:val="CAPITULOS - nivel 3 Car"/>
    <w:basedOn w:val="Fuentedeprrafopredeter"/>
    <w:link w:val="CAPITULOS-nivel3"/>
    <w:rsid w:val="00796DD0"/>
    <w:rPr>
      <w:rFonts w:ascii="Times New Roman" w:eastAsia="Times New Roman" w:hAnsi="Times New Roman" w:cs="Times New Roman"/>
      <w:b/>
      <w:color w:val="000000"/>
      <w:sz w:val="28"/>
    </w:rPr>
  </w:style>
  <w:style w:type="paragraph" w:customStyle="1" w:styleId="SECCIONES-nivel4">
    <w:name w:val="SECCIONES - nivel 4"/>
    <w:basedOn w:val="Normal"/>
    <w:link w:val="SECCIONES-nivel4Car"/>
    <w:qFormat/>
    <w:rsid w:val="00796DD0"/>
    <w:pPr>
      <w:widowControl/>
      <w:spacing w:line="259" w:lineRule="auto"/>
      <w:ind w:right="-100"/>
    </w:pPr>
    <w:rPr>
      <w:rFonts w:ascii="Times New Roman" w:eastAsia="Times New Roman" w:hAnsi="Times New Roman" w:cs="Times New Roman"/>
      <w:b/>
      <w:color w:val="000000"/>
      <w:sz w:val="26"/>
      <w:szCs w:val="26"/>
    </w:rPr>
  </w:style>
  <w:style w:type="character" w:customStyle="1" w:styleId="SECCIONES-nivel4Car">
    <w:name w:val="SECCIONES - nivel 4 Car"/>
    <w:basedOn w:val="Fuentedeprrafopredeter"/>
    <w:link w:val="SECCIONES-nivel4"/>
    <w:rsid w:val="00796DD0"/>
    <w:rPr>
      <w:rFonts w:ascii="Times New Roman" w:eastAsia="Times New Roman" w:hAnsi="Times New Roman" w:cs="Times New Roman"/>
      <w:b/>
      <w:color w:val="000000"/>
      <w:sz w:val="26"/>
      <w:szCs w:val="26"/>
    </w:rPr>
  </w:style>
  <w:style w:type="paragraph" w:customStyle="1" w:styleId="PARAGRAFOS-nivel5">
    <w:name w:val="PARAGRAFOS - nivel 5"/>
    <w:basedOn w:val="Normal"/>
    <w:link w:val="PARAGRAFOS-nivel5Car"/>
    <w:qFormat/>
    <w:rsid w:val="00796DD0"/>
    <w:pPr>
      <w:widowControl/>
      <w:spacing w:line="259" w:lineRule="auto"/>
      <w:ind w:right="-100"/>
    </w:pPr>
    <w:rPr>
      <w:rFonts w:ascii="Times New Roman" w:eastAsia="Times New Roman" w:hAnsi="Times New Roman" w:cs="Times New Roman"/>
      <w:b/>
      <w:color w:val="000000"/>
    </w:rPr>
  </w:style>
  <w:style w:type="character" w:customStyle="1" w:styleId="PARAGRAFOS-nivel5Car">
    <w:name w:val="PARAGRAFOS - nivel 5 Car"/>
    <w:basedOn w:val="Fuentedeprrafopredeter"/>
    <w:link w:val="PARAGRAFOS-nivel5"/>
    <w:rsid w:val="00796DD0"/>
    <w:rPr>
      <w:rFonts w:ascii="Times New Roman" w:eastAsia="Times New Roman" w:hAnsi="Times New Roman" w:cs="Times New Roman"/>
      <w:b/>
      <w:color w:val="000000"/>
    </w:rPr>
  </w:style>
  <w:style w:type="character" w:styleId="Hipervnculo">
    <w:name w:val="Hyperlink"/>
    <w:basedOn w:val="Fuentedeprrafopredeter"/>
    <w:uiPriority w:val="99"/>
    <w:unhideWhenUsed/>
    <w:rsid w:val="00796DD0"/>
    <w:rPr>
      <w:color w:val="0000FF" w:themeColor="hyperlink"/>
      <w:u w:val="single"/>
    </w:rPr>
  </w:style>
  <w:style w:type="paragraph" w:styleId="TDC1">
    <w:name w:val="toc 1"/>
    <w:basedOn w:val="Normal"/>
    <w:next w:val="Normal"/>
    <w:autoRedefine/>
    <w:uiPriority w:val="39"/>
    <w:unhideWhenUsed/>
    <w:rsid w:val="00BC6835"/>
    <w:pPr>
      <w:spacing w:after="100"/>
      <w:jc w:val="left"/>
    </w:pPr>
    <w:rPr>
      <w:rFonts w:asciiTheme="majorHAnsi" w:hAnsiTheme="majorHAnsi"/>
      <w:sz w:val="20"/>
    </w:rPr>
  </w:style>
  <w:style w:type="paragraph" w:styleId="TDC2">
    <w:name w:val="toc 2"/>
    <w:basedOn w:val="Normal"/>
    <w:next w:val="Normal"/>
    <w:autoRedefine/>
    <w:uiPriority w:val="39"/>
    <w:unhideWhenUsed/>
    <w:rsid w:val="00BC6835"/>
    <w:pPr>
      <w:tabs>
        <w:tab w:val="right" w:leader="underscore" w:pos="8488"/>
      </w:tabs>
      <w:spacing w:before="120"/>
      <w:ind w:left="227"/>
      <w:jc w:val="left"/>
    </w:pPr>
    <w:rPr>
      <w:rFonts w:asciiTheme="majorHAnsi" w:hAnsiTheme="majorHAnsi"/>
      <w:sz w:val="20"/>
    </w:rPr>
  </w:style>
  <w:style w:type="paragraph" w:styleId="TDC3">
    <w:name w:val="toc 3"/>
    <w:basedOn w:val="Normal"/>
    <w:next w:val="Normal"/>
    <w:autoRedefine/>
    <w:uiPriority w:val="39"/>
    <w:unhideWhenUsed/>
    <w:rsid w:val="00BC6835"/>
    <w:pPr>
      <w:spacing w:after="100"/>
      <w:ind w:left="480"/>
      <w:jc w:val="left"/>
    </w:pPr>
    <w:rPr>
      <w:rFonts w:asciiTheme="majorHAnsi" w:hAnsiTheme="majorHAnsi"/>
      <w:sz w:val="20"/>
    </w:rPr>
  </w:style>
  <w:style w:type="paragraph" w:styleId="TDC4">
    <w:name w:val="toc 4"/>
    <w:basedOn w:val="Normal"/>
    <w:next w:val="Normal"/>
    <w:autoRedefine/>
    <w:uiPriority w:val="39"/>
    <w:unhideWhenUsed/>
    <w:rsid w:val="00BC6835"/>
    <w:pPr>
      <w:spacing w:after="100"/>
      <w:ind w:left="720"/>
      <w:jc w:val="left"/>
    </w:pPr>
    <w:rPr>
      <w:rFonts w:asciiTheme="majorHAnsi" w:hAnsiTheme="majorHAnsi"/>
      <w:sz w:val="20"/>
    </w:rPr>
  </w:style>
  <w:style w:type="paragraph" w:styleId="TDC5">
    <w:name w:val="toc 5"/>
    <w:basedOn w:val="Normal"/>
    <w:next w:val="Normal"/>
    <w:autoRedefine/>
    <w:uiPriority w:val="39"/>
    <w:unhideWhenUsed/>
    <w:rsid w:val="00BC6835"/>
    <w:pPr>
      <w:spacing w:after="100"/>
      <w:ind w:left="960"/>
      <w:jc w:val="left"/>
    </w:pPr>
    <w:rPr>
      <w:rFonts w:asciiTheme="majorHAnsi" w:hAnsiTheme="majorHAnsi"/>
      <w:b/>
      <w:sz w:val="20"/>
    </w:rPr>
  </w:style>
  <w:style w:type="character" w:styleId="Referenciasutil">
    <w:name w:val="Subtle Reference"/>
    <w:basedOn w:val="Fuentedeprrafopredeter"/>
    <w:uiPriority w:val="31"/>
    <w:qFormat/>
    <w:rsid w:val="00E34790"/>
    <w:rPr>
      <w:smallCaps/>
      <w:color w:val="5A5A5A" w:themeColor="text1" w:themeTint="A5"/>
    </w:rPr>
  </w:style>
  <w:style w:type="paragraph" w:customStyle="1" w:styleId="PIE">
    <w:name w:val="PIE"/>
    <w:basedOn w:val="Normal"/>
    <w:link w:val="PIECar"/>
    <w:autoRedefine/>
    <w:qFormat/>
    <w:rsid w:val="00BC7DCB"/>
    <w:pPr>
      <w:widowControl/>
      <w:spacing w:before="120" w:line="0" w:lineRule="atLeast"/>
    </w:pPr>
    <w:rPr>
      <w:rFonts w:ascii="Arial" w:eastAsiaTheme="minorHAnsi" w:hAnsi="Arial" w:cs="Arial"/>
      <w:b/>
      <w:sz w:val="20"/>
      <w:szCs w:val="22"/>
      <w:lang w:val="es-EC"/>
    </w:rPr>
  </w:style>
  <w:style w:type="character" w:customStyle="1" w:styleId="PIECar">
    <w:name w:val="PIE Car"/>
    <w:basedOn w:val="Fuentedeprrafopredeter"/>
    <w:link w:val="PIE"/>
    <w:rsid w:val="00BC7DCB"/>
    <w:rPr>
      <w:rFonts w:ascii="Arial" w:eastAsiaTheme="minorHAnsi" w:hAnsi="Arial" w:cs="Arial"/>
      <w:b/>
      <w:sz w:val="20"/>
      <w:szCs w:val="22"/>
      <w:lang w:val="es-EC"/>
    </w:rPr>
  </w:style>
  <w:style w:type="paragraph" w:styleId="Descripcin">
    <w:name w:val="caption"/>
    <w:basedOn w:val="Normal"/>
    <w:next w:val="Normal"/>
    <w:link w:val="DescripcinCar"/>
    <w:uiPriority w:val="35"/>
    <w:unhideWhenUsed/>
    <w:qFormat/>
    <w:rsid w:val="0080438B"/>
    <w:pPr>
      <w:keepNext/>
      <w:widowControl/>
      <w:spacing w:after="200"/>
      <w:jc w:val="center"/>
    </w:pPr>
    <w:rPr>
      <w:rFonts w:asciiTheme="majorHAnsi" w:hAnsiTheme="majorHAnsi"/>
      <w:b/>
      <w:iCs/>
      <w:szCs w:val="18"/>
    </w:rPr>
  </w:style>
  <w:style w:type="character" w:customStyle="1" w:styleId="Cuerpodeltexto">
    <w:name w:val="Cuerpo del texto_"/>
    <w:basedOn w:val="Fuentedeprrafopredeter"/>
    <w:link w:val="Cuerpodeltexto0"/>
    <w:rsid w:val="00504177"/>
    <w:rPr>
      <w:rFonts w:ascii="Arial" w:eastAsia="Arial" w:hAnsi="Arial" w:cs="Arial"/>
      <w:color w:val="25282C"/>
      <w:sz w:val="18"/>
      <w:szCs w:val="18"/>
    </w:rPr>
  </w:style>
  <w:style w:type="paragraph" w:customStyle="1" w:styleId="Cuerpodeltexto0">
    <w:name w:val="Cuerpo del texto"/>
    <w:basedOn w:val="Normal"/>
    <w:link w:val="Cuerpodeltexto"/>
    <w:rsid w:val="00504177"/>
    <w:pPr>
      <w:spacing w:after="240" w:line="293" w:lineRule="auto"/>
    </w:pPr>
    <w:rPr>
      <w:rFonts w:ascii="Arial" w:eastAsia="Arial" w:hAnsi="Arial" w:cs="Arial"/>
      <w:color w:val="25282C"/>
      <w:sz w:val="18"/>
      <w:szCs w:val="18"/>
    </w:rPr>
  </w:style>
  <w:style w:type="character" w:customStyle="1" w:styleId="Otro">
    <w:name w:val="Otro_"/>
    <w:basedOn w:val="Fuentedeprrafopredeter"/>
    <w:link w:val="Otro0"/>
    <w:rsid w:val="0031572C"/>
    <w:rPr>
      <w:rFonts w:ascii="Arial" w:eastAsia="Arial" w:hAnsi="Arial" w:cs="Arial"/>
      <w:color w:val="32353E"/>
      <w:sz w:val="18"/>
      <w:szCs w:val="18"/>
    </w:rPr>
  </w:style>
  <w:style w:type="paragraph" w:customStyle="1" w:styleId="Otro0">
    <w:name w:val="Otro"/>
    <w:basedOn w:val="Normal"/>
    <w:link w:val="Otro"/>
    <w:rsid w:val="0031572C"/>
    <w:pPr>
      <w:spacing w:line="295" w:lineRule="auto"/>
    </w:pPr>
    <w:rPr>
      <w:rFonts w:ascii="Arial" w:eastAsia="Arial" w:hAnsi="Arial" w:cs="Arial"/>
      <w:color w:val="32353E"/>
      <w:sz w:val="18"/>
      <w:szCs w:val="18"/>
    </w:rPr>
  </w:style>
  <w:style w:type="paragraph" w:styleId="Textonotapie">
    <w:name w:val="footnote text"/>
    <w:basedOn w:val="Normal"/>
    <w:link w:val="TextonotapieCar"/>
    <w:uiPriority w:val="99"/>
    <w:unhideWhenUsed/>
    <w:rsid w:val="00CF40ED"/>
    <w:pPr>
      <w:widowControl/>
    </w:pPr>
    <w:rPr>
      <w:rFonts w:asciiTheme="minorHAnsi" w:eastAsiaTheme="minorHAnsi" w:hAnsiTheme="minorHAnsi" w:cstheme="minorBidi"/>
      <w:sz w:val="20"/>
      <w:szCs w:val="20"/>
      <w:lang w:val="es-EC"/>
    </w:rPr>
  </w:style>
  <w:style w:type="character" w:customStyle="1" w:styleId="TextonotapieCar">
    <w:name w:val="Texto nota pie Car"/>
    <w:basedOn w:val="Fuentedeprrafopredeter"/>
    <w:link w:val="Textonotapie"/>
    <w:uiPriority w:val="99"/>
    <w:rsid w:val="00CF40ED"/>
    <w:rPr>
      <w:rFonts w:asciiTheme="minorHAnsi" w:eastAsiaTheme="minorHAnsi" w:hAnsiTheme="minorHAnsi" w:cstheme="minorBidi"/>
      <w:sz w:val="20"/>
      <w:szCs w:val="20"/>
      <w:lang w:val="es-EC"/>
    </w:rPr>
  </w:style>
  <w:style w:type="character" w:styleId="Refdenotaalpie">
    <w:name w:val="footnote reference"/>
    <w:basedOn w:val="Fuentedeprrafopredeter"/>
    <w:uiPriority w:val="99"/>
    <w:semiHidden/>
    <w:unhideWhenUsed/>
    <w:rsid w:val="00CF40ED"/>
    <w:rPr>
      <w:vertAlign w:val="superscript"/>
    </w:rPr>
  </w:style>
  <w:style w:type="table" w:customStyle="1" w:styleId="Tablaconcuadrcula4-nfasis11">
    <w:name w:val="Tabla con cuadrícula 4 - Énfasis 11"/>
    <w:basedOn w:val="Tablanormal"/>
    <w:uiPriority w:val="49"/>
    <w:rsid w:val="007D542B"/>
    <w:pPr>
      <w:widowControl/>
    </w:pPr>
    <w:rPr>
      <w:rFonts w:asciiTheme="minorHAnsi" w:eastAsiaTheme="minorHAnsi" w:hAnsiTheme="minorHAnsi" w:cstheme="minorBidi"/>
      <w:sz w:val="22"/>
      <w:szCs w:val="22"/>
      <w:lang w:val="es-EC"/>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independiente">
    <w:name w:val="Body Text"/>
    <w:basedOn w:val="Normal"/>
    <w:link w:val="TextoindependienteCar"/>
    <w:uiPriority w:val="99"/>
    <w:unhideWhenUsed/>
    <w:rsid w:val="00114D02"/>
    <w:pPr>
      <w:widowControl/>
      <w:spacing w:line="259" w:lineRule="auto"/>
    </w:pPr>
    <w:rPr>
      <w:rFonts w:asciiTheme="minorHAnsi" w:eastAsiaTheme="minorHAnsi" w:hAnsiTheme="minorHAnsi" w:cstheme="minorBidi"/>
      <w:sz w:val="22"/>
      <w:szCs w:val="22"/>
      <w:lang w:val="es-EC"/>
    </w:rPr>
  </w:style>
  <w:style w:type="character" w:customStyle="1" w:styleId="TextoindependienteCar">
    <w:name w:val="Texto independiente Car"/>
    <w:basedOn w:val="Fuentedeprrafopredeter"/>
    <w:link w:val="Textoindependiente"/>
    <w:uiPriority w:val="99"/>
    <w:rsid w:val="00114D02"/>
    <w:rPr>
      <w:rFonts w:asciiTheme="minorHAnsi" w:eastAsiaTheme="minorHAnsi" w:hAnsiTheme="minorHAnsi" w:cstheme="minorBidi"/>
      <w:sz w:val="22"/>
      <w:szCs w:val="22"/>
      <w:lang w:val="es-EC"/>
    </w:rPr>
  </w:style>
  <w:style w:type="paragraph" w:styleId="TDC6">
    <w:name w:val="toc 6"/>
    <w:basedOn w:val="Normal"/>
    <w:next w:val="Normal"/>
    <w:autoRedefine/>
    <w:uiPriority w:val="39"/>
    <w:unhideWhenUsed/>
    <w:rsid w:val="00872662"/>
    <w:pPr>
      <w:widowControl/>
      <w:spacing w:after="100" w:line="259"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872662"/>
    <w:pPr>
      <w:widowControl/>
      <w:spacing w:after="100" w:line="259"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872662"/>
    <w:pPr>
      <w:widowControl/>
      <w:spacing w:after="100" w:line="259"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872662"/>
    <w:pPr>
      <w:widowControl/>
      <w:spacing w:after="100" w:line="259" w:lineRule="auto"/>
      <w:ind w:left="1760"/>
    </w:pPr>
    <w:rPr>
      <w:rFonts w:asciiTheme="minorHAnsi" w:eastAsiaTheme="minorEastAsia" w:hAnsiTheme="minorHAnsi" w:cstheme="minorBidi"/>
      <w:sz w:val="22"/>
      <w:szCs w:val="22"/>
      <w:lang w:val="en-US"/>
    </w:rPr>
  </w:style>
  <w:style w:type="character" w:customStyle="1" w:styleId="Cuerpodeltexto2">
    <w:name w:val="Cuerpo del texto (2)_"/>
    <w:basedOn w:val="Fuentedeprrafopredeter"/>
    <w:link w:val="Cuerpodeltexto20"/>
    <w:rsid w:val="00CA4D95"/>
    <w:rPr>
      <w:rFonts w:ascii="Arial" w:eastAsia="Arial" w:hAnsi="Arial" w:cs="Arial"/>
      <w:w w:val="70"/>
      <w:sz w:val="19"/>
      <w:szCs w:val="19"/>
    </w:rPr>
  </w:style>
  <w:style w:type="paragraph" w:customStyle="1" w:styleId="Cuerpodeltexto20">
    <w:name w:val="Cuerpo del texto (2)"/>
    <w:basedOn w:val="Normal"/>
    <w:link w:val="Cuerpodeltexto2"/>
    <w:rsid w:val="00CA4D95"/>
    <w:pPr>
      <w:spacing w:after="80"/>
    </w:pPr>
    <w:rPr>
      <w:rFonts w:ascii="Arial" w:eastAsia="Arial" w:hAnsi="Arial" w:cs="Arial"/>
      <w:w w:val="70"/>
      <w:sz w:val="19"/>
      <w:szCs w:val="19"/>
    </w:rPr>
  </w:style>
  <w:style w:type="character" w:customStyle="1" w:styleId="Ttulo40">
    <w:name w:val="Título #4_"/>
    <w:basedOn w:val="Fuentedeprrafopredeter"/>
    <w:link w:val="Ttulo41"/>
    <w:rsid w:val="00CA4D95"/>
    <w:rPr>
      <w:rFonts w:ascii="Arial Narrow" w:eastAsia="Arial Narrow" w:hAnsi="Arial Narrow" w:cs="Arial Narrow"/>
      <w:b/>
      <w:bCs/>
      <w:w w:val="70"/>
    </w:rPr>
  </w:style>
  <w:style w:type="paragraph" w:customStyle="1" w:styleId="Ttulo41">
    <w:name w:val="Título #4"/>
    <w:basedOn w:val="Normal"/>
    <w:link w:val="Ttulo40"/>
    <w:rsid w:val="00CA4D95"/>
    <w:pPr>
      <w:spacing w:after="200" w:line="322" w:lineRule="auto"/>
      <w:jc w:val="center"/>
      <w:outlineLvl w:val="3"/>
    </w:pPr>
    <w:rPr>
      <w:rFonts w:ascii="Arial Narrow" w:eastAsia="Arial Narrow" w:hAnsi="Arial Narrow" w:cs="Arial Narrow"/>
      <w:b/>
      <w:bCs/>
      <w:w w:val="70"/>
    </w:rPr>
  </w:style>
  <w:style w:type="paragraph" w:styleId="Encabezado">
    <w:name w:val="header"/>
    <w:basedOn w:val="Normal"/>
    <w:link w:val="EncabezadoCar"/>
    <w:uiPriority w:val="99"/>
    <w:unhideWhenUsed/>
    <w:rsid w:val="009234D0"/>
    <w:pPr>
      <w:tabs>
        <w:tab w:val="center" w:pos="4419"/>
        <w:tab w:val="right" w:pos="8838"/>
      </w:tabs>
    </w:pPr>
  </w:style>
  <w:style w:type="character" w:customStyle="1" w:styleId="EncabezadoCar">
    <w:name w:val="Encabezado Car"/>
    <w:basedOn w:val="Fuentedeprrafopredeter"/>
    <w:link w:val="Encabezado"/>
    <w:uiPriority w:val="99"/>
    <w:rsid w:val="009234D0"/>
  </w:style>
  <w:style w:type="paragraph" w:styleId="Piedepgina">
    <w:name w:val="footer"/>
    <w:basedOn w:val="Normal"/>
    <w:link w:val="PiedepginaCar"/>
    <w:uiPriority w:val="99"/>
    <w:unhideWhenUsed/>
    <w:rsid w:val="009234D0"/>
    <w:pPr>
      <w:tabs>
        <w:tab w:val="center" w:pos="4419"/>
        <w:tab w:val="right" w:pos="8838"/>
      </w:tabs>
    </w:pPr>
  </w:style>
  <w:style w:type="character" w:customStyle="1" w:styleId="PiedepginaCar">
    <w:name w:val="Pie de página Car"/>
    <w:basedOn w:val="Fuentedeprrafopredeter"/>
    <w:link w:val="Piedepgina"/>
    <w:uiPriority w:val="99"/>
    <w:rsid w:val="009234D0"/>
  </w:style>
  <w:style w:type="paragraph" w:styleId="Tabladeilustraciones">
    <w:name w:val="table of figures"/>
    <w:basedOn w:val="Normal"/>
    <w:next w:val="Normal"/>
    <w:uiPriority w:val="99"/>
    <w:unhideWhenUsed/>
    <w:rsid w:val="0070485C"/>
    <w:pPr>
      <w:ind w:right="851"/>
    </w:pPr>
    <w:rPr>
      <w:rFonts w:asciiTheme="majorHAnsi" w:hAnsiTheme="majorHAnsi"/>
    </w:rPr>
  </w:style>
  <w:style w:type="character" w:customStyle="1" w:styleId="Mencinsinresolver1">
    <w:name w:val="Mención sin resolver1"/>
    <w:basedOn w:val="Fuentedeprrafopredeter"/>
    <w:uiPriority w:val="99"/>
    <w:semiHidden/>
    <w:unhideWhenUsed/>
    <w:rsid w:val="00406788"/>
    <w:rPr>
      <w:color w:val="605E5C"/>
      <w:shd w:val="clear" w:color="auto" w:fill="E1DFDD"/>
    </w:rPr>
  </w:style>
  <w:style w:type="paragraph" w:customStyle="1" w:styleId="Piedeelemento">
    <w:name w:val="Pie de elemento"/>
    <w:basedOn w:val="Normal"/>
    <w:next w:val="Normal"/>
    <w:link w:val="PiedeelementoCar"/>
    <w:autoRedefine/>
    <w:qFormat/>
    <w:rsid w:val="00753D7C"/>
    <w:pPr>
      <w:widowControl/>
    </w:pPr>
    <w:rPr>
      <w:rFonts w:ascii="Arial" w:eastAsiaTheme="minorHAnsi" w:hAnsi="Arial" w:cstheme="minorBidi"/>
      <w:sz w:val="18"/>
      <w:szCs w:val="22"/>
      <w:lang w:val="es-EC"/>
    </w:rPr>
  </w:style>
  <w:style w:type="character" w:customStyle="1" w:styleId="DescripcinCar">
    <w:name w:val="Descripción Car"/>
    <w:basedOn w:val="Fuentedeprrafopredeter"/>
    <w:link w:val="Descripcin"/>
    <w:uiPriority w:val="35"/>
    <w:rsid w:val="0080438B"/>
    <w:rPr>
      <w:rFonts w:asciiTheme="majorHAnsi" w:hAnsiTheme="majorHAnsi"/>
      <w:b/>
      <w:iCs/>
      <w:szCs w:val="18"/>
    </w:rPr>
  </w:style>
  <w:style w:type="character" w:customStyle="1" w:styleId="PiedeelementoCar">
    <w:name w:val="Pie de elemento Car"/>
    <w:basedOn w:val="Fuentedeprrafopredeter"/>
    <w:link w:val="Piedeelemento"/>
    <w:rsid w:val="00753D7C"/>
    <w:rPr>
      <w:rFonts w:ascii="Arial" w:eastAsiaTheme="minorHAnsi" w:hAnsi="Arial" w:cstheme="minorBidi"/>
      <w:sz w:val="18"/>
      <w:szCs w:val="22"/>
      <w:lang w:val="es-EC"/>
    </w:rPr>
  </w:style>
  <w:style w:type="paragraph" w:customStyle="1" w:styleId="TableParagraph">
    <w:name w:val="Table Paragraph"/>
    <w:basedOn w:val="Normal"/>
    <w:uiPriority w:val="1"/>
    <w:qFormat/>
    <w:rsid w:val="00753D7C"/>
    <w:pPr>
      <w:autoSpaceDE w:val="0"/>
      <w:autoSpaceDN w:val="0"/>
    </w:pPr>
    <w:rPr>
      <w:rFonts w:ascii="Calibri" w:eastAsia="Calibri" w:hAnsi="Calibri" w:cs="Calibri"/>
      <w:sz w:val="22"/>
      <w:szCs w:val="22"/>
      <w:lang w:val="es-EC"/>
    </w:rPr>
  </w:style>
  <w:style w:type="paragraph" w:customStyle="1" w:styleId="NumeralesCOIP">
    <w:name w:val="Numerales COIP"/>
    <w:basedOn w:val="Normal"/>
    <w:qFormat/>
    <w:rsid w:val="00D45717"/>
    <w:pPr>
      <w:numPr>
        <w:ilvl w:val="1"/>
        <w:numId w:val="53"/>
      </w:numPr>
      <w:autoSpaceDE w:val="0"/>
      <w:autoSpaceDN w:val="0"/>
      <w:spacing w:before="120"/>
    </w:pPr>
    <w:rPr>
      <w:rFonts w:ascii="Arial" w:eastAsia="Times New Roman" w:hAnsi="Arial" w:cs="Arial"/>
      <w:szCs w:val="23"/>
      <w:lang w:eastAsia="ar-SA"/>
    </w:rPr>
  </w:style>
  <w:style w:type="paragraph" w:customStyle="1" w:styleId="ArtCOIP">
    <w:name w:val="Art.COIP"/>
    <w:basedOn w:val="Normal"/>
    <w:qFormat/>
    <w:rsid w:val="00D45717"/>
    <w:pPr>
      <w:numPr>
        <w:numId w:val="53"/>
      </w:numPr>
      <w:autoSpaceDE w:val="0"/>
      <w:autoSpaceDN w:val="0"/>
      <w:adjustRightInd w:val="0"/>
      <w:spacing w:before="240" w:after="240"/>
    </w:pPr>
    <w:rPr>
      <w:rFonts w:ascii="Arial" w:eastAsia="Times New Roman" w:hAnsi="Arial" w:cs="Arial"/>
      <w:szCs w:val="22"/>
      <w:lang w:eastAsia="ar-SA"/>
    </w:rPr>
  </w:style>
  <w:style w:type="character" w:styleId="Refdecomentario">
    <w:name w:val="annotation reference"/>
    <w:basedOn w:val="Fuentedeprrafopredeter"/>
    <w:uiPriority w:val="99"/>
    <w:semiHidden/>
    <w:unhideWhenUsed/>
    <w:rsid w:val="004F68C7"/>
    <w:rPr>
      <w:sz w:val="16"/>
      <w:szCs w:val="16"/>
    </w:rPr>
  </w:style>
  <w:style w:type="paragraph" w:styleId="Textocomentario">
    <w:name w:val="annotation text"/>
    <w:basedOn w:val="Normal"/>
    <w:link w:val="TextocomentarioCar"/>
    <w:uiPriority w:val="99"/>
    <w:unhideWhenUsed/>
    <w:rsid w:val="004F68C7"/>
    <w:rPr>
      <w:sz w:val="20"/>
      <w:szCs w:val="20"/>
    </w:rPr>
  </w:style>
  <w:style w:type="character" w:customStyle="1" w:styleId="TextocomentarioCar">
    <w:name w:val="Texto comentario Car"/>
    <w:basedOn w:val="Fuentedeprrafopredeter"/>
    <w:link w:val="Textocomentario"/>
    <w:uiPriority w:val="99"/>
    <w:rsid w:val="004F68C7"/>
    <w:rPr>
      <w:sz w:val="20"/>
      <w:szCs w:val="20"/>
    </w:rPr>
  </w:style>
  <w:style w:type="paragraph" w:styleId="Asuntodelcomentario">
    <w:name w:val="annotation subject"/>
    <w:basedOn w:val="Textocomentario"/>
    <w:next w:val="Textocomentario"/>
    <w:link w:val="AsuntodelcomentarioCar"/>
    <w:uiPriority w:val="99"/>
    <w:semiHidden/>
    <w:unhideWhenUsed/>
    <w:rsid w:val="004F68C7"/>
    <w:rPr>
      <w:b/>
      <w:bCs/>
    </w:rPr>
  </w:style>
  <w:style w:type="character" w:customStyle="1" w:styleId="AsuntodelcomentarioCar">
    <w:name w:val="Asunto del comentario Car"/>
    <w:basedOn w:val="TextocomentarioCar"/>
    <w:link w:val="Asuntodelcomentario"/>
    <w:uiPriority w:val="99"/>
    <w:semiHidden/>
    <w:rsid w:val="004F68C7"/>
    <w:rPr>
      <w:b/>
      <w:bCs/>
      <w:sz w:val="20"/>
      <w:szCs w:val="20"/>
    </w:rPr>
  </w:style>
  <w:style w:type="paragraph" w:styleId="Textodeglobo">
    <w:name w:val="Balloon Text"/>
    <w:basedOn w:val="Normal"/>
    <w:link w:val="TextodegloboCar"/>
    <w:uiPriority w:val="99"/>
    <w:semiHidden/>
    <w:unhideWhenUsed/>
    <w:rsid w:val="004F68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68C7"/>
    <w:rPr>
      <w:rFonts w:ascii="Segoe UI" w:hAnsi="Segoe UI" w:cs="Segoe UI"/>
      <w:sz w:val="18"/>
      <w:szCs w:val="18"/>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e">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
    <w:basedOn w:val="TableNormal1"/>
    <w:tblPr>
      <w:tblStyleRowBandSize w:val="1"/>
      <w:tblStyleColBandSize w:val="1"/>
      <w:tblCellMar>
        <w:left w:w="10" w:type="dxa"/>
        <w:right w:w="1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2">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6">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9">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a">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b">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c">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d">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e">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0">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1">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2">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3">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4">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5">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6">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7">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8">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9">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a">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b">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c">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d">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e">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0">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1">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2">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3">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4">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5">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6">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7">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8">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9">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a">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b">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c">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d">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e">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f">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0">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1">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f2">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3">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4">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f5">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ff6">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7">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8">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B4E15"/>
    <w:pPr>
      <w:widowControl/>
      <w:spacing w:before="100" w:beforeAutospacing="1" w:after="100" w:afterAutospacing="1"/>
    </w:pPr>
    <w:rPr>
      <w:rFonts w:ascii="Times New Roman" w:eastAsia="Times New Roman" w:hAnsi="Times New Roman" w:cs="Times New Roman"/>
      <w:lang w:val="en-US"/>
    </w:rPr>
  </w:style>
  <w:style w:type="character" w:customStyle="1" w:styleId="Encabezadoopiedepgina">
    <w:name w:val="Encabezado o pie de página_"/>
    <w:basedOn w:val="Fuentedeprrafopredeter"/>
    <w:link w:val="Encabezadoopiedepgina0"/>
    <w:rsid w:val="00DB523F"/>
    <w:rPr>
      <w:rFonts w:ascii="Times New Roman" w:eastAsia="Times New Roman" w:hAnsi="Times New Roman" w:cs="Times New Roman"/>
      <w:b/>
      <w:bCs/>
      <w:sz w:val="11"/>
      <w:szCs w:val="11"/>
    </w:rPr>
  </w:style>
  <w:style w:type="paragraph" w:customStyle="1" w:styleId="Encabezadoopiedepgina0">
    <w:name w:val="Encabezado o pie de página"/>
    <w:basedOn w:val="Normal"/>
    <w:link w:val="Encabezadoopiedepgina"/>
    <w:rsid w:val="00DB523F"/>
    <w:rPr>
      <w:rFonts w:ascii="Times New Roman" w:eastAsia="Times New Roman" w:hAnsi="Times New Roman" w:cs="Times New Roman"/>
      <w:b/>
      <w:bCs/>
      <w:sz w:val="11"/>
      <w:szCs w:val="11"/>
    </w:rPr>
  </w:style>
  <w:style w:type="paragraph" w:styleId="Lista">
    <w:name w:val="List"/>
    <w:basedOn w:val="Normal"/>
    <w:uiPriority w:val="99"/>
    <w:unhideWhenUsed/>
    <w:rsid w:val="003A6014"/>
    <w:pPr>
      <w:ind w:left="283" w:hanging="283"/>
      <w:contextualSpacing/>
    </w:pPr>
  </w:style>
  <w:style w:type="paragraph" w:styleId="Lista2">
    <w:name w:val="List 2"/>
    <w:basedOn w:val="Normal"/>
    <w:uiPriority w:val="99"/>
    <w:unhideWhenUsed/>
    <w:rsid w:val="003A6014"/>
    <w:pPr>
      <w:ind w:left="566" w:hanging="283"/>
      <w:contextualSpacing/>
    </w:pPr>
  </w:style>
  <w:style w:type="paragraph" w:styleId="Lista3">
    <w:name w:val="List 3"/>
    <w:basedOn w:val="Normal"/>
    <w:uiPriority w:val="99"/>
    <w:unhideWhenUsed/>
    <w:rsid w:val="003A6014"/>
    <w:pPr>
      <w:ind w:left="849" w:hanging="283"/>
      <w:contextualSpacing/>
    </w:pPr>
  </w:style>
  <w:style w:type="paragraph" w:styleId="Lista4">
    <w:name w:val="List 4"/>
    <w:basedOn w:val="Normal"/>
    <w:uiPriority w:val="99"/>
    <w:unhideWhenUsed/>
    <w:rsid w:val="003A6014"/>
    <w:pPr>
      <w:ind w:left="1132" w:hanging="283"/>
      <w:contextualSpacing/>
    </w:pPr>
  </w:style>
  <w:style w:type="paragraph" w:styleId="Encabezadodemensaje">
    <w:name w:val="Message Header"/>
    <w:basedOn w:val="Normal"/>
    <w:link w:val="EncabezadodemensajeCar"/>
    <w:uiPriority w:val="99"/>
    <w:unhideWhenUsed/>
    <w:rsid w:val="003A601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3A6014"/>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3A6014"/>
  </w:style>
  <w:style w:type="character" w:customStyle="1" w:styleId="SaludoCar">
    <w:name w:val="Saludo Car"/>
    <w:basedOn w:val="Fuentedeprrafopredeter"/>
    <w:link w:val="Saludo"/>
    <w:uiPriority w:val="99"/>
    <w:rsid w:val="003A6014"/>
  </w:style>
  <w:style w:type="paragraph" w:styleId="Continuarlista">
    <w:name w:val="List Continue"/>
    <w:basedOn w:val="Normal"/>
    <w:uiPriority w:val="99"/>
    <w:unhideWhenUsed/>
    <w:rsid w:val="003A6014"/>
    <w:pPr>
      <w:ind w:left="283"/>
      <w:contextualSpacing/>
    </w:pPr>
  </w:style>
  <w:style w:type="paragraph" w:styleId="Sangradetextonormal">
    <w:name w:val="Body Text Indent"/>
    <w:basedOn w:val="Normal"/>
    <w:link w:val="SangradetextonormalCar"/>
    <w:uiPriority w:val="99"/>
    <w:unhideWhenUsed/>
    <w:rsid w:val="003A6014"/>
    <w:pPr>
      <w:ind w:left="283"/>
    </w:pPr>
  </w:style>
  <w:style w:type="character" w:customStyle="1" w:styleId="SangradetextonormalCar">
    <w:name w:val="Sangría de texto normal Car"/>
    <w:basedOn w:val="Fuentedeprrafopredeter"/>
    <w:link w:val="Sangradetextonormal"/>
    <w:uiPriority w:val="99"/>
    <w:rsid w:val="003A6014"/>
  </w:style>
  <w:style w:type="paragraph" w:styleId="Textoindependienteprimerasangra2">
    <w:name w:val="Body Text First Indent 2"/>
    <w:basedOn w:val="Sangradetextonormal"/>
    <w:link w:val="Textoindependienteprimerasangra2Car"/>
    <w:uiPriority w:val="99"/>
    <w:unhideWhenUsed/>
    <w:rsid w:val="003A601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6014"/>
  </w:style>
  <w:style w:type="character" w:customStyle="1" w:styleId="Ttulo1Car">
    <w:name w:val="Título 1 Car"/>
    <w:basedOn w:val="Fuentedeprrafopredeter"/>
    <w:link w:val="Ttulo1"/>
    <w:uiPriority w:val="9"/>
    <w:rsid w:val="007A76A9"/>
    <w:rPr>
      <w:rFonts w:asciiTheme="majorHAnsi" w:hAnsiTheme="majorHAnsi"/>
      <w:b/>
      <w:sz w:val="32"/>
      <w:szCs w:val="48"/>
    </w:rPr>
  </w:style>
  <w:style w:type="paragraph" w:customStyle="1" w:styleId="cuadros">
    <w:name w:val="cuadros"/>
    <w:basedOn w:val="Normal"/>
    <w:uiPriority w:val="99"/>
    <w:qFormat/>
    <w:rsid w:val="009626ED"/>
    <w:pPr>
      <w:widowControl/>
    </w:pPr>
    <w:rPr>
      <w:rFonts w:asciiTheme="minorHAnsi" w:eastAsia="MS Mincho" w:hAnsiTheme="minorHAnsi" w:cs="Arial"/>
      <w:bCs/>
      <w:sz w:val="18"/>
      <w:szCs w:val="22"/>
      <w:lang w:val="es-EC"/>
    </w:rPr>
  </w:style>
  <w:style w:type="paragraph" w:styleId="Revisin">
    <w:name w:val="Revision"/>
    <w:hidden/>
    <w:uiPriority w:val="99"/>
    <w:semiHidden/>
    <w:rsid w:val="00CD4F27"/>
    <w:pPr>
      <w:widowControl/>
    </w:pPr>
  </w:style>
  <w:style w:type="character" w:customStyle="1" w:styleId="Ttulo2Car">
    <w:name w:val="Título 2 Car"/>
    <w:basedOn w:val="Fuentedeprrafopredeter"/>
    <w:link w:val="Ttulo2"/>
    <w:uiPriority w:val="9"/>
    <w:rsid w:val="0072757A"/>
    <w:rPr>
      <w:rFonts w:asciiTheme="majorHAnsi" w:hAnsiTheme="majorHAnsi"/>
      <w:b/>
      <w:sz w:val="28"/>
      <w:szCs w:val="36"/>
    </w:rPr>
  </w:style>
  <w:style w:type="character" w:styleId="Textoennegrita">
    <w:name w:val="Strong"/>
    <w:basedOn w:val="Fuentedeprrafopredeter"/>
    <w:uiPriority w:val="22"/>
    <w:qFormat/>
    <w:rsid w:val="00385B3B"/>
    <w:rPr>
      <w:b/>
      <w:bCs/>
    </w:rPr>
  </w:style>
  <w:style w:type="paragraph" w:styleId="Lista5">
    <w:name w:val="List 5"/>
    <w:basedOn w:val="Normal"/>
    <w:uiPriority w:val="99"/>
    <w:unhideWhenUsed/>
    <w:rsid w:val="00B618A5"/>
    <w:pPr>
      <w:ind w:left="1415" w:hanging="283"/>
      <w:contextualSpacing/>
    </w:pPr>
  </w:style>
  <w:style w:type="paragraph" w:styleId="Listaconvietas2">
    <w:name w:val="List Bullet 2"/>
    <w:basedOn w:val="Normal"/>
    <w:uiPriority w:val="99"/>
    <w:unhideWhenUsed/>
    <w:rsid w:val="00B618A5"/>
    <w:pPr>
      <w:numPr>
        <w:numId w:val="124"/>
      </w:numPr>
      <w:contextualSpacing/>
    </w:pPr>
  </w:style>
  <w:style w:type="paragraph" w:styleId="Continuarlista2">
    <w:name w:val="List Continue 2"/>
    <w:basedOn w:val="Normal"/>
    <w:uiPriority w:val="99"/>
    <w:unhideWhenUsed/>
    <w:rsid w:val="00B618A5"/>
    <w:pPr>
      <w:ind w:left="566"/>
      <w:contextualSpacing/>
    </w:pPr>
  </w:style>
  <w:style w:type="paragraph" w:styleId="Textoindependienteprimerasangra">
    <w:name w:val="Body Text First Indent"/>
    <w:basedOn w:val="Textoindependiente"/>
    <w:link w:val="TextoindependienteprimerasangraCar"/>
    <w:uiPriority w:val="99"/>
    <w:unhideWhenUsed/>
    <w:rsid w:val="00B618A5"/>
    <w:pPr>
      <w:widowControl w:val="0"/>
      <w:spacing w:line="240" w:lineRule="auto"/>
      <w:ind w:firstLine="360"/>
    </w:pPr>
    <w:rPr>
      <w:rFonts w:ascii="Arimo" w:eastAsia="Arimo" w:hAnsi="Arimo" w:cs="Arimo"/>
      <w:sz w:val="24"/>
      <w:szCs w:val="24"/>
      <w:lang w:val="es-ES"/>
    </w:rPr>
  </w:style>
  <w:style w:type="character" w:customStyle="1" w:styleId="TextoindependienteprimerasangraCar">
    <w:name w:val="Texto independiente primera sangría Car"/>
    <w:basedOn w:val="TextoindependienteCar"/>
    <w:link w:val="Textoindependienteprimerasangra"/>
    <w:uiPriority w:val="99"/>
    <w:rsid w:val="00B618A5"/>
    <w:rPr>
      <w:rFonts w:asciiTheme="minorHAnsi" w:eastAsiaTheme="minorHAnsi" w:hAnsiTheme="minorHAnsi" w:cstheme="minorBidi"/>
      <w:sz w:val="22"/>
      <w:szCs w:val="2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76239">
      <w:bodyDiv w:val="1"/>
      <w:marLeft w:val="0"/>
      <w:marRight w:val="0"/>
      <w:marTop w:val="0"/>
      <w:marBottom w:val="0"/>
      <w:divBdr>
        <w:top w:val="none" w:sz="0" w:space="0" w:color="auto"/>
        <w:left w:val="none" w:sz="0" w:space="0" w:color="auto"/>
        <w:bottom w:val="none" w:sz="0" w:space="0" w:color="auto"/>
        <w:right w:val="none" w:sz="0" w:space="0" w:color="auto"/>
      </w:divBdr>
    </w:div>
    <w:div w:id="70389410">
      <w:bodyDiv w:val="1"/>
      <w:marLeft w:val="0"/>
      <w:marRight w:val="0"/>
      <w:marTop w:val="0"/>
      <w:marBottom w:val="0"/>
      <w:divBdr>
        <w:top w:val="none" w:sz="0" w:space="0" w:color="auto"/>
        <w:left w:val="none" w:sz="0" w:space="0" w:color="auto"/>
        <w:bottom w:val="none" w:sz="0" w:space="0" w:color="auto"/>
        <w:right w:val="none" w:sz="0" w:space="0" w:color="auto"/>
      </w:divBdr>
    </w:div>
    <w:div w:id="99226274">
      <w:bodyDiv w:val="1"/>
      <w:marLeft w:val="0"/>
      <w:marRight w:val="0"/>
      <w:marTop w:val="0"/>
      <w:marBottom w:val="0"/>
      <w:divBdr>
        <w:top w:val="none" w:sz="0" w:space="0" w:color="auto"/>
        <w:left w:val="none" w:sz="0" w:space="0" w:color="auto"/>
        <w:bottom w:val="none" w:sz="0" w:space="0" w:color="auto"/>
        <w:right w:val="none" w:sz="0" w:space="0" w:color="auto"/>
      </w:divBdr>
    </w:div>
    <w:div w:id="134758593">
      <w:bodyDiv w:val="1"/>
      <w:marLeft w:val="0"/>
      <w:marRight w:val="0"/>
      <w:marTop w:val="0"/>
      <w:marBottom w:val="0"/>
      <w:divBdr>
        <w:top w:val="none" w:sz="0" w:space="0" w:color="auto"/>
        <w:left w:val="none" w:sz="0" w:space="0" w:color="auto"/>
        <w:bottom w:val="none" w:sz="0" w:space="0" w:color="auto"/>
        <w:right w:val="none" w:sz="0" w:space="0" w:color="auto"/>
      </w:divBdr>
    </w:div>
    <w:div w:id="168064659">
      <w:bodyDiv w:val="1"/>
      <w:marLeft w:val="0"/>
      <w:marRight w:val="0"/>
      <w:marTop w:val="0"/>
      <w:marBottom w:val="0"/>
      <w:divBdr>
        <w:top w:val="none" w:sz="0" w:space="0" w:color="auto"/>
        <w:left w:val="none" w:sz="0" w:space="0" w:color="auto"/>
        <w:bottom w:val="none" w:sz="0" w:space="0" w:color="auto"/>
        <w:right w:val="none" w:sz="0" w:space="0" w:color="auto"/>
      </w:divBdr>
    </w:div>
    <w:div w:id="190849166">
      <w:bodyDiv w:val="1"/>
      <w:marLeft w:val="0"/>
      <w:marRight w:val="0"/>
      <w:marTop w:val="0"/>
      <w:marBottom w:val="0"/>
      <w:divBdr>
        <w:top w:val="none" w:sz="0" w:space="0" w:color="auto"/>
        <w:left w:val="none" w:sz="0" w:space="0" w:color="auto"/>
        <w:bottom w:val="none" w:sz="0" w:space="0" w:color="auto"/>
        <w:right w:val="none" w:sz="0" w:space="0" w:color="auto"/>
      </w:divBdr>
      <w:divsChild>
        <w:div w:id="1267269755">
          <w:marLeft w:val="0"/>
          <w:marRight w:val="0"/>
          <w:marTop w:val="0"/>
          <w:marBottom w:val="0"/>
          <w:divBdr>
            <w:top w:val="none" w:sz="0" w:space="0" w:color="auto"/>
            <w:left w:val="none" w:sz="0" w:space="0" w:color="auto"/>
            <w:bottom w:val="single" w:sz="6" w:space="0" w:color="F9FBFD"/>
            <w:right w:val="none" w:sz="0" w:space="0" w:color="auto"/>
          </w:divBdr>
          <w:divsChild>
            <w:div w:id="2072076633">
              <w:marLeft w:val="0"/>
              <w:marRight w:val="0"/>
              <w:marTop w:val="0"/>
              <w:marBottom w:val="0"/>
              <w:divBdr>
                <w:top w:val="none" w:sz="0" w:space="0" w:color="auto"/>
                <w:left w:val="none" w:sz="0" w:space="0" w:color="auto"/>
                <w:bottom w:val="none" w:sz="0" w:space="0" w:color="auto"/>
                <w:right w:val="none" w:sz="0" w:space="0" w:color="auto"/>
              </w:divBdr>
              <w:divsChild>
                <w:div w:id="1904639218">
                  <w:marLeft w:val="0"/>
                  <w:marRight w:val="0"/>
                  <w:marTop w:val="0"/>
                  <w:marBottom w:val="0"/>
                  <w:divBdr>
                    <w:top w:val="none" w:sz="0" w:space="0" w:color="auto"/>
                    <w:left w:val="none" w:sz="0" w:space="0" w:color="auto"/>
                    <w:bottom w:val="none" w:sz="0" w:space="0" w:color="auto"/>
                    <w:right w:val="none" w:sz="0" w:space="0" w:color="auto"/>
                  </w:divBdr>
                  <w:divsChild>
                    <w:div w:id="842092956">
                      <w:marLeft w:val="0"/>
                      <w:marRight w:val="0"/>
                      <w:marTop w:val="0"/>
                      <w:marBottom w:val="0"/>
                      <w:divBdr>
                        <w:top w:val="none" w:sz="0" w:space="0" w:color="auto"/>
                        <w:left w:val="none" w:sz="0" w:space="0" w:color="auto"/>
                        <w:bottom w:val="single" w:sz="6" w:space="0" w:color="C0C0C0"/>
                        <w:right w:val="none" w:sz="0" w:space="0" w:color="auto"/>
                      </w:divBdr>
                      <w:divsChild>
                        <w:div w:id="720711948">
                          <w:marLeft w:val="0"/>
                          <w:marRight w:val="0"/>
                          <w:marTop w:val="0"/>
                          <w:marBottom w:val="0"/>
                          <w:divBdr>
                            <w:top w:val="none" w:sz="0" w:space="0" w:color="auto"/>
                            <w:left w:val="none" w:sz="0" w:space="0" w:color="auto"/>
                            <w:bottom w:val="none" w:sz="0" w:space="0" w:color="auto"/>
                            <w:right w:val="none" w:sz="0" w:space="0" w:color="auto"/>
                          </w:divBdr>
                          <w:divsChild>
                            <w:div w:id="380327833">
                              <w:marLeft w:val="0"/>
                              <w:marRight w:val="0"/>
                              <w:marTop w:val="0"/>
                              <w:marBottom w:val="0"/>
                              <w:divBdr>
                                <w:top w:val="none" w:sz="0" w:space="0" w:color="auto"/>
                                <w:left w:val="none" w:sz="0" w:space="0" w:color="auto"/>
                                <w:bottom w:val="none" w:sz="0" w:space="0" w:color="auto"/>
                                <w:right w:val="none" w:sz="0" w:space="0" w:color="auto"/>
                              </w:divBdr>
                              <w:divsChild>
                                <w:div w:id="1549487213">
                                  <w:marLeft w:val="0"/>
                                  <w:marRight w:val="0"/>
                                  <w:marTop w:val="0"/>
                                  <w:marBottom w:val="0"/>
                                  <w:divBdr>
                                    <w:top w:val="none" w:sz="0" w:space="0" w:color="auto"/>
                                    <w:left w:val="none" w:sz="0" w:space="0" w:color="auto"/>
                                    <w:bottom w:val="none" w:sz="0" w:space="0" w:color="auto"/>
                                    <w:right w:val="none" w:sz="0" w:space="0" w:color="auto"/>
                                  </w:divBdr>
                                  <w:divsChild>
                                    <w:div w:id="8994853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74065">
      <w:bodyDiv w:val="1"/>
      <w:marLeft w:val="0"/>
      <w:marRight w:val="0"/>
      <w:marTop w:val="0"/>
      <w:marBottom w:val="0"/>
      <w:divBdr>
        <w:top w:val="none" w:sz="0" w:space="0" w:color="auto"/>
        <w:left w:val="none" w:sz="0" w:space="0" w:color="auto"/>
        <w:bottom w:val="none" w:sz="0" w:space="0" w:color="auto"/>
        <w:right w:val="none" w:sz="0" w:space="0" w:color="auto"/>
      </w:divBdr>
    </w:div>
    <w:div w:id="211498590">
      <w:bodyDiv w:val="1"/>
      <w:marLeft w:val="0"/>
      <w:marRight w:val="0"/>
      <w:marTop w:val="0"/>
      <w:marBottom w:val="0"/>
      <w:divBdr>
        <w:top w:val="none" w:sz="0" w:space="0" w:color="auto"/>
        <w:left w:val="none" w:sz="0" w:space="0" w:color="auto"/>
        <w:bottom w:val="none" w:sz="0" w:space="0" w:color="auto"/>
        <w:right w:val="none" w:sz="0" w:space="0" w:color="auto"/>
      </w:divBdr>
      <w:divsChild>
        <w:div w:id="1237328331">
          <w:marLeft w:val="0"/>
          <w:marRight w:val="0"/>
          <w:marTop w:val="0"/>
          <w:marBottom w:val="0"/>
          <w:divBdr>
            <w:top w:val="none" w:sz="0" w:space="0" w:color="auto"/>
            <w:left w:val="none" w:sz="0" w:space="0" w:color="auto"/>
            <w:bottom w:val="none" w:sz="0" w:space="0" w:color="auto"/>
            <w:right w:val="none" w:sz="0" w:space="0" w:color="auto"/>
          </w:divBdr>
          <w:divsChild>
            <w:div w:id="1068501481">
              <w:marLeft w:val="0"/>
              <w:marRight w:val="0"/>
              <w:marTop w:val="0"/>
              <w:marBottom w:val="0"/>
              <w:divBdr>
                <w:top w:val="none" w:sz="0" w:space="0" w:color="auto"/>
                <w:left w:val="none" w:sz="0" w:space="0" w:color="auto"/>
                <w:bottom w:val="none" w:sz="0" w:space="0" w:color="auto"/>
                <w:right w:val="none" w:sz="0" w:space="0" w:color="auto"/>
              </w:divBdr>
              <w:divsChild>
                <w:div w:id="48459832">
                  <w:marLeft w:val="0"/>
                  <w:marRight w:val="0"/>
                  <w:marTop w:val="0"/>
                  <w:marBottom w:val="0"/>
                  <w:divBdr>
                    <w:top w:val="none" w:sz="0" w:space="0" w:color="auto"/>
                    <w:left w:val="none" w:sz="0" w:space="0" w:color="auto"/>
                    <w:bottom w:val="none" w:sz="0" w:space="0" w:color="auto"/>
                    <w:right w:val="none" w:sz="0" w:space="0" w:color="auto"/>
                  </w:divBdr>
                  <w:divsChild>
                    <w:div w:id="4635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75999">
      <w:bodyDiv w:val="1"/>
      <w:marLeft w:val="0"/>
      <w:marRight w:val="0"/>
      <w:marTop w:val="0"/>
      <w:marBottom w:val="0"/>
      <w:divBdr>
        <w:top w:val="none" w:sz="0" w:space="0" w:color="auto"/>
        <w:left w:val="none" w:sz="0" w:space="0" w:color="auto"/>
        <w:bottom w:val="none" w:sz="0" w:space="0" w:color="auto"/>
        <w:right w:val="none" w:sz="0" w:space="0" w:color="auto"/>
      </w:divBdr>
    </w:div>
    <w:div w:id="294796405">
      <w:bodyDiv w:val="1"/>
      <w:marLeft w:val="0"/>
      <w:marRight w:val="0"/>
      <w:marTop w:val="0"/>
      <w:marBottom w:val="0"/>
      <w:divBdr>
        <w:top w:val="none" w:sz="0" w:space="0" w:color="auto"/>
        <w:left w:val="none" w:sz="0" w:space="0" w:color="auto"/>
        <w:bottom w:val="none" w:sz="0" w:space="0" w:color="auto"/>
        <w:right w:val="none" w:sz="0" w:space="0" w:color="auto"/>
      </w:divBdr>
      <w:divsChild>
        <w:div w:id="1332752404">
          <w:marLeft w:val="-687"/>
          <w:marRight w:val="0"/>
          <w:marTop w:val="0"/>
          <w:marBottom w:val="0"/>
          <w:divBdr>
            <w:top w:val="none" w:sz="0" w:space="0" w:color="auto"/>
            <w:left w:val="none" w:sz="0" w:space="0" w:color="auto"/>
            <w:bottom w:val="none" w:sz="0" w:space="0" w:color="auto"/>
            <w:right w:val="none" w:sz="0" w:space="0" w:color="auto"/>
          </w:divBdr>
        </w:div>
      </w:divsChild>
    </w:div>
    <w:div w:id="410584188">
      <w:bodyDiv w:val="1"/>
      <w:marLeft w:val="0"/>
      <w:marRight w:val="0"/>
      <w:marTop w:val="0"/>
      <w:marBottom w:val="0"/>
      <w:divBdr>
        <w:top w:val="none" w:sz="0" w:space="0" w:color="auto"/>
        <w:left w:val="none" w:sz="0" w:space="0" w:color="auto"/>
        <w:bottom w:val="none" w:sz="0" w:space="0" w:color="auto"/>
        <w:right w:val="none" w:sz="0" w:space="0" w:color="auto"/>
      </w:divBdr>
    </w:div>
    <w:div w:id="468085787">
      <w:bodyDiv w:val="1"/>
      <w:marLeft w:val="0"/>
      <w:marRight w:val="0"/>
      <w:marTop w:val="0"/>
      <w:marBottom w:val="0"/>
      <w:divBdr>
        <w:top w:val="none" w:sz="0" w:space="0" w:color="auto"/>
        <w:left w:val="none" w:sz="0" w:space="0" w:color="auto"/>
        <w:bottom w:val="none" w:sz="0" w:space="0" w:color="auto"/>
        <w:right w:val="none" w:sz="0" w:space="0" w:color="auto"/>
      </w:divBdr>
    </w:div>
    <w:div w:id="489712869">
      <w:bodyDiv w:val="1"/>
      <w:marLeft w:val="0"/>
      <w:marRight w:val="0"/>
      <w:marTop w:val="0"/>
      <w:marBottom w:val="0"/>
      <w:divBdr>
        <w:top w:val="none" w:sz="0" w:space="0" w:color="auto"/>
        <w:left w:val="none" w:sz="0" w:space="0" w:color="auto"/>
        <w:bottom w:val="none" w:sz="0" w:space="0" w:color="auto"/>
        <w:right w:val="none" w:sz="0" w:space="0" w:color="auto"/>
      </w:divBdr>
    </w:div>
    <w:div w:id="496312413">
      <w:bodyDiv w:val="1"/>
      <w:marLeft w:val="0"/>
      <w:marRight w:val="0"/>
      <w:marTop w:val="0"/>
      <w:marBottom w:val="0"/>
      <w:divBdr>
        <w:top w:val="none" w:sz="0" w:space="0" w:color="auto"/>
        <w:left w:val="none" w:sz="0" w:space="0" w:color="auto"/>
        <w:bottom w:val="none" w:sz="0" w:space="0" w:color="auto"/>
        <w:right w:val="none" w:sz="0" w:space="0" w:color="auto"/>
      </w:divBdr>
      <w:divsChild>
        <w:div w:id="578906868">
          <w:marLeft w:val="90"/>
          <w:marRight w:val="90"/>
          <w:marTop w:val="30"/>
          <w:marBottom w:val="30"/>
          <w:divBdr>
            <w:top w:val="none" w:sz="0" w:space="0" w:color="auto"/>
            <w:left w:val="none" w:sz="0" w:space="0" w:color="auto"/>
            <w:bottom w:val="none" w:sz="0" w:space="0" w:color="auto"/>
            <w:right w:val="none" w:sz="0" w:space="0" w:color="auto"/>
          </w:divBdr>
        </w:div>
        <w:div w:id="119806685">
          <w:marLeft w:val="0"/>
          <w:marRight w:val="0"/>
          <w:marTop w:val="0"/>
          <w:marBottom w:val="0"/>
          <w:divBdr>
            <w:top w:val="none" w:sz="0" w:space="0" w:color="auto"/>
            <w:left w:val="none" w:sz="0" w:space="0" w:color="auto"/>
            <w:bottom w:val="single" w:sz="6" w:space="0" w:color="C0C0C0"/>
            <w:right w:val="none" w:sz="0" w:space="0" w:color="auto"/>
          </w:divBdr>
          <w:divsChild>
            <w:div w:id="2025279220">
              <w:marLeft w:val="0"/>
              <w:marRight w:val="0"/>
              <w:marTop w:val="0"/>
              <w:marBottom w:val="0"/>
              <w:divBdr>
                <w:top w:val="none" w:sz="0" w:space="0" w:color="auto"/>
                <w:left w:val="none" w:sz="0" w:space="0" w:color="auto"/>
                <w:bottom w:val="none" w:sz="0" w:space="0" w:color="auto"/>
                <w:right w:val="none" w:sz="0" w:space="0" w:color="auto"/>
              </w:divBdr>
              <w:divsChild>
                <w:div w:id="606811159">
                  <w:marLeft w:val="0"/>
                  <w:marRight w:val="0"/>
                  <w:marTop w:val="0"/>
                  <w:marBottom w:val="0"/>
                  <w:divBdr>
                    <w:top w:val="none" w:sz="0" w:space="0" w:color="auto"/>
                    <w:left w:val="none" w:sz="0" w:space="0" w:color="auto"/>
                    <w:bottom w:val="none" w:sz="0" w:space="0" w:color="auto"/>
                    <w:right w:val="none" w:sz="0" w:space="0" w:color="auto"/>
                  </w:divBdr>
                  <w:divsChild>
                    <w:div w:id="2073038780">
                      <w:marLeft w:val="0"/>
                      <w:marRight w:val="0"/>
                      <w:marTop w:val="0"/>
                      <w:marBottom w:val="0"/>
                      <w:divBdr>
                        <w:top w:val="none" w:sz="0" w:space="0" w:color="auto"/>
                        <w:left w:val="none" w:sz="0" w:space="0" w:color="auto"/>
                        <w:bottom w:val="none" w:sz="0" w:space="0" w:color="auto"/>
                        <w:right w:val="none" w:sz="0" w:space="0" w:color="auto"/>
                      </w:divBdr>
                      <w:divsChild>
                        <w:div w:id="11135488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771557">
      <w:bodyDiv w:val="1"/>
      <w:marLeft w:val="0"/>
      <w:marRight w:val="0"/>
      <w:marTop w:val="0"/>
      <w:marBottom w:val="0"/>
      <w:divBdr>
        <w:top w:val="none" w:sz="0" w:space="0" w:color="auto"/>
        <w:left w:val="none" w:sz="0" w:space="0" w:color="auto"/>
        <w:bottom w:val="none" w:sz="0" w:space="0" w:color="auto"/>
        <w:right w:val="none" w:sz="0" w:space="0" w:color="auto"/>
      </w:divBdr>
    </w:div>
    <w:div w:id="537668168">
      <w:bodyDiv w:val="1"/>
      <w:marLeft w:val="0"/>
      <w:marRight w:val="0"/>
      <w:marTop w:val="0"/>
      <w:marBottom w:val="0"/>
      <w:divBdr>
        <w:top w:val="none" w:sz="0" w:space="0" w:color="auto"/>
        <w:left w:val="none" w:sz="0" w:space="0" w:color="auto"/>
        <w:bottom w:val="none" w:sz="0" w:space="0" w:color="auto"/>
        <w:right w:val="none" w:sz="0" w:space="0" w:color="auto"/>
      </w:divBdr>
    </w:div>
    <w:div w:id="578756098">
      <w:bodyDiv w:val="1"/>
      <w:marLeft w:val="0"/>
      <w:marRight w:val="0"/>
      <w:marTop w:val="0"/>
      <w:marBottom w:val="0"/>
      <w:divBdr>
        <w:top w:val="none" w:sz="0" w:space="0" w:color="auto"/>
        <w:left w:val="none" w:sz="0" w:space="0" w:color="auto"/>
        <w:bottom w:val="none" w:sz="0" w:space="0" w:color="auto"/>
        <w:right w:val="none" w:sz="0" w:space="0" w:color="auto"/>
      </w:divBdr>
      <w:divsChild>
        <w:div w:id="690254857">
          <w:marLeft w:val="0"/>
          <w:marRight w:val="0"/>
          <w:marTop w:val="0"/>
          <w:marBottom w:val="0"/>
          <w:divBdr>
            <w:top w:val="none" w:sz="0" w:space="0" w:color="auto"/>
            <w:left w:val="none" w:sz="0" w:space="0" w:color="auto"/>
            <w:bottom w:val="none" w:sz="0" w:space="0" w:color="auto"/>
            <w:right w:val="none" w:sz="0" w:space="0" w:color="auto"/>
          </w:divBdr>
          <w:divsChild>
            <w:div w:id="1402949919">
              <w:marLeft w:val="0"/>
              <w:marRight w:val="0"/>
              <w:marTop w:val="0"/>
              <w:marBottom w:val="0"/>
              <w:divBdr>
                <w:top w:val="none" w:sz="0" w:space="0" w:color="auto"/>
                <w:left w:val="none" w:sz="0" w:space="0" w:color="auto"/>
                <w:bottom w:val="none" w:sz="0" w:space="0" w:color="auto"/>
                <w:right w:val="none" w:sz="0" w:space="0" w:color="auto"/>
              </w:divBdr>
              <w:divsChild>
                <w:div w:id="1073969699">
                  <w:marLeft w:val="0"/>
                  <w:marRight w:val="0"/>
                  <w:marTop w:val="0"/>
                  <w:marBottom w:val="0"/>
                  <w:divBdr>
                    <w:top w:val="none" w:sz="0" w:space="0" w:color="auto"/>
                    <w:left w:val="none" w:sz="0" w:space="0" w:color="auto"/>
                    <w:bottom w:val="none" w:sz="0" w:space="0" w:color="auto"/>
                    <w:right w:val="none" w:sz="0" w:space="0" w:color="auto"/>
                  </w:divBdr>
                  <w:divsChild>
                    <w:div w:id="155001593">
                      <w:marLeft w:val="0"/>
                      <w:marRight w:val="0"/>
                      <w:marTop w:val="0"/>
                      <w:marBottom w:val="0"/>
                      <w:divBdr>
                        <w:top w:val="none" w:sz="0" w:space="0" w:color="auto"/>
                        <w:left w:val="none" w:sz="0" w:space="0" w:color="auto"/>
                        <w:bottom w:val="none" w:sz="0" w:space="0" w:color="auto"/>
                        <w:right w:val="none" w:sz="0" w:space="0" w:color="auto"/>
                      </w:divBdr>
                      <w:divsChild>
                        <w:div w:id="105739689">
                          <w:marLeft w:val="0"/>
                          <w:marRight w:val="0"/>
                          <w:marTop w:val="0"/>
                          <w:marBottom w:val="0"/>
                          <w:divBdr>
                            <w:top w:val="none" w:sz="0" w:space="0" w:color="auto"/>
                            <w:left w:val="none" w:sz="0" w:space="0" w:color="auto"/>
                            <w:bottom w:val="none" w:sz="0" w:space="0" w:color="auto"/>
                            <w:right w:val="none" w:sz="0" w:space="0" w:color="auto"/>
                          </w:divBdr>
                          <w:divsChild>
                            <w:div w:id="664742148">
                              <w:marLeft w:val="0"/>
                              <w:marRight w:val="0"/>
                              <w:marTop w:val="0"/>
                              <w:marBottom w:val="0"/>
                              <w:divBdr>
                                <w:top w:val="none" w:sz="0" w:space="0" w:color="auto"/>
                                <w:left w:val="none" w:sz="0" w:space="0" w:color="auto"/>
                                <w:bottom w:val="none" w:sz="0" w:space="0" w:color="auto"/>
                                <w:right w:val="none" w:sz="0" w:space="0" w:color="auto"/>
                              </w:divBdr>
                              <w:divsChild>
                                <w:div w:id="37778888">
                                  <w:marLeft w:val="0"/>
                                  <w:marRight w:val="0"/>
                                  <w:marTop w:val="0"/>
                                  <w:marBottom w:val="0"/>
                                  <w:divBdr>
                                    <w:top w:val="none" w:sz="0" w:space="0" w:color="auto"/>
                                    <w:left w:val="none" w:sz="0" w:space="0" w:color="auto"/>
                                    <w:bottom w:val="none" w:sz="0" w:space="0" w:color="auto"/>
                                    <w:right w:val="none" w:sz="0" w:space="0" w:color="auto"/>
                                  </w:divBdr>
                                  <w:divsChild>
                                    <w:div w:id="1555387588">
                                      <w:marLeft w:val="0"/>
                                      <w:marRight w:val="0"/>
                                      <w:marTop w:val="0"/>
                                      <w:marBottom w:val="0"/>
                                      <w:divBdr>
                                        <w:top w:val="none" w:sz="0" w:space="0" w:color="auto"/>
                                        <w:left w:val="none" w:sz="0" w:space="0" w:color="auto"/>
                                        <w:bottom w:val="none" w:sz="0" w:space="0" w:color="auto"/>
                                        <w:right w:val="none" w:sz="0" w:space="0" w:color="auto"/>
                                      </w:divBdr>
                                      <w:divsChild>
                                        <w:div w:id="766852564">
                                          <w:marLeft w:val="0"/>
                                          <w:marRight w:val="0"/>
                                          <w:marTop w:val="0"/>
                                          <w:marBottom w:val="0"/>
                                          <w:divBdr>
                                            <w:top w:val="none" w:sz="0" w:space="0" w:color="auto"/>
                                            <w:left w:val="none" w:sz="0" w:space="0" w:color="auto"/>
                                            <w:bottom w:val="none" w:sz="0" w:space="0" w:color="auto"/>
                                            <w:right w:val="none" w:sz="0" w:space="0" w:color="auto"/>
                                          </w:divBdr>
                                        </w:div>
                                        <w:div w:id="2063482436">
                                          <w:marLeft w:val="0"/>
                                          <w:marRight w:val="0"/>
                                          <w:marTop w:val="0"/>
                                          <w:marBottom w:val="0"/>
                                          <w:divBdr>
                                            <w:top w:val="none" w:sz="0" w:space="0" w:color="auto"/>
                                            <w:left w:val="none" w:sz="0" w:space="0" w:color="auto"/>
                                            <w:bottom w:val="none" w:sz="0" w:space="0" w:color="auto"/>
                                            <w:right w:val="none" w:sz="0" w:space="0" w:color="auto"/>
                                          </w:divBdr>
                                          <w:divsChild>
                                            <w:div w:id="823812997">
                                              <w:marLeft w:val="0"/>
                                              <w:marRight w:val="0"/>
                                              <w:marTop w:val="0"/>
                                              <w:marBottom w:val="0"/>
                                              <w:divBdr>
                                                <w:top w:val="none" w:sz="0" w:space="0" w:color="auto"/>
                                                <w:left w:val="none" w:sz="0" w:space="0" w:color="auto"/>
                                                <w:bottom w:val="none" w:sz="0" w:space="0" w:color="auto"/>
                                                <w:right w:val="none" w:sz="0" w:space="0" w:color="auto"/>
                                              </w:divBdr>
                                              <w:divsChild>
                                                <w:div w:id="1641184733">
                                                  <w:marLeft w:val="0"/>
                                                  <w:marRight w:val="0"/>
                                                  <w:marTop w:val="0"/>
                                                  <w:marBottom w:val="0"/>
                                                  <w:divBdr>
                                                    <w:top w:val="none" w:sz="0" w:space="0" w:color="auto"/>
                                                    <w:left w:val="none" w:sz="0" w:space="0" w:color="auto"/>
                                                    <w:bottom w:val="none" w:sz="0" w:space="0" w:color="auto"/>
                                                    <w:right w:val="none" w:sz="0" w:space="0" w:color="auto"/>
                                                  </w:divBdr>
                                                  <w:divsChild>
                                                    <w:div w:id="1866291485">
                                                      <w:marLeft w:val="2"/>
                                                      <w:marRight w:val="0"/>
                                                      <w:marTop w:val="0"/>
                                                      <w:marBottom w:val="0"/>
                                                      <w:divBdr>
                                                        <w:top w:val="single" w:sz="6" w:space="0" w:color="284E3F"/>
                                                        <w:left w:val="single" w:sz="6" w:space="0" w:color="284E3F"/>
                                                        <w:bottom w:val="single" w:sz="6" w:space="0" w:color="284E3F"/>
                                                        <w:right w:val="single" w:sz="6" w:space="0" w:color="284E3F"/>
                                                      </w:divBdr>
                                                      <w:divsChild>
                                                        <w:div w:id="863784575">
                                                          <w:marLeft w:val="0"/>
                                                          <w:marRight w:val="0"/>
                                                          <w:marTop w:val="0"/>
                                                          <w:marBottom w:val="0"/>
                                                          <w:divBdr>
                                                            <w:top w:val="none" w:sz="0" w:space="0" w:color="auto"/>
                                                            <w:left w:val="none" w:sz="0" w:space="0" w:color="auto"/>
                                                            <w:bottom w:val="none" w:sz="0" w:space="0" w:color="auto"/>
                                                            <w:right w:val="none" w:sz="0" w:space="0" w:color="auto"/>
                                                          </w:divBdr>
                                                          <w:divsChild>
                                                            <w:div w:id="1013610779">
                                                              <w:marLeft w:val="0"/>
                                                              <w:marRight w:val="0"/>
                                                              <w:marTop w:val="0"/>
                                                              <w:marBottom w:val="0"/>
                                                              <w:divBdr>
                                                                <w:top w:val="none" w:sz="0" w:space="0" w:color="auto"/>
                                                                <w:left w:val="none" w:sz="0" w:space="0" w:color="auto"/>
                                                                <w:bottom w:val="none" w:sz="0" w:space="0" w:color="auto"/>
                                                                <w:right w:val="none" w:sz="0" w:space="0" w:color="auto"/>
                                                              </w:divBdr>
                                                              <w:divsChild>
                                                                <w:div w:id="39013716">
                                                                  <w:marLeft w:val="0"/>
                                                                  <w:marRight w:val="0"/>
                                                                  <w:marTop w:val="0"/>
                                                                  <w:marBottom w:val="0"/>
                                                                  <w:divBdr>
                                                                    <w:top w:val="none" w:sz="0" w:space="0" w:color="auto"/>
                                                                    <w:left w:val="none" w:sz="0" w:space="0" w:color="auto"/>
                                                                    <w:bottom w:val="none" w:sz="0" w:space="0" w:color="auto"/>
                                                                    <w:right w:val="none" w:sz="0" w:space="0" w:color="auto"/>
                                                                  </w:divBdr>
                                                                  <w:divsChild>
                                                                    <w:div w:id="795099137">
                                                                      <w:marLeft w:val="0"/>
                                                                      <w:marRight w:val="0"/>
                                                                      <w:marTop w:val="0"/>
                                                                      <w:marBottom w:val="0"/>
                                                                      <w:divBdr>
                                                                        <w:top w:val="none" w:sz="0" w:space="0" w:color="auto"/>
                                                                        <w:left w:val="none" w:sz="0" w:space="0" w:color="auto"/>
                                                                        <w:bottom w:val="none" w:sz="0" w:space="0" w:color="auto"/>
                                                                        <w:right w:val="none" w:sz="0" w:space="0" w:color="auto"/>
                                                                      </w:divBdr>
                                                                      <w:divsChild>
                                                                        <w:div w:id="19392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04955">
                  <w:marLeft w:val="0"/>
                  <w:marRight w:val="0"/>
                  <w:marTop w:val="0"/>
                  <w:marBottom w:val="0"/>
                  <w:divBdr>
                    <w:top w:val="none" w:sz="0" w:space="0" w:color="auto"/>
                    <w:left w:val="none" w:sz="0" w:space="0" w:color="auto"/>
                    <w:bottom w:val="none" w:sz="0" w:space="0" w:color="auto"/>
                    <w:right w:val="none" w:sz="0" w:space="0" w:color="auto"/>
                  </w:divBdr>
                  <w:divsChild>
                    <w:div w:id="155272613">
                      <w:marLeft w:val="0"/>
                      <w:marRight w:val="0"/>
                      <w:marTop w:val="0"/>
                      <w:marBottom w:val="0"/>
                      <w:divBdr>
                        <w:top w:val="none" w:sz="0" w:space="0" w:color="auto"/>
                        <w:left w:val="none" w:sz="0" w:space="0" w:color="auto"/>
                        <w:bottom w:val="none" w:sz="0" w:space="0" w:color="auto"/>
                        <w:right w:val="none" w:sz="0" w:space="0" w:color="auto"/>
                      </w:divBdr>
                      <w:divsChild>
                        <w:div w:id="899824834">
                          <w:marLeft w:val="0"/>
                          <w:marRight w:val="0"/>
                          <w:marTop w:val="0"/>
                          <w:marBottom w:val="0"/>
                          <w:divBdr>
                            <w:top w:val="none" w:sz="0" w:space="0" w:color="auto"/>
                            <w:left w:val="none" w:sz="0" w:space="0" w:color="auto"/>
                            <w:bottom w:val="none" w:sz="0" w:space="0" w:color="auto"/>
                            <w:right w:val="none" w:sz="0" w:space="0" w:color="auto"/>
                          </w:divBdr>
                          <w:divsChild>
                            <w:div w:id="2091155236">
                              <w:marLeft w:val="30"/>
                              <w:marRight w:val="30"/>
                              <w:marTop w:val="0"/>
                              <w:marBottom w:val="30"/>
                              <w:divBdr>
                                <w:top w:val="none" w:sz="0" w:space="0" w:color="auto"/>
                                <w:left w:val="none" w:sz="0" w:space="0" w:color="auto"/>
                                <w:bottom w:val="none" w:sz="0" w:space="0" w:color="auto"/>
                                <w:right w:val="none" w:sz="0" w:space="0" w:color="auto"/>
                              </w:divBdr>
                              <w:divsChild>
                                <w:div w:id="1007486986">
                                  <w:marLeft w:val="0"/>
                                  <w:marRight w:val="-15"/>
                                  <w:marTop w:val="0"/>
                                  <w:marBottom w:val="30"/>
                                  <w:divBdr>
                                    <w:top w:val="single" w:sz="6" w:space="0" w:color="E1E9F7"/>
                                    <w:left w:val="single" w:sz="6" w:space="8" w:color="E1E9F7"/>
                                    <w:bottom w:val="none" w:sz="0" w:space="0" w:color="auto"/>
                                    <w:right w:val="single" w:sz="6" w:space="4" w:color="E1E9F7"/>
                                  </w:divBdr>
                                  <w:divsChild>
                                    <w:div w:id="355349746">
                                      <w:marLeft w:val="-15"/>
                                      <w:marRight w:val="-15"/>
                                      <w:marTop w:val="0"/>
                                      <w:marBottom w:val="0"/>
                                      <w:divBdr>
                                        <w:top w:val="none" w:sz="0" w:space="0" w:color="D8D8D8"/>
                                        <w:left w:val="none" w:sz="0" w:space="0" w:color="D8D8D8"/>
                                        <w:bottom w:val="none" w:sz="0" w:space="0" w:color="D8D8D8"/>
                                        <w:right w:val="none" w:sz="0" w:space="0" w:color="D8D8D8"/>
                                      </w:divBdr>
                                      <w:divsChild>
                                        <w:div w:id="1705711408">
                                          <w:marLeft w:val="0"/>
                                          <w:marRight w:val="0"/>
                                          <w:marTop w:val="0"/>
                                          <w:marBottom w:val="0"/>
                                          <w:divBdr>
                                            <w:top w:val="none" w:sz="0" w:space="0" w:color="auto"/>
                                            <w:left w:val="none" w:sz="0" w:space="0" w:color="auto"/>
                                            <w:bottom w:val="none" w:sz="0" w:space="0" w:color="auto"/>
                                            <w:right w:val="none" w:sz="0" w:space="0" w:color="auto"/>
                                          </w:divBdr>
                                          <w:divsChild>
                                            <w:div w:id="8847527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28340558">
                                  <w:marLeft w:val="0"/>
                                  <w:marRight w:val="-15"/>
                                  <w:marTop w:val="0"/>
                                  <w:marBottom w:val="30"/>
                                  <w:divBdr>
                                    <w:top w:val="single" w:sz="6" w:space="0" w:color="F9FBFD"/>
                                    <w:left w:val="single" w:sz="6" w:space="9" w:color="F9FBFD"/>
                                    <w:bottom w:val="none" w:sz="0" w:space="0" w:color="auto"/>
                                    <w:right w:val="single" w:sz="6" w:space="5" w:color="F9FBFD"/>
                                  </w:divBdr>
                                  <w:divsChild>
                                    <w:div w:id="1798454339">
                                      <w:marLeft w:val="-15"/>
                                      <w:marRight w:val="-15"/>
                                      <w:marTop w:val="0"/>
                                      <w:marBottom w:val="0"/>
                                      <w:divBdr>
                                        <w:top w:val="none" w:sz="0" w:space="0" w:color="E4E4E4"/>
                                        <w:left w:val="none" w:sz="0" w:space="0" w:color="E4E4E4"/>
                                        <w:bottom w:val="none" w:sz="0" w:space="0" w:color="E4E4E4"/>
                                        <w:right w:val="none" w:sz="0" w:space="0" w:color="E4E4E4"/>
                                      </w:divBdr>
                                      <w:divsChild>
                                        <w:div w:id="52657791">
                                          <w:marLeft w:val="0"/>
                                          <w:marRight w:val="0"/>
                                          <w:marTop w:val="0"/>
                                          <w:marBottom w:val="0"/>
                                          <w:divBdr>
                                            <w:top w:val="none" w:sz="0" w:space="0" w:color="auto"/>
                                            <w:left w:val="none" w:sz="0" w:space="0" w:color="auto"/>
                                            <w:bottom w:val="none" w:sz="0" w:space="0" w:color="auto"/>
                                            <w:right w:val="none" w:sz="0" w:space="0" w:color="auto"/>
                                          </w:divBdr>
                                          <w:divsChild>
                                            <w:div w:id="19788029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28147110">
                                  <w:marLeft w:val="0"/>
                                  <w:marRight w:val="-15"/>
                                  <w:marTop w:val="0"/>
                                  <w:marBottom w:val="30"/>
                                  <w:divBdr>
                                    <w:top w:val="single" w:sz="6" w:space="0" w:color="F9FBFD"/>
                                    <w:left w:val="single" w:sz="6" w:space="9" w:color="F9FBFD"/>
                                    <w:bottom w:val="none" w:sz="0" w:space="0" w:color="auto"/>
                                    <w:right w:val="single" w:sz="6" w:space="5" w:color="F9FBFD"/>
                                  </w:divBdr>
                                  <w:divsChild>
                                    <w:div w:id="745031487">
                                      <w:marLeft w:val="-15"/>
                                      <w:marRight w:val="-15"/>
                                      <w:marTop w:val="0"/>
                                      <w:marBottom w:val="0"/>
                                      <w:divBdr>
                                        <w:top w:val="none" w:sz="0" w:space="0" w:color="E4E4E4"/>
                                        <w:left w:val="none" w:sz="0" w:space="0" w:color="E4E4E4"/>
                                        <w:bottom w:val="none" w:sz="0" w:space="0" w:color="E4E4E4"/>
                                        <w:right w:val="none" w:sz="0" w:space="0" w:color="E4E4E4"/>
                                      </w:divBdr>
                                      <w:divsChild>
                                        <w:div w:id="98448449">
                                          <w:marLeft w:val="0"/>
                                          <w:marRight w:val="0"/>
                                          <w:marTop w:val="0"/>
                                          <w:marBottom w:val="0"/>
                                          <w:divBdr>
                                            <w:top w:val="none" w:sz="0" w:space="0" w:color="auto"/>
                                            <w:left w:val="none" w:sz="0" w:space="0" w:color="auto"/>
                                            <w:bottom w:val="none" w:sz="0" w:space="0" w:color="auto"/>
                                            <w:right w:val="none" w:sz="0" w:space="0" w:color="auto"/>
                                          </w:divBdr>
                                          <w:divsChild>
                                            <w:div w:id="16050703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21830010">
                                  <w:marLeft w:val="0"/>
                                  <w:marRight w:val="-15"/>
                                  <w:marTop w:val="0"/>
                                  <w:marBottom w:val="30"/>
                                  <w:divBdr>
                                    <w:top w:val="single" w:sz="6" w:space="0" w:color="F9FBFD"/>
                                    <w:left w:val="single" w:sz="6" w:space="9" w:color="F9FBFD"/>
                                    <w:bottom w:val="none" w:sz="0" w:space="0" w:color="auto"/>
                                    <w:right w:val="single" w:sz="6" w:space="5" w:color="F9FBFD"/>
                                  </w:divBdr>
                                  <w:divsChild>
                                    <w:div w:id="2038390289">
                                      <w:marLeft w:val="-15"/>
                                      <w:marRight w:val="-15"/>
                                      <w:marTop w:val="0"/>
                                      <w:marBottom w:val="0"/>
                                      <w:divBdr>
                                        <w:top w:val="none" w:sz="0" w:space="0" w:color="E4E4E4"/>
                                        <w:left w:val="none" w:sz="0" w:space="0" w:color="E4E4E4"/>
                                        <w:bottom w:val="none" w:sz="0" w:space="0" w:color="E4E4E4"/>
                                        <w:right w:val="none" w:sz="0" w:space="0" w:color="E4E4E4"/>
                                      </w:divBdr>
                                      <w:divsChild>
                                        <w:div w:id="1824543626">
                                          <w:marLeft w:val="0"/>
                                          <w:marRight w:val="0"/>
                                          <w:marTop w:val="0"/>
                                          <w:marBottom w:val="0"/>
                                          <w:divBdr>
                                            <w:top w:val="none" w:sz="0" w:space="0" w:color="auto"/>
                                            <w:left w:val="none" w:sz="0" w:space="0" w:color="auto"/>
                                            <w:bottom w:val="none" w:sz="0" w:space="0" w:color="auto"/>
                                            <w:right w:val="none" w:sz="0" w:space="0" w:color="auto"/>
                                          </w:divBdr>
                                          <w:divsChild>
                                            <w:div w:id="56868707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19407545">
                                  <w:marLeft w:val="0"/>
                                  <w:marRight w:val="-15"/>
                                  <w:marTop w:val="0"/>
                                  <w:marBottom w:val="30"/>
                                  <w:divBdr>
                                    <w:top w:val="single" w:sz="6" w:space="0" w:color="F9FBFD"/>
                                    <w:left w:val="single" w:sz="6" w:space="9" w:color="F9FBFD"/>
                                    <w:bottom w:val="none" w:sz="0" w:space="0" w:color="auto"/>
                                    <w:right w:val="single" w:sz="6" w:space="5" w:color="F9FBFD"/>
                                  </w:divBdr>
                                  <w:divsChild>
                                    <w:div w:id="2118911451">
                                      <w:marLeft w:val="-15"/>
                                      <w:marRight w:val="-15"/>
                                      <w:marTop w:val="0"/>
                                      <w:marBottom w:val="0"/>
                                      <w:divBdr>
                                        <w:top w:val="none" w:sz="0" w:space="0" w:color="E4E4E4"/>
                                        <w:left w:val="none" w:sz="0" w:space="0" w:color="E4E4E4"/>
                                        <w:bottom w:val="none" w:sz="0" w:space="0" w:color="E4E4E4"/>
                                        <w:right w:val="none" w:sz="0" w:space="0" w:color="E4E4E4"/>
                                      </w:divBdr>
                                      <w:divsChild>
                                        <w:div w:id="1827279556">
                                          <w:marLeft w:val="0"/>
                                          <w:marRight w:val="0"/>
                                          <w:marTop w:val="0"/>
                                          <w:marBottom w:val="0"/>
                                          <w:divBdr>
                                            <w:top w:val="none" w:sz="0" w:space="0" w:color="auto"/>
                                            <w:left w:val="none" w:sz="0" w:space="0" w:color="auto"/>
                                            <w:bottom w:val="none" w:sz="0" w:space="0" w:color="auto"/>
                                            <w:right w:val="none" w:sz="0" w:space="0" w:color="auto"/>
                                          </w:divBdr>
                                          <w:divsChild>
                                            <w:div w:id="14598826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93457362">
                                  <w:marLeft w:val="0"/>
                                  <w:marRight w:val="-15"/>
                                  <w:marTop w:val="0"/>
                                  <w:marBottom w:val="30"/>
                                  <w:divBdr>
                                    <w:top w:val="single" w:sz="6" w:space="0" w:color="F9FBFD"/>
                                    <w:left w:val="single" w:sz="6" w:space="9" w:color="F9FBFD"/>
                                    <w:bottom w:val="none" w:sz="0" w:space="0" w:color="auto"/>
                                    <w:right w:val="single" w:sz="6" w:space="5" w:color="F9FBFD"/>
                                  </w:divBdr>
                                  <w:divsChild>
                                    <w:div w:id="1518933411">
                                      <w:marLeft w:val="-15"/>
                                      <w:marRight w:val="-15"/>
                                      <w:marTop w:val="0"/>
                                      <w:marBottom w:val="0"/>
                                      <w:divBdr>
                                        <w:top w:val="none" w:sz="0" w:space="0" w:color="E4E4E4"/>
                                        <w:left w:val="none" w:sz="0" w:space="0" w:color="E4E4E4"/>
                                        <w:bottom w:val="none" w:sz="0" w:space="0" w:color="E4E4E4"/>
                                        <w:right w:val="none" w:sz="0" w:space="0" w:color="E4E4E4"/>
                                      </w:divBdr>
                                      <w:divsChild>
                                        <w:div w:id="943654054">
                                          <w:marLeft w:val="0"/>
                                          <w:marRight w:val="0"/>
                                          <w:marTop w:val="0"/>
                                          <w:marBottom w:val="0"/>
                                          <w:divBdr>
                                            <w:top w:val="none" w:sz="0" w:space="0" w:color="auto"/>
                                            <w:left w:val="none" w:sz="0" w:space="0" w:color="auto"/>
                                            <w:bottom w:val="none" w:sz="0" w:space="0" w:color="auto"/>
                                            <w:right w:val="none" w:sz="0" w:space="0" w:color="auto"/>
                                          </w:divBdr>
                                          <w:divsChild>
                                            <w:div w:id="9746753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99267749">
                                  <w:marLeft w:val="0"/>
                                  <w:marRight w:val="-15"/>
                                  <w:marTop w:val="0"/>
                                  <w:marBottom w:val="30"/>
                                  <w:divBdr>
                                    <w:top w:val="single" w:sz="6" w:space="0" w:color="F9FBFD"/>
                                    <w:left w:val="single" w:sz="6" w:space="9" w:color="F9FBFD"/>
                                    <w:bottom w:val="none" w:sz="0" w:space="0" w:color="auto"/>
                                    <w:right w:val="single" w:sz="6" w:space="5" w:color="F9FBFD"/>
                                  </w:divBdr>
                                  <w:divsChild>
                                    <w:div w:id="1160972505">
                                      <w:marLeft w:val="-15"/>
                                      <w:marRight w:val="-15"/>
                                      <w:marTop w:val="0"/>
                                      <w:marBottom w:val="0"/>
                                      <w:divBdr>
                                        <w:top w:val="none" w:sz="0" w:space="0" w:color="E4E4E4"/>
                                        <w:left w:val="none" w:sz="0" w:space="0" w:color="E4E4E4"/>
                                        <w:bottom w:val="none" w:sz="0" w:space="0" w:color="E4E4E4"/>
                                        <w:right w:val="none" w:sz="0" w:space="0" w:color="E4E4E4"/>
                                      </w:divBdr>
                                      <w:divsChild>
                                        <w:div w:id="552009816">
                                          <w:marLeft w:val="0"/>
                                          <w:marRight w:val="0"/>
                                          <w:marTop w:val="0"/>
                                          <w:marBottom w:val="0"/>
                                          <w:divBdr>
                                            <w:top w:val="none" w:sz="0" w:space="0" w:color="auto"/>
                                            <w:left w:val="none" w:sz="0" w:space="0" w:color="auto"/>
                                            <w:bottom w:val="none" w:sz="0" w:space="0" w:color="auto"/>
                                            <w:right w:val="none" w:sz="0" w:space="0" w:color="auto"/>
                                          </w:divBdr>
                                          <w:divsChild>
                                            <w:div w:id="20444015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46864005">
                                  <w:marLeft w:val="0"/>
                                  <w:marRight w:val="-15"/>
                                  <w:marTop w:val="0"/>
                                  <w:marBottom w:val="30"/>
                                  <w:divBdr>
                                    <w:top w:val="single" w:sz="6" w:space="0" w:color="F9FBFD"/>
                                    <w:left w:val="single" w:sz="6" w:space="9" w:color="F9FBFD"/>
                                    <w:bottom w:val="none" w:sz="0" w:space="0" w:color="auto"/>
                                    <w:right w:val="single" w:sz="6" w:space="5" w:color="F9FBFD"/>
                                  </w:divBdr>
                                  <w:divsChild>
                                    <w:div w:id="867333146">
                                      <w:marLeft w:val="-15"/>
                                      <w:marRight w:val="-15"/>
                                      <w:marTop w:val="0"/>
                                      <w:marBottom w:val="0"/>
                                      <w:divBdr>
                                        <w:top w:val="none" w:sz="0" w:space="0" w:color="E4E4E4"/>
                                        <w:left w:val="none" w:sz="0" w:space="0" w:color="E4E4E4"/>
                                        <w:bottom w:val="none" w:sz="0" w:space="0" w:color="E4E4E4"/>
                                        <w:right w:val="none" w:sz="0" w:space="0" w:color="E4E4E4"/>
                                      </w:divBdr>
                                      <w:divsChild>
                                        <w:div w:id="1002508484">
                                          <w:marLeft w:val="0"/>
                                          <w:marRight w:val="0"/>
                                          <w:marTop w:val="0"/>
                                          <w:marBottom w:val="0"/>
                                          <w:divBdr>
                                            <w:top w:val="none" w:sz="0" w:space="0" w:color="auto"/>
                                            <w:left w:val="none" w:sz="0" w:space="0" w:color="auto"/>
                                            <w:bottom w:val="none" w:sz="0" w:space="0" w:color="auto"/>
                                            <w:right w:val="none" w:sz="0" w:space="0" w:color="auto"/>
                                          </w:divBdr>
                                          <w:divsChild>
                                            <w:div w:id="12076435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77924">
                                  <w:marLeft w:val="0"/>
                                  <w:marRight w:val="-15"/>
                                  <w:marTop w:val="0"/>
                                  <w:marBottom w:val="30"/>
                                  <w:divBdr>
                                    <w:top w:val="single" w:sz="6" w:space="0" w:color="F9FBFD"/>
                                    <w:left w:val="single" w:sz="6" w:space="9" w:color="F9FBFD"/>
                                    <w:bottom w:val="none" w:sz="0" w:space="0" w:color="auto"/>
                                    <w:right w:val="single" w:sz="6" w:space="5" w:color="F9FBFD"/>
                                  </w:divBdr>
                                  <w:divsChild>
                                    <w:div w:id="1530725843">
                                      <w:marLeft w:val="-15"/>
                                      <w:marRight w:val="-15"/>
                                      <w:marTop w:val="0"/>
                                      <w:marBottom w:val="0"/>
                                      <w:divBdr>
                                        <w:top w:val="none" w:sz="0" w:space="0" w:color="E4E4E4"/>
                                        <w:left w:val="none" w:sz="0" w:space="0" w:color="E4E4E4"/>
                                        <w:bottom w:val="none" w:sz="0" w:space="0" w:color="E4E4E4"/>
                                        <w:right w:val="none" w:sz="0" w:space="0" w:color="E4E4E4"/>
                                      </w:divBdr>
                                      <w:divsChild>
                                        <w:div w:id="2123373922">
                                          <w:marLeft w:val="0"/>
                                          <w:marRight w:val="0"/>
                                          <w:marTop w:val="0"/>
                                          <w:marBottom w:val="0"/>
                                          <w:divBdr>
                                            <w:top w:val="none" w:sz="0" w:space="0" w:color="auto"/>
                                            <w:left w:val="none" w:sz="0" w:space="0" w:color="auto"/>
                                            <w:bottom w:val="none" w:sz="0" w:space="0" w:color="auto"/>
                                            <w:right w:val="none" w:sz="0" w:space="0" w:color="auto"/>
                                          </w:divBdr>
                                          <w:divsChild>
                                            <w:div w:id="782784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83073423">
                                  <w:marLeft w:val="0"/>
                                  <w:marRight w:val="-15"/>
                                  <w:marTop w:val="0"/>
                                  <w:marBottom w:val="30"/>
                                  <w:divBdr>
                                    <w:top w:val="single" w:sz="6" w:space="0" w:color="F9FBFD"/>
                                    <w:left w:val="single" w:sz="6" w:space="9" w:color="F9FBFD"/>
                                    <w:bottom w:val="none" w:sz="0" w:space="0" w:color="auto"/>
                                    <w:right w:val="single" w:sz="6" w:space="5" w:color="F9FBFD"/>
                                  </w:divBdr>
                                  <w:divsChild>
                                    <w:div w:id="1048339086">
                                      <w:marLeft w:val="-15"/>
                                      <w:marRight w:val="-15"/>
                                      <w:marTop w:val="0"/>
                                      <w:marBottom w:val="0"/>
                                      <w:divBdr>
                                        <w:top w:val="none" w:sz="0" w:space="0" w:color="E4E4E4"/>
                                        <w:left w:val="none" w:sz="0" w:space="0" w:color="E4E4E4"/>
                                        <w:bottom w:val="none" w:sz="0" w:space="0" w:color="E4E4E4"/>
                                        <w:right w:val="none" w:sz="0" w:space="0" w:color="E4E4E4"/>
                                      </w:divBdr>
                                      <w:divsChild>
                                        <w:div w:id="977540246">
                                          <w:marLeft w:val="0"/>
                                          <w:marRight w:val="0"/>
                                          <w:marTop w:val="0"/>
                                          <w:marBottom w:val="0"/>
                                          <w:divBdr>
                                            <w:top w:val="none" w:sz="0" w:space="0" w:color="auto"/>
                                            <w:left w:val="none" w:sz="0" w:space="0" w:color="auto"/>
                                            <w:bottom w:val="none" w:sz="0" w:space="0" w:color="auto"/>
                                            <w:right w:val="none" w:sz="0" w:space="0" w:color="auto"/>
                                          </w:divBdr>
                                          <w:divsChild>
                                            <w:div w:id="20558872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50070062">
                                  <w:marLeft w:val="0"/>
                                  <w:marRight w:val="-15"/>
                                  <w:marTop w:val="0"/>
                                  <w:marBottom w:val="30"/>
                                  <w:divBdr>
                                    <w:top w:val="single" w:sz="6" w:space="0" w:color="F9FBFD"/>
                                    <w:left w:val="single" w:sz="6" w:space="9" w:color="F9FBFD"/>
                                    <w:bottom w:val="none" w:sz="0" w:space="0" w:color="auto"/>
                                    <w:right w:val="single" w:sz="6" w:space="5" w:color="F9FBFD"/>
                                  </w:divBdr>
                                  <w:divsChild>
                                    <w:div w:id="247809200">
                                      <w:marLeft w:val="-15"/>
                                      <w:marRight w:val="-15"/>
                                      <w:marTop w:val="0"/>
                                      <w:marBottom w:val="0"/>
                                      <w:divBdr>
                                        <w:top w:val="none" w:sz="0" w:space="0" w:color="E4E4E4"/>
                                        <w:left w:val="none" w:sz="0" w:space="0" w:color="E4E4E4"/>
                                        <w:bottom w:val="none" w:sz="0" w:space="0" w:color="E4E4E4"/>
                                        <w:right w:val="none" w:sz="0" w:space="0" w:color="E4E4E4"/>
                                      </w:divBdr>
                                      <w:divsChild>
                                        <w:div w:id="616448802">
                                          <w:marLeft w:val="0"/>
                                          <w:marRight w:val="0"/>
                                          <w:marTop w:val="0"/>
                                          <w:marBottom w:val="0"/>
                                          <w:divBdr>
                                            <w:top w:val="none" w:sz="0" w:space="0" w:color="auto"/>
                                            <w:left w:val="none" w:sz="0" w:space="0" w:color="auto"/>
                                            <w:bottom w:val="none" w:sz="0" w:space="0" w:color="auto"/>
                                            <w:right w:val="none" w:sz="0" w:space="0" w:color="auto"/>
                                          </w:divBdr>
                                          <w:divsChild>
                                            <w:div w:id="5817631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4515470">
                                  <w:marLeft w:val="0"/>
                                  <w:marRight w:val="-15"/>
                                  <w:marTop w:val="0"/>
                                  <w:marBottom w:val="30"/>
                                  <w:divBdr>
                                    <w:top w:val="single" w:sz="6" w:space="0" w:color="F9FBFD"/>
                                    <w:left w:val="single" w:sz="6" w:space="9" w:color="F9FBFD"/>
                                    <w:bottom w:val="none" w:sz="0" w:space="0" w:color="auto"/>
                                    <w:right w:val="single" w:sz="6" w:space="5" w:color="F9FBFD"/>
                                  </w:divBdr>
                                  <w:divsChild>
                                    <w:div w:id="369376358">
                                      <w:marLeft w:val="-15"/>
                                      <w:marRight w:val="-15"/>
                                      <w:marTop w:val="0"/>
                                      <w:marBottom w:val="0"/>
                                      <w:divBdr>
                                        <w:top w:val="none" w:sz="0" w:space="0" w:color="E4E4E4"/>
                                        <w:left w:val="none" w:sz="0" w:space="0" w:color="E4E4E4"/>
                                        <w:bottom w:val="none" w:sz="0" w:space="0" w:color="E4E4E4"/>
                                        <w:right w:val="none" w:sz="0" w:space="0" w:color="E4E4E4"/>
                                      </w:divBdr>
                                      <w:divsChild>
                                        <w:div w:id="259996383">
                                          <w:marLeft w:val="0"/>
                                          <w:marRight w:val="0"/>
                                          <w:marTop w:val="0"/>
                                          <w:marBottom w:val="0"/>
                                          <w:divBdr>
                                            <w:top w:val="none" w:sz="0" w:space="0" w:color="auto"/>
                                            <w:left w:val="none" w:sz="0" w:space="0" w:color="auto"/>
                                            <w:bottom w:val="none" w:sz="0" w:space="0" w:color="auto"/>
                                            <w:right w:val="none" w:sz="0" w:space="0" w:color="auto"/>
                                          </w:divBdr>
                                          <w:divsChild>
                                            <w:div w:id="17859972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62241192">
                                  <w:marLeft w:val="0"/>
                                  <w:marRight w:val="-15"/>
                                  <w:marTop w:val="0"/>
                                  <w:marBottom w:val="30"/>
                                  <w:divBdr>
                                    <w:top w:val="single" w:sz="6" w:space="0" w:color="F9FBFD"/>
                                    <w:left w:val="single" w:sz="6" w:space="9" w:color="F9FBFD"/>
                                    <w:bottom w:val="none" w:sz="0" w:space="0" w:color="auto"/>
                                    <w:right w:val="single" w:sz="6" w:space="5" w:color="F9FBFD"/>
                                  </w:divBdr>
                                  <w:divsChild>
                                    <w:div w:id="1372337252">
                                      <w:marLeft w:val="-15"/>
                                      <w:marRight w:val="-15"/>
                                      <w:marTop w:val="0"/>
                                      <w:marBottom w:val="0"/>
                                      <w:divBdr>
                                        <w:top w:val="none" w:sz="0" w:space="0" w:color="E4E4E4"/>
                                        <w:left w:val="none" w:sz="0" w:space="0" w:color="E4E4E4"/>
                                        <w:bottom w:val="none" w:sz="0" w:space="0" w:color="E4E4E4"/>
                                        <w:right w:val="none" w:sz="0" w:space="0" w:color="E4E4E4"/>
                                      </w:divBdr>
                                      <w:divsChild>
                                        <w:div w:id="393967923">
                                          <w:marLeft w:val="0"/>
                                          <w:marRight w:val="0"/>
                                          <w:marTop w:val="0"/>
                                          <w:marBottom w:val="0"/>
                                          <w:divBdr>
                                            <w:top w:val="none" w:sz="0" w:space="0" w:color="auto"/>
                                            <w:left w:val="none" w:sz="0" w:space="0" w:color="auto"/>
                                            <w:bottom w:val="none" w:sz="0" w:space="0" w:color="auto"/>
                                            <w:right w:val="none" w:sz="0" w:space="0" w:color="auto"/>
                                          </w:divBdr>
                                          <w:divsChild>
                                            <w:div w:id="3277946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35581119">
                                  <w:marLeft w:val="0"/>
                                  <w:marRight w:val="-15"/>
                                  <w:marTop w:val="0"/>
                                  <w:marBottom w:val="30"/>
                                  <w:divBdr>
                                    <w:top w:val="single" w:sz="6" w:space="0" w:color="F9FBFD"/>
                                    <w:left w:val="single" w:sz="6" w:space="9" w:color="F9FBFD"/>
                                    <w:bottom w:val="none" w:sz="0" w:space="0" w:color="auto"/>
                                    <w:right w:val="single" w:sz="6" w:space="5" w:color="F9FBFD"/>
                                  </w:divBdr>
                                  <w:divsChild>
                                    <w:div w:id="565654524">
                                      <w:marLeft w:val="-15"/>
                                      <w:marRight w:val="-15"/>
                                      <w:marTop w:val="0"/>
                                      <w:marBottom w:val="0"/>
                                      <w:divBdr>
                                        <w:top w:val="none" w:sz="0" w:space="0" w:color="E4E4E4"/>
                                        <w:left w:val="none" w:sz="0" w:space="0" w:color="E4E4E4"/>
                                        <w:bottom w:val="none" w:sz="0" w:space="0" w:color="E4E4E4"/>
                                        <w:right w:val="none" w:sz="0" w:space="0" w:color="E4E4E4"/>
                                      </w:divBdr>
                                      <w:divsChild>
                                        <w:div w:id="1491798454">
                                          <w:marLeft w:val="0"/>
                                          <w:marRight w:val="0"/>
                                          <w:marTop w:val="0"/>
                                          <w:marBottom w:val="0"/>
                                          <w:divBdr>
                                            <w:top w:val="none" w:sz="0" w:space="0" w:color="auto"/>
                                            <w:left w:val="none" w:sz="0" w:space="0" w:color="auto"/>
                                            <w:bottom w:val="none" w:sz="0" w:space="0" w:color="auto"/>
                                            <w:right w:val="none" w:sz="0" w:space="0" w:color="auto"/>
                                          </w:divBdr>
                                          <w:divsChild>
                                            <w:div w:id="14458838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52405638">
                                  <w:marLeft w:val="0"/>
                                  <w:marRight w:val="-15"/>
                                  <w:marTop w:val="0"/>
                                  <w:marBottom w:val="30"/>
                                  <w:divBdr>
                                    <w:top w:val="single" w:sz="6" w:space="0" w:color="F9FBFD"/>
                                    <w:left w:val="single" w:sz="6" w:space="9" w:color="F9FBFD"/>
                                    <w:bottom w:val="none" w:sz="0" w:space="0" w:color="auto"/>
                                    <w:right w:val="single" w:sz="6" w:space="5" w:color="F9FBFD"/>
                                  </w:divBdr>
                                  <w:divsChild>
                                    <w:div w:id="1177186093">
                                      <w:marLeft w:val="-15"/>
                                      <w:marRight w:val="-15"/>
                                      <w:marTop w:val="0"/>
                                      <w:marBottom w:val="0"/>
                                      <w:divBdr>
                                        <w:top w:val="none" w:sz="0" w:space="0" w:color="E4E4E4"/>
                                        <w:left w:val="none" w:sz="0" w:space="0" w:color="E4E4E4"/>
                                        <w:bottom w:val="none" w:sz="0" w:space="0" w:color="E4E4E4"/>
                                        <w:right w:val="none" w:sz="0" w:space="0" w:color="E4E4E4"/>
                                      </w:divBdr>
                                      <w:divsChild>
                                        <w:div w:id="964313798">
                                          <w:marLeft w:val="0"/>
                                          <w:marRight w:val="0"/>
                                          <w:marTop w:val="0"/>
                                          <w:marBottom w:val="0"/>
                                          <w:divBdr>
                                            <w:top w:val="none" w:sz="0" w:space="0" w:color="auto"/>
                                            <w:left w:val="none" w:sz="0" w:space="0" w:color="auto"/>
                                            <w:bottom w:val="none" w:sz="0" w:space="0" w:color="auto"/>
                                            <w:right w:val="none" w:sz="0" w:space="0" w:color="auto"/>
                                          </w:divBdr>
                                          <w:divsChild>
                                            <w:div w:id="2516237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64135099">
                                  <w:marLeft w:val="0"/>
                                  <w:marRight w:val="-15"/>
                                  <w:marTop w:val="0"/>
                                  <w:marBottom w:val="30"/>
                                  <w:divBdr>
                                    <w:top w:val="single" w:sz="6" w:space="0" w:color="F9FBFD"/>
                                    <w:left w:val="single" w:sz="6" w:space="9" w:color="F9FBFD"/>
                                    <w:bottom w:val="none" w:sz="0" w:space="0" w:color="auto"/>
                                    <w:right w:val="single" w:sz="6" w:space="5" w:color="F9FBFD"/>
                                  </w:divBdr>
                                  <w:divsChild>
                                    <w:div w:id="399522265">
                                      <w:marLeft w:val="-15"/>
                                      <w:marRight w:val="-15"/>
                                      <w:marTop w:val="0"/>
                                      <w:marBottom w:val="0"/>
                                      <w:divBdr>
                                        <w:top w:val="none" w:sz="0" w:space="0" w:color="E4E4E4"/>
                                        <w:left w:val="none" w:sz="0" w:space="0" w:color="E4E4E4"/>
                                        <w:bottom w:val="none" w:sz="0" w:space="0" w:color="E4E4E4"/>
                                        <w:right w:val="none" w:sz="0" w:space="0" w:color="E4E4E4"/>
                                      </w:divBdr>
                                      <w:divsChild>
                                        <w:div w:id="1157922285">
                                          <w:marLeft w:val="0"/>
                                          <w:marRight w:val="0"/>
                                          <w:marTop w:val="0"/>
                                          <w:marBottom w:val="0"/>
                                          <w:divBdr>
                                            <w:top w:val="none" w:sz="0" w:space="0" w:color="auto"/>
                                            <w:left w:val="none" w:sz="0" w:space="0" w:color="auto"/>
                                            <w:bottom w:val="none" w:sz="0" w:space="0" w:color="auto"/>
                                            <w:right w:val="none" w:sz="0" w:space="0" w:color="auto"/>
                                          </w:divBdr>
                                          <w:divsChild>
                                            <w:div w:id="122375579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06038712">
                                  <w:marLeft w:val="0"/>
                                  <w:marRight w:val="-15"/>
                                  <w:marTop w:val="0"/>
                                  <w:marBottom w:val="30"/>
                                  <w:divBdr>
                                    <w:top w:val="single" w:sz="6" w:space="0" w:color="F9FBFD"/>
                                    <w:left w:val="single" w:sz="6" w:space="9" w:color="F9FBFD"/>
                                    <w:bottom w:val="none" w:sz="0" w:space="0" w:color="auto"/>
                                    <w:right w:val="single" w:sz="6" w:space="5" w:color="F9FBFD"/>
                                  </w:divBdr>
                                  <w:divsChild>
                                    <w:div w:id="2019843971">
                                      <w:marLeft w:val="-15"/>
                                      <w:marRight w:val="-15"/>
                                      <w:marTop w:val="0"/>
                                      <w:marBottom w:val="0"/>
                                      <w:divBdr>
                                        <w:top w:val="none" w:sz="0" w:space="0" w:color="E4E4E4"/>
                                        <w:left w:val="none" w:sz="0" w:space="0" w:color="E4E4E4"/>
                                        <w:bottom w:val="none" w:sz="0" w:space="0" w:color="E4E4E4"/>
                                        <w:right w:val="none" w:sz="0" w:space="0" w:color="E4E4E4"/>
                                      </w:divBdr>
                                      <w:divsChild>
                                        <w:div w:id="1388072495">
                                          <w:marLeft w:val="0"/>
                                          <w:marRight w:val="0"/>
                                          <w:marTop w:val="0"/>
                                          <w:marBottom w:val="0"/>
                                          <w:divBdr>
                                            <w:top w:val="none" w:sz="0" w:space="0" w:color="auto"/>
                                            <w:left w:val="none" w:sz="0" w:space="0" w:color="auto"/>
                                            <w:bottom w:val="none" w:sz="0" w:space="0" w:color="auto"/>
                                            <w:right w:val="none" w:sz="0" w:space="0" w:color="auto"/>
                                          </w:divBdr>
                                          <w:divsChild>
                                            <w:div w:id="20677962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78091238">
                                  <w:marLeft w:val="0"/>
                                  <w:marRight w:val="-15"/>
                                  <w:marTop w:val="0"/>
                                  <w:marBottom w:val="30"/>
                                  <w:divBdr>
                                    <w:top w:val="single" w:sz="6" w:space="0" w:color="F9FBFD"/>
                                    <w:left w:val="single" w:sz="6" w:space="9" w:color="F9FBFD"/>
                                    <w:bottom w:val="none" w:sz="0" w:space="0" w:color="auto"/>
                                    <w:right w:val="single" w:sz="6" w:space="5" w:color="F9FBFD"/>
                                  </w:divBdr>
                                  <w:divsChild>
                                    <w:div w:id="1245651063">
                                      <w:marLeft w:val="-15"/>
                                      <w:marRight w:val="-15"/>
                                      <w:marTop w:val="0"/>
                                      <w:marBottom w:val="0"/>
                                      <w:divBdr>
                                        <w:top w:val="none" w:sz="0" w:space="0" w:color="E4E4E4"/>
                                        <w:left w:val="none" w:sz="0" w:space="0" w:color="E4E4E4"/>
                                        <w:bottom w:val="none" w:sz="0" w:space="0" w:color="E4E4E4"/>
                                        <w:right w:val="none" w:sz="0" w:space="0" w:color="E4E4E4"/>
                                      </w:divBdr>
                                      <w:divsChild>
                                        <w:div w:id="690955665">
                                          <w:marLeft w:val="0"/>
                                          <w:marRight w:val="0"/>
                                          <w:marTop w:val="0"/>
                                          <w:marBottom w:val="0"/>
                                          <w:divBdr>
                                            <w:top w:val="none" w:sz="0" w:space="0" w:color="auto"/>
                                            <w:left w:val="none" w:sz="0" w:space="0" w:color="auto"/>
                                            <w:bottom w:val="none" w:sz="0" w:space="0" w:color="auto"/>
                                            <w:right w:val="none" w:sz="0" w:space="0" w:color="auto"/>
                                          </w:divBdr>
                                          <w:divsChild>
                                            <w:div w:id="14431095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27125891">
                                  <w:marLeft w:val="0"/>
                                  <w:marRight w:val="-15"/>
                                  <w:marTop w:val="0"/>
                                  <w:marBottom w:val="30"/>
                                  <w:divBdr>
                                    <w:top w:val="single" w:sz="6" w:space="0" w:color="F9FBFD"/>
                                    <w:left w:val="single" w:sz="6" w:space="9" w:color="F9FBFD"/>
                                    <w:bottom w:val="none" w:sz="0" w:space="0" w:color="auto"/>
                                    <w:right w:val="single" w:sz="6" w:space="5" w:color="F9FBFD"/>
                                  </w:divBdr>
                                  <w:divsChild>
                                    <w:div w:id="1258446592">
                                      <w:marLeft w:val="-15"/>
                                      <w:marRight w:val="-15"/>
                                      <w:marTop w:val="0"/>
                                      <w:marBottom w:val="0"/>
                                      <w:divBdr>
                                        <w:top w:val="none" w:sz="0" w:space="0" w:color="E4E4E4"/>
                                        <w:left w:val="none" w:sz="0" w:space="0" w:color="E4E4E4"/>
                                        <w:bottom w:val="none" w:sz="0" w:space="0" w:color="E4E4E4"/>
                                        <w:right w:val="none" w:sz="0" w:space="0" w:color="E4E4E4"/>
                                      </w:divBdr>
                                      <w:divsChild>
                                        <w:div w:id="1019233854">
                                          <w:marLeft w:val="0"/>
                                          <w:marRight w:val="0"/>
                                          <w:marTop w:val="0"/>
                                          <w:marBottom w:val="0"/>
                                          <w:divBdr>
                                            <w:top w:val="none" w:sz="0" w:space="0" w:color="auto"/>
                                            <w:left w:val="none" w:sz="0" w:space="0" w:color="auto"/>
                                            <w:bottom w:val="none" w:sz="0" w:space="0" w:color="auto"/>
                                            <w:right w:val="none" w:sz="0" w:space="0" w:color="auto"/>
                                          </w:divBdr>
                                          <w:divsChild>
                                            <w:div w:id="73153920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449689">
          <w:marLeft w:val="0"/>
          <w:marRight w:val="0"/>
          <w:marTop w:val="0"/>
          <w:marBottom w:val="0"/>
          <w:divBdr>
            <w:top w:val="none" w:sz="0" w:space="0" w:color="auto"/>
            <w:left w:val="none" w:sz="0" w:space="0" w:color="auto"/>
            <w:bottom w:val="none" w:sz="0" w:space="0" w:color="auto"/>
            <w:right w:val="none" w:sz="0" w:space="0" w:color="auto"/>
          </w:divBdr>
          <w:divsChild>
            <w:div w:id="2075659288">
              <w:marLeft w:val="0"/>
              <w:marRight w:val="0"/>
              <w:marTop w:val="0"/>
              <w:marBottom w:val="0"/>
              <w:divBdr>
                <w:top w:val="single" w:sz="12" w:space="1" w:color="0B57D0"/>
                <w:left w:val="single" w:sz="12" w:space="5" w:color="0B57D0"/>
                <w:bottom w:val="single" w:sz="12" w:space="1" w:color="0B57D0"/>
                <w:right w:val="single" w:sz="12" w:space="5" w:color="0B57D0"/>
              </w:divBdr>
              <w:divsChild>
                <w:div w:id="9261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7560">
      <w:bodyDiv w:val="1"/>
      <w:marLeft w:val="0"/>
      <w:marRight w:val="0"/>
      <w:marTop w:val="0"/>
      <w:marBottom w:val="0"/>
      <w:divBdr>
        <w:top w:val="none" w:sz="0" w:space="0" w:color="auto"/>
        <w:left w:val="none" w:sz="0" w:space="0" w:color="auto"/>
        <w:bottom w:val="none" w:sz="0" w:space="0" w:color="auto"/>
        <w:right w:val="none" w:sz="0" w:space="0" w:color="auto"/>
      </w:divBdr>
    </w:div>
    <w:div w:id="627784732">
      <w:bodyDiv w:val="1"/>
      <w:marLeft w:val="0"/>
      <w:marRight w:val="0"/>
      <w:marTop w:val="0"/>
      <w:marBottom w:val="0"/>
      <w:divBdr>
        <w:top w:val="none" w:sz="0" w:space="0" w:color="auto"/>
        <w:left w:val="none" w:sz="0" w:space="0" w:color="auto"/>
        <w:bottom w:val="none" w:sz="0" w:space="0" w:color="auto"/>
        <w:right w:val="none" w:sz="0" w:space="0" w:color="auto"/>
      </w:divBdr>
    </w:div>
    <w:div w:id="672150015">
      <w:bodyDiv w:val="1"/>
      <w:marLeft w:val="0"/>
      <w:marRight w:val="0"/>
      <w:marTop w:val="0"/>
      <w:marBottom w:val="0"/>
      <w:divBdr>
        <w:top w:val="none" w:sz="0" w:space="0" w:color="auto"/>
        <w:left w:val="none" w:sz="0" w:space="0" w:color="auto"/>
        <w:bottom w:val="none" w:sz="0" w:space="0" w:color="auto"/>
        <w:right w:val="none" w:sz="0" w:space="0" w:color="auto"/>
      </w:divBdr>
    </w:div>
    <w:div w:id="705448334">
      <w:bodyDiv w:val="1"/>
      <w:marLeft w:val="0"/>
      <w:marRight w:val="0"/>
      <w:marTop w:val="0"/>
      <w:marBottom w:val="0"/>
      <w:divBdr>
        <w:top w:val="none" w:sz="0" w:space="0" w:color="auto"/>
        <w:left w:val="none" w:sz="0" w:space="0" w:color="auto"/>
        <w:bottom w:val="none" w:sz="0" w:space="0" w:color="auto"/>
        <w:right w:val="none" w:sz="0" w:space="0" w:color="auto"/>
      </w:divBdr>
      <w:divsChild>
        <w:div w:id="779648954">
          <w:marLeft w:val="-687"/>
          <w:marRight w:val="0"/>
          <w:marTop w:val="0"/>
          <w:marBottom w:val="0"/>
          <w:divBdr>
            <w:top w:val="none" w:sz="0" w:space="0" w:color="auto"/>
            <w:left w:val="none" w:sz="0" w:space="0" w:color="auto"/>
            <w:bottom w:val="none" w:sz="0" w:space="0" w:color="auto"/>
            <w:right w:val="none" w:sz="0" w:space="0" w:color="auto"/>
          </w:divBdr>
        </w:div>
      </w:divsChild>
    </w:div>
    <w:div w:id="770973002">
      <w:bodyDiv w:val="1"/>
      <w:marLeft w:val="0"/>
      <w:marRight w:val="0"/>
      <w:marTop w:val="0"/>
      <w:marBottom w:val="0"/>
      <w:divBdr>
        <w:top w:val="none" w:sz="0" w:space="0" w:color="auto"/>
        <w:left w:val="none" w:sz="0" w:space="0" w:color="auto"/>
        <w:bottom w:val="none" w:sz="0" w:space="0" w:color="auto"/>
        <w:right w:val="none" w:sz="0" w:space="0" w:color="auto"/>
      </w:divBdr>
    </w:div>
    <w:div w:id="786657893">
      <w:bodyDiv w:val="1"/>
      <w:marLeft w:val="0"/>
      <w:marRight w:val="0"/>
      <w:marTop w:val="0"/>
      <w:marBottom w:val="0"/>
      <w:divBdr>
        <w:top w:val="none" w:sz="0" w:space="0" w:color="auto"/>
        <w:left w:val="none" w:sz="0" w:space="0" w:color="auto"/>
        <w:bottom w:val="none" w:sz="0" w:space="0" w:color="auto"/>
        <w:right w:val="none" w:sz="0" w:space="0" w:color="auto"/>
      </w:divBdr>
    </w:div>
    <w:div w:id="864292563">
      <w:bodyDiv w:val="1"/>
      <w:marLeft w:val="0"/>
      <w:marRight w:val="0"/>
      <w:marTop w:val="0"/>
      <w:marBottom w:val="0"/>
      <w:divBdr>
        <w:top w:val="none" w:sz="0" w:space="0" w:color="auto"/>
        <w:left w:val="none" w:sz="0" w:space="0" w:color="auto"/>
        <w:bottom w:val="none" w:sz="0" w:space="0" w:color="auto"/>
        <w:right w:val="none" w:sz="0" w:space="0" w:color="auto"/>
      </w:divBdr>
    </w:div>
    <w:div w:id="866334716">
      <w:bodyDiv w:val="1"/>
      <w:marLeft w:val="0"/>
      <w:marRight w:val="0"/>
      <w:marTop w:val="0"/>
      <w:marBottom w:val="0"/>
      <w:divBdr>
        <w:top w:val="none" w:sz="0" w:space="0" w:color="auto"/>
        <w:left w:val="none" w:sz="0" w:space="0" w:color="auto"/>
        <w:bottom w:val="none" w:sz="0" w:space="0" w:color="auto"/>
        <w:right w:val="none" w:sz="0" w:space="0" w:color="auto"/>
      </w:divBdr>
    </w:div>
    <w:div w:id="922104911">
      <w:bodyDiv w:val="1"/>
      <w:marLeft w:val="0"/>
      <w:marRight w:val="0"/>
      <w:marTop w:val="0"/>
      <w:marBottom w:val="0"/>
      <w:divBdr>
        <w:top w:val="none" w:sz="0" w:space="0" w:color="auto"/>
        <w:left w:val="none" w:sz="0" w:space="0" w:color="auto"/>
        <w:bottom w:val="none" w:sz="0" w:space="0" w:color="auto"/>
        <w:right w:val="none" w:sz="0" w:space="0" w:color="auto"/>
      </w:divBdr>
    </w:div>
    <w:div w:id="944077954">
      <w:bodyDiv w:val="1"/>
      <w:marLeft w:val="0"/>
      <w:marRight w:val="0"/>
      <w:marTop w:val="0"/>
      <w:marBottom w:val="0"/>
      <w:divBdr>
        <w:top w:val="none" w:sz="0" w:space="0" w:color="auto"/>
        <w:left w:val="none" w:sz="0" w:space="0" w:color="auto"/>
        <w:bottom w:val="none" w:sz="0" w:space="0" w:color="auto"/>
        <w:right w:val="none" w:sz="0" w:space="0" w:color="auto"/>
      </w:divBdr>
    </w:div>
    <w:div w:id="996614354">
      <w:bodyDiv w:val="1"/>
      <w:marLeft w:val="0"/>
      <w:marRight w:val="0"/>
      <w:marTop w:val="0"/>
      <w:marBottom w:val="0"/>
      <w:divBdr>
        <w:top w:val="none" w:sz="0" w:space="0" w:color="auto"/>
        <w:left w:val="none" w:sz="0" w:space="0" w:color="auto"/>
        <w:bottom w:val="none" w:sz="0" w:space="0" w:color="auto"/>
        <w:right w:val="none" w:sz="0" w:space="0" w:color="auto"/>
      </w:divBdr>
    </w:div>
    <w:div w:id="1052845167">
      <w:bodyDiv w:val="1"/>
      <w:marLeft w:val="0"/>
      <w:marRight w:val="0"/>
      <w:marTop w:val="0"/>
      <w:marBottom w:val="0"/>
      <w:divBdr>
        <w:top w:val="none" w:sz="0" w:space="0" w:color="auto"/>
        <w:left w:val="none" w:sz="0" w:space="0" w:color="auto"/>
        <w:bottom w:val="none" w:sz="0" w:space="0" w:color="auto"/>
        <w:right w:val="none" w:sz="0" w:space="0" w:color="auto"/>
      </w:divBdr>
    </w:div>
    <w:div w:id="1068116526">
      <w:bodyDiv w:val="1"/>
      <w:marLeft w:val="0"/>
      <w:marRight w:val="0"/>
      <w:marTop w:val="0"/>
      <w:marBottom w:val="0"/>
      <w:divBdr>
        <w:top w:val="none" w:sz="0" w:space="0" w:color="auto"/>
        <w:left w:val="none" w:sz="0" w:space="0" w:color="auto"/>
        <w:bottom w:val="none" w:sz="0" w:space="0" w:color="auto"/>
        <w:right w:val="none" w:sz="0" w:space="0" w:color="auto"/>
      </w:divBdr>
      <w:divsChild>
        <w:div w:id="861936991">
          <w:marLeft w:val="90"/>
          <w:marRight w:val="90"/>
          <w:marTop w:val="30"/>
          <w:marBottom w:val="30"/>
          <w:divBdr>
            <w:top w:val="none" w:sz="0" w:space="0" w:color="auto"/>
            <w:left w:val="none" w:sz="0" w:space="0" w:color="auto"/>
            <w:bottom w:val="none" w:sz="0" w:space="0" w:color="auto"/>
            <w:right w:val="none" w:sz="0" w:space="0" w:color="auto"/>
          </w:divBdr>
        </w:div>
        <w:div w:id="90592894">
          <w:marLeft w:val="0"/>
          <w:marRight w:val="0"/>
          <w:marTop w:val="0"/>
          <w:marBottom w:val="0"/>
          <w:divBdr>
            <w:top w:val="none" w:sz="0" w:space="0" w:color="auto"/>
            <w:left w:val="none" w:sz="0" w:space="0" w:color="auto"/>
            <w:bottom w:val="single" w:sz="6" w:space="0" w:color="C0C0C0"/>
            <w:right w:val="none" w:sz="0" w:space="0" w:color="auto"/>
          </w:divBdr>
          <w:divsChild>
            <w:div w:id="473136617">
              <w:marLeft w:val="0"/>
              <w:marRight w:val="0"/>
              <w:marTop w:val="0"/>
              <w:marBottom w:val="0"/>
              <w:divBdr>
                <w:top w:val="none" w:sz="0" w:space="0" w:color="auto"/>
                <w:left w:val="none" w:sz="0" w:space="0" w:color="auto"/>
                <w:bottom w:val="none" w:sz="0" w:space="0" w:color="auto"/>
                <w:right w:val="none" w:sz="0" w:space="0" w:color="auto"/>
              </w:divBdr>
              <w:divsChild>
                <w:div w:id="1580091735">
                  <w:marLeft w:val="0"/>
                  <w:marRight w:val="0"/>
                  <w:marTop w:val="0"/>
                  <w:marBottom w:val="0"/>
                  <w:divBdr>
                    <w:top w:val="none" w:sz="0" w:space="0" w:color="auto"/>
                    <w:left w:val="none" w:sz="0" w:space="0" w:color="auto"/>
                    <w:bottom w:val="none" w:sz="0" w:space="0" w:color="auto"/>
                    <w:right w:val="none" w:sz="0" w:space="0" w:color="auto"/>
                  </w:divBdr>
                  <w:divsChild>
                    <w:div w:id="795220613">
                      <w:marLeft w:val="0"/>
                      <w:marRight w:val="0"/>
                      <w:marTop w:val="0"/>
                      <w:marBottom w:val="0"/>
                      <w:divBdr>
                        <w:top w:val="none" w:sz="0" w:space="0" w:color="auto"/>
                        <w:left w:val="none" w:sz="0" w:space="0" w:color="auto"/>
                        <w:bottom w:val="none" w:sz="0" w:space="0" w:color="auto"/>
                        <w:right w:val="none" w:sz="0" w:space="0" w:color="auto"/>
                      </w:divBdr>
                      <w:divsChild>
                        <w:div w:id="17335040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88161">
      <w:bodyDiv w:val="1"/>
      <w:marLeft w:val="0"/>
      <w:marRight w:val="0"/>
      <w:marTop w:val="0"/>
      <w:marBottom w:val="0"/>
      <w:divBdr>
        <w:top w:val="none" w:sz="0" w:space="0" w:color="auto"/>
        <w:left w:val="none" w:sz="0" w:space="0" w:color="auto"/>
        <w:bottom w:val="none" w:sz="0" w:space="0" w:color="auto"/>
        <w:right w:val="none" w:sz="0" w:space="0" w:color="auto"/>
      </w:divBdr>
    </w:div>
    <w:div w:id="1220169869">
      <w:bodyDiv w:val="1"/>
      <w:marLeft w:val="0"/>
      <w:marRight w:val="0"/>
      <w:marTop w:val="0"/>
      <w:marBottom w:val="0"/>
      <w:divBdr>
        <w:top w:val="none" w:sz="0" w:space="0" w:color="auto"/>
        <w:left w:val="none" w:sz="0" w:space="0" w:color="auto"/>
        <w:bottom w:val="none" w:sz="0" w:space="0" w:color="auto"/>
        <w:right w:val="none" w:sz="0" w:space="0" w:color="auto"/>
      </w:divBdr>
    </w:div>
    <w:div w:id="1295984365">
      <w:bodyDiv w:val="1"/>
      <w:marLeft w:val="0"/>
      <w:marRight w:val="0"/>
      <w:marTop w:val="0"/>
      <w:marBottom w:val="0"/>
      <w:divBdr>
        <w:top w:val="none" w:sz="0" w:space="0" w:color="auto"/>
        <w:left w:val="none" w:sz="0" w:space="0" w:color="auto"/>
        <w:bottom w:val="none" w:sz="0" w:space="0" w:color="auto"/>
        <w:right w:val="none" w:sz="0" w:space="0" w:color="auto"/>
      </w:divBdr>
    </w:div>
    <w:div w:id="1315796951">
      <w:bodyDiv w:val="1"/>
      <w:marLeft w:val="0"/>
      <w:marRight w:val="0"/>
      <w:marTop w:val="0"/>
      <w:marBottom w:val="0"/>
      <w:divBdr>
        <w:top w:val="none" w:sz="0" w:space="0" w:color="auto"/>
        <w:left w:val="none" w:sz="0" w:space="0" w:color="auto"/>
        <w:bottom w:val="none" w:sz="0" w:space="0" w:color="auto"/>
        <w:right w:val="none" w:sz="0" w:space="0" w:color="auto"/>
      </w:divBdr>
    </w:div>
    <w:div w:id="1399981843">
      <w:bodyDiv w:val="1"/>
      <w:marLeft w:val="0"/>
      <w:marRight w:val="0"/>
      <w:marTop w:val="0"/>
      <w:marBottom w:val="0"/>
      <w:divBdr>
        <w:top w:val="none" w:sz="0" w:space="0" w:color="auto"/>
        <w:left w:val="none" w:sz="0" w:space="0" w:color="auto"/>
        <w:bottom w:val="none" w:sz="0" w:space="0" w:color="auto"/>
        <w:right w:val="none" w:sz="0" w:space="0" w:color="auto"/>
      </w:divBdr>
    </w:div>
    <w:div w:id="1426270577">
      <w:bodyDiv w:val="1"/>
      <w:marLeft w:val="0"/>
      <w:marRight w:val="0"/>
      <w:marTop w:val="0"/>
      <w:marBottom w:val="0"/>
      <w:divBdr>
        <w:top w:val="none" w:sz="0" w:space="0" w:color="auto"/>
        <w:left w:val="none" w:sz="0" w:space="0" w:color="auto"/>
        <w:bottom w:val="none" w:sz="0" w:space="0" w:color="auto"/>
        <w:right w:val="none" w:sz="0" w:space="0" w:color="auto"/>
      </w:divBdr>
      <w:divsChild>
        <w:div w:id="1330793956">
          <w:marLeft w:val="-687"/>
          <w:marRight w:val="0"/>
          <w:marTop w:val="0"/>
          <w:marBottom w:val="0"/>
          <w:divBdr>
            <w:top w:val="none" w:sz="0" w:space="0" w:color="auto"/>
            <w:left w:val="none" w:sz="0" w:space="0" w:color="auto"/>
            <w:bottom w:val="none" w:sz="0" w:space="0" w:color="auto"/>
            <w:right w:val="none" w:sz="0" w:space="0" w:color="auto"/>
          </w:divBdr>
        </w:div>
      </w:divsChild>
    </w:div>
    <w:div w:id="1454790716">
      <w:bodyDiv w:val="1"/>
      <w:marLeft w:val="0"/>
      <w:marRight w:val="0"/>
      <w:marTop w:val="0"/>
      <w:marBottom w:val="0"/>
      <w:divBdr>
        <w:top w:val="none" w:sz="0" w:space="0" w:color="auto"/>
        <w:left w:val="none" w:sz="0" w:space="0" w:color="auto"/>
        <w:bottom w:val="none" w:sz="0" w:space="0" w:color="auto"/>
        <w:right w:val="none" w:sz="0" w:space="0" w:color="auto"/>
      </w:divBdr>
      <w:divsChild>
        <w:div w:id="742798338">
          <w:marLeft w:val="-657"/>
          <w:marRight w:val="0"/>
          <w:marTop w:val="0"/>
          <w:marBottom w:val="0"/>
          <w:divBdr>
            <w:top w:val="none" w:sz="0" w:space="0" w:color="auto"/>
            <w:left w:val="none" w:sz="0" w:space="0" w:color="auto"/>
            <w:bottom w:val="none" w:sz="0" w:space="0" w:color="auto"/>
            <w:right w:val="none" w:sz="0" w:space="0" w:color="auto"/>
          </w:divBdr>
        </w:div>
      </w:divsChild>
    </w:div>
    <w:div w:id="1473593477">
      <w:bodyDiv w:val="1"/>
      <w:marLeft w:val="0"/>
      <w:marRight w:val="0"/>
      <w:marTop w:val="0"/>
      <w:marBottom w:val="0"/>
      <w:divBdr>
        <w:top w:val="none" w:sz="0" w:space="0" w:color="auto"/>
        <w:left w:val="none" w:sz="0" w:space="0" w:color="auto"/>
        <w:bottom w:val="none" w:sz="0" w:space="0" w:color="auto"/>
        <w:right w:val="none" w:sz="0" w:space="0" w:color="auto"/>
      </w:divBdr>
    </w:div>
    <w:div w:id="1488742327">
      <w:bodyDiv w:val="1"/>
      <w:marLeft w:val="0"/>
      <w:marRight w:val="0"/>
      <w:marTop w:val="0"/>
      <w:marBottom w:val="0"/>
      <w:divBdr>
        <w:top w:val="none" w:sz="0" w:space="0" w:color="auto"/>
        <w:left w:val="none" w:sz="0" w:space="0" w:color="auto"/>
        <w:bottom w:val="none" w:sz="0" w:space="0" w:color="auto"/>
        <w:right w:val="none" w:sz="0" w:space="0" w:color="auto"/>
      </w:divBdr>
    </w:div>
    <w:div w:id="1541748102">
      <w:bodyDiv w:val="1"/>
      <w:marLeft w:val="0"/>
      <w:marRight w:val="0"/>
      <w:marTop w:val="0"/>
      <w:marBottom w:val="0"/>
      <w:divBdr>
        <w:top w:val="none" w:sz="0" w:space="0" w:color="auto"/>
        <w:left w:val="none" w:sz="0" w:space="0" w:color="auto"/>
        <w:bottom w:val="none" w:sz="0" w:space="0" w:color="auto"/>
        <w:right w:val="none" w:sz="0" w:space="0" w:color="auto"/>
      </w:divBdr>
    </w:div>
    <w:div w:id="1627930577">
      <w:bodyDiv w:val="1"/>
      <w:marLeft w:val="0"/>
      <w:marRight w:val="0"/>
      <w:marTop w:val="0"/>
      <w:marBottom w:val="0"/>
      <w:divBdr>
        <w:top w:val="none" w:sz="0" w:space="0" w:color="auto"/>
        <w:left w:val="none" w:sz="0" w:space="0" w:color="auto"/>
        <w:bottom w:val="none" w:sz="0" w:space="0" w:color="auto"/>
        <w:right w:val="none" w:sz="0" w:space="0" w:color="auto"/>
      </w:divBdr>
    </w:div>
    <w:div w:id="1642537844">
      <w:bodyDiv w:val="1"/>
      <w:marLeft w:val="0"/>
      <w:marRight w:val="0"/>
      <w:marTop w:val="0"/>
      <w:marBottom w:val="0"/>
      <w:divBdr>
        <w:top w:val="none" w:sz="0" w:space="0" w:color="auto"/>
        <w:left w:val="none" w:sz="0" w:space="0" w:color="auto"/>
        <w:bottom w:val="none" w:sz="0" w:space="0" w:color="auto"/>
        <w:right w:val="none" w:sz="0" w:space="0" w:color="auto"/>
      </w:divBdr>
    </w:div>
    <w:div w:id="1748574687">
      <w:bodyDiv w:val="1"/>
      <w:marLeft w:val="0"/>
      <w:marRight w:val="0"/>
      <w:marTop w:val="0"/>
      <w:marBottom w:val="0"/>
      <w:divBdr>
        <w:top w:val="none" w:sz="0" w:space="0" w:color="auto"/>
        <w:left w:val="none" w:sz="0" w:space="0" w:color="auto"/>
        <w:bottom w:val="none" w:sz="0" w:space="0" w:color="auto"/>
        <w:right w:val="none" w:sz="0" w:space="0" w:color="auto"/>
      </w:divBdr>
    </w:div>
    <w:div w:id="1750928757">
      <w:bodyDiv w:val="1"/>
      <w:marLeft w:val="0"/>
      <w:marRight w:val="0"/>
      <w:marTop w:val="0"/>
      <w:marBottom w:val="0"/>
      <w:divBdr>
        <w:top w:val="none" w:sz="0" w:space="0" w:color="auto"/>
        <w:left w:val="none" w:sz="0" w:space="0" w:color="auto"/>
        <w:bottom w:val="none" w:sz="0" w:space="0" w:color="auto"/>
        <w:right w:val="none" w:sz="0" w:space="0" w:color="auto"/>
      </w:divBdr>
    </w:div>
    <w:div w:id="1758473875">
      <w:bodyDiv w:val="1"/>
      <w:marLeft w:val="0"/>
      <w:marRight w:val="0"/>
      <w:marTop w:val="0"/>
      <w:marBottom w:val="0"/>
      <w:divBdr>
        <w:top w:val="none" w:sz="0" w:space="0" w:color="auto"/>
        <w:left w:val="none" w:sz="0" w:space="0" w:color="auto"/>
        <w:bottom w:val="none" w:sz="0" w:space="0" w:color="auto"/>
        <w:right w:val="none" w:sz="0" w:space="0" w:color="auto"/>
      </w:divBdr>
    </w:div>
    <w:div w:id="1795637736">
      <w:bodyDiv w:val="1"/>
      <w:marLeft w:val="0"/>
      <w:marRight w:val="0"/>
      <w:marTop w:val="0"/>
      <w:marBottom w:val="0"/>
      <w:divBdr>
        <w:top w:val="none" w:sz="0" w:space="0" w:color="auto"/>
        <w:left w:val="none" w:sz="0" w:space="0" w:color="auto"/>
        <w:bottom w:val="none" w:sz="0" w:space="0" w:color="auto"/>
        <w:right w:val="none" w:sz="0" w:space="0" w:color="auto"/>
      </w:divBdr>
    </w:div>
    <w:div w:id="1834448175">
      <w:bodyDiv w:val="1"/>
      <w:marLeft w:val="0"/>
      <w:marRight w:val="0"/>
      <w:marTop w:val="0"/>
      <w:marBottom w:val="0"/>
      <w:divBdr>
        <w:top w:val="none" w:sz="0" w:space="0" w:color="auto"/>
        <w:left w:val="none" w:sz="0" w:space="0" w:color="auto"/>
        <w:bottom w:val="none" w:sz="0" w:space="0" w:color="auto"/>
        <w:right w:val="none" w:sz="0" w:space="0" w:color="auto"/>
      </w:divBdr>
      <w:divsChild>
        <w:div w:id="46804800">
          <w:marLeft w:val="0"/>
          <w:marRight w:val="0"/>
          <w:marTop w:val="0"/>
          <w:marBottom w:val="0"/>
          <w:divBdr>
            <w:top w:val="none" w:sz="0" w:space="0" w:color="auto"/>
            <w:left w:val="none" w:sz="0" w:space="0" w:color="auto"/>
            <w:bottom w:val="single" w:sz="6" w:space="0" w:color="F9FBFD"/>
            <w:right w:val="none" w:sz="0" w:space="0" w:color="auto"/>
          </w:divBdr>
          <w:divsChild>
            <w:div w:id="1288049929">
              <w:marLeft w:val="0"/>
              <w:marRight w:val="0"/>
              <w:marTop w:val="0"/>
              <w:marBottom w:val="0"/>
              <w:divBdr>
                <w:top w:val="none" w:sz="0" w:space="0" w:color="auto"/>
                <w:left w:val="none" w:sz="0" w:space="0" w:color="auto"/>
                <w:bottom w:val="none" w:sz="0" w:space="0" w:color="auto"/>
                <w:right w:val="none" w:sz="0" w:space="0" w:color="auto"/>
              </w:divBdr>
              <w:divsChild>
                <w:div w:id="989092459">
                  <w:marLeft w:val="0"/>
                  <w:marRight w:val="0"/>
                  <w:marTop w:val="0"/>
                  <w:marBottom w:val="0"/>
                  <w:divBdr>
                    <w:top w:val="none" w:sz="0" w:space="0" w:color="auto"/>
                    <w:left w:val="none" w:sz="0" w:space="0" w:color="auto"/>
                    <w:bottom w:val="none" w:sz="0" w:space="0" w:color="auto"/>
                    <w:right w:val="none" w:sz="0" w:space="0" w:color="auto"/>
                  </w:divBdr>
                  <w:divsChild>
                    <w:div w:id="784932734">
                      <w:marLeft w:val="0"/>
                      <w:marRight w:val="0"/>
                      <w:marTop w:val="0"/>
                      <w:marBottom w:val="0"/>
                      <w:divBdr>
                        <w:top w:val="none" w:sz="0" w:space="0" w:color="auto"/>
                        <w:left w:val="none" w:sz="0" w:space="0" w:color="auto"/>
                        <w:bottom w:val="single" w:sz="6" w:space="0" w:color="C0C0C0"/>
                        <w:right w:val="none" w:sz="0" w:space="0" w:color="auto"/>
                      </w:divBdr>
                      <w:divsChild>
                        <w:div w:id="210074477">
                          <w:marLeft w:val="0"/>
                          <w:marRight w:val="0"/>
                          <w:marTop w:val="0"/>
                          <w:marBottom w:val="0"/>
                          <w:divBdr>
                            <w:top w:val="none" w:sz="0" w:space="0" w:color="auto"/>
                            <w:left w:val="none" w:sz="0" w:space="0" w:color="auto"/>
                            <w:bottom w:val="none" w:sz="0" w:space="0" w:color="auto"/>
                            <w:right w:val="none" w:sz="0" w:space="0" w:color="auto"/>
                          </w:divBdr>
                          <w:divsChild>
                            <w:div w:id="930509639">
                              <w:marLeft w:val="0"/>
                              <w:marRight w:val="0"/>
                              <w:marTop w:val="0"/>
                              <w:marBottom w:val="0"/>
                              <w:divBdr>
                                <w:top w:val="none" w:sz="0" w:space="0" w:color="auto"/>
                                <w:left w:val="none" w:sz="0" w:space="0" w:color="auto"/>
                                <w:bottom w:val="none" w:sz="0" w:space="0" w:color="auto"/>
                                <w:right w:val="none" w:sz="0" w:space="0" w:color="auto"/>
                              </w:divBdr>
                              <w:divsChild>
                                <w:div w:id="1297487782">
                                  <w:marLeft w:val="0"/>
                                  <w:marRight w:val="0"/>
                                  <w:marTop w:val="0"/>
                                  <w:marBottom w:val="0"/>
                                  <w:divBdr>
                                    <w:top w:val="none" w:sz="0" w:space="0" w:color="auto"/>
                                    <w:left w:val="none" w:sz="0" w:space="0" w:color="auto"/>
                                    <w:bottom w:val="none" w:sz="0" w:space="0" w:color="auto"/>
                                    <w:right w:val="none" w:sz="0" w:space="0" w:color="auto"/>
                                  </w:divBdr>
                                  <w:divsChild>
                                    <w:div w:id="20231196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26306">
          <w:marLeft w:val="0"/>
          <w:marRight w:val="0"/>
          <w:marTop w:val="0"/>
          <w:marBottom w:val="0"/>
          <w:divBdr>
            <w:top w:val="none" w:sz="0" w:space="0" w:color="auto"/>
            <w:left w:val="none" w:sz="0" w:space="0" w:color="auto"/>
            <w:bottom w:val="none" w:sz="0" w:space="0" w:color="auto"/>
            <w:right w:val="none" w:sz="0" w:space="0" w:color="auto"/>
          </w:divBdr>
          <w:divsChild>
            <w:div w:id="443158135">
              <w:marLeft w:val="0"/>
              <w:marRight w:val="0"/>
              <w:marTop w:val="0"/>
              <w:marBottom w:val="0"/>
              <w:divBdr>
                <w:top w:val="none" w:sz="0" w:space="0" w:color="auto"/>
                <w:left w:val="none" w:sz="0" w:space="0" w:color="auto"/>
                <w:bottom w:val="none" w:sz="0" w:space="0" w:color="auto"/>
                <w:right w:val="none" w:sz="0" w:space="0" w:color="auto"/>
              </w:divBdr>
              <w:divsChild>
                <w:div w:id="1515875433">
                  <w:marLeft w:val="0"/>
                  <w:marRight w:val="0"/>
                  <w:marTop w:val="0"/>
                  <w:marBottom w:val="0"/>
                  <w:divBdr>
                    <w:top w:val="none" w:sz="0" w:space="0" w:color="auto"/>
                    <w:left w:val="none" w:sz="0" w:space="0" w:color="auto"/>
                    <w:bottom w:val="none" w:sz="0" w:space="0" w:color="auto"/>
                    <w:right w:val="none" w:sz="0" w:space="0" w:color="auto"/>
                  </w:divBdr>
                  <w:divsChild>
                    <w:div w:id="237792606">
                      <w:marLeft w:val="0"/>
                      <w:marRight w:val="0"/>
                      <w:marTop w:val="0"/>
                      <w:marBottom w:val="0"/>
                      <w:divBdr>
                        <w:top w:val="none" w:sz="0" w:space="0" w:color="auto"/>
                        <w:left w:val="none" w:sz="0" w:space="0" w:color="auto"/>
                        <w:bottom w:val="none" w:sz="0" w:space="0" w:color="auto"/>
                        <w:right w:val="none" w:sz="0" w:space="0" w:color="auto"/>
                      </w:divBdr>
                      <w:divsChild>
                        <w:div w:id="187328897">
                          <w:marLeft w:val="0"/>
                          <w:marRight w:val="0"/>
                          <w:marTop w:val="0"/>
                          <w:marBottom w:val="0"/>
                          <w:divBdr>
                            <w:top w:val="none" w:sz="0" w:space="0" w:color="auto"/>
                            <w:left w:val="none" w:sz="0" w:space="0" w:color="auto"/>
                            <w:bottom w:val="none" w:sz="0" w:space="0" w:color="auto"/>
                            <w:right w:val="none" w:sz="0" w:space="0" w:color="auto"/>
                          </w:divBdr>
                          <w:divsChild>
                            <w:div w:id="1897934643">
                              <w:marLeft w:val="0"/>
                              <w:marRight w:val="0"/>
                              <w:marTop w:val="0"/>
                              <w:marBottom w:val="0"/>
                              <w:divBdr>
                                <w:top w:val="none" w:sz="0" w:space="0" w:color="auto"/>
                                <w:left w:val="none" w:sz="0" w:space="0" w:color="auto"/>
                                <w:bottom w:val="none" w:sz="0" w:space="0" w:color="auto"/>
                                <w:right w:val="none" w:sz="0" w:space="0" w:color="auto"/>
                              </w:divBdr>
                              <w:divsChild>
                                <w:div w:id="645203845">
                                  <w:marLeft w:val="0"/>
                                  <w:marRight w:val="0"/>
                                  <w:marTop w:val="0"/>
                                  <w:marBottom w:val="0"/>
                                  <w:divBdr>
                                    <w:top w:val="none" w:sz="0" w:space="0" w:color="auto"/>
                                    <w:left w:val="none" w:sz="0" w:space="0" w:color="auto"/>
                                    <w:bottom w:val="none" w:sz="0" w:space="0" w:color="auto"/>
                                    <w:right w:val="none" w:sz="0" w:space="0" w:color="auto"/>
                                  </w:divBdr>
                                  <w:divsChild>
                                    <w:div w:id="2050760977">
                                      <w:marLeft w:val="0"/>
                                      <w:marRight w:val="0"/>
                                      <w:marTop w:val="0"/>
                                      <w:marBottom w:val="0"/>
                                      <w:divBdr>
                                        <w:top w:val="none" w:sz="0" w:space="0" w:color="auto"/>
                                        <w:left w:val="none" w:sz="0" w:space="0" w:color="auto"/>
                                        <w:bottom w:val="none" w:sz="0" w:space="0" w:color="auto"/>
                                        <w:right w:val="none" w:sz="0" w:space="0" w:color="auto"/>
                                      </w:divBdr>
                                      <w:divsChild>
                                        <w:div w:id="7914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425005">
      <w:bodyDiv w:val="1"/>
      <w:marLeft w:val="0"/>
      <w:marRight w:val="0"/>
      <w:marTop w:val="0"/>
      <w:marBottom w:val="0"/>
      <w:divBdr>
        <w:top w:val="none" w:sz="0" w:space="0" w:color="auto"/>
        <w:left w:val="none" w:sz="0" w:space="0" w:color="auto"/>
        <w:bottom w:val="none" w:sz="0" w:space="0" w:color="auto"/>
        <w:right w:val="none" w:sz="0" w:space="0" w:color="auto"/>
      </w:divBdr>
      <w:divsChild>
        <w:div w:id="1988707879">
          <w:marLeft w:val="0"/>
          <w:marRight w:val="0"/>
          <w:marTop w:val="0"/>
          <w:marBottom w:val="0"/>
          <w:divBdr>
            <w:top w:val="none" w:sz="0" w:space="0" w:color="auto"/>
            <w:left w:val="none" w:sz="0" w:space="0" w:color="auto"/>
            <w:bottom w:val="none" w:sz="0" w:space="0" w:color="auto"/>
            <w:right w:val="none" w:sz="0" w:space="0" w:color="auto"/>
          </w:divBdr>
          <w:divsChild>
            <w:div w:id="1946499636">
              <w:marLeft w:val="0"/>
              <w:marRight w:val="0"/>
              <w:marTop w:val="0"/>
              <w:marBottom w:val="0"/>
              <w:divBdr>
                <w:top w:val="none" w:sz="0" w:space="0" w:color="auto"/>
                <w:left w:val="none" w:sz="0" w:space="0" w:color="auto"/>
                <w:bottom w:val="none" w:sz="0" w:space="0" w:color="auto"/>
                <w:right w:val="none" w:sz="0" w:space="0" w:color="auto"/>
              </w:divBdr>
              <w:divsChild>
                <w:div w:id="1502039529">
                  <w:marLeft w:val="0"/>
                  <w:marRight w:val="0"/>
                  <w:marTop w:val="0"/>
                  <w:marBottom w:val="0"/>
                  <w:divBdr>
                    <w:top w:val="none" w:sz="0" w:space="0" w:color="auto"/>
                    <w:left w:val="none" w:sz="0" w:space="0" w:color="auto"/>
                    <w:bottom w:val="none" w:sz="0" w:space="0" w:color="auto"/>
                    <w:right w:val="none" w:sz="0" w:space="0" w:color="auto"/>
                  </w:divBdr>
                  <w:divsChild>
                    <w:div w:id="12764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08989">
      <w:bodyDiv w:val="1"/>
      <w:marLeft w:val="0"/>
      <w:marRight w:val="0"/>
      <w:marTop w:val="0"/>
      <w:marBottom w:val="0"/>
      <w:divBdr>
        <w:top w:val="none" w:sz="0" w:space="0" w:color="auto"/>
        <w:left w:val="none" w:sz="0" w:space="0" w:color="auto"/>
        <w:bottom w:val="none" w:sz="0" w:space="0" w:color="auto"/>
        <w:right w:val="none" w:sz="0" w:space="0" w:color="auto"/>
      </w:divBdr>
    </w:div>
    <w:div w:id="1921983633">
      <w:bodyDiv w:val="1"/>
      <w:marLeft w:val="0"/>
      <w:marRight w:val="0"/>
      <w:marTop w:val="0"/>
      <w:marBottom w:val="0"/>
      <w:divBdr>
        <w:top w:val="none" w:sz="0" w:space="0" w:color="auto"/>
        <w:left w:val="none" w:sz="0" w:space="0" w:color="auto"/>
        <w:bottom w:val="none" w:sz="0" w:space="0" w:color="auto"/>
        <w:right w:val="none" w:sz="0" w:space="0" w:color="auto"/>
      </w:divBdr>
    </w:div>
    <w:div w:id="1929847198">
      <w:bodyDiv w:val="1"/>
      <w:marLeft w:val="0"/>
      <w:marRight w:val="0"/>
      <w:marTop w:val="0"/>
      <w:marBottom w:val="0"/>
      <w:divBdr>
        <w:top w:val="none" w:sz="0" w:space="0" w:color="auto"/>
        <w:left w:val="none" w:sz="0" w:space="0" w:color="auto"/>
        <w:bottom w:val="none" w:sz="0" w:space="0" w:color="auto"/>
        <w:right w:val="none" w:sz="0" w:space="0" w:color="auto"/>
      </w:divBdr>
    </w:div>
    <w:div w:id="1937444731">
      <w:bodyDiv w:val="1"/>
      <w:marLeft w:val="0"/>
      <w:marRight w:val="0"/>
      <w:marTop w:val="0"/>
      <w:marBottom w:val="0"/>
      <w:divBdr>
        <w:top w:val="none" w:sz="0" w:space="0" w:color="auto"/>
        <w:left w:val="none" w:sz="0" w:space="0" w:color="auto"/>
        <w:bottom w:val="none" w:sz="0" w:space="0" w:color="auto"/>
        <w:right w:val="none" w:sz="0" w:space="0" w:color="auto"/>
      </w:divBdr>
    </w:div>
    <w:div w:id="2109231911">
      <w:bodyDiv w:val="1"/>
      <w:marLeft w:val="0"/>
      <w:marRight w:val="0"/>
      <w:marTop w:val="0"/>
      <w:marBottom w:val="0"/>
      <w:divBdr>
        <w:top w:val="none" w:sz="0" w:space="0" w:color="auto"/>
        <w:left w:val="none" w:sz="0" w:space="0" w:color="auto"/>
        <w:bottom w:val="none" w:sz="0" w:space="0" w:color="auto"/>
        <w:right w:val="none" w:sz="0" w:space="0" w:color="auto"/>
      </w:divBdr>
    </w:div>
    <w:div w:id="2110857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package" Target="embeddings/Microsoft_Excel_Worksheet.xlsx"/><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rODB4VJ6v/dsujrA1pimR6+AQ==">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91B93A-CF5E-4A0E-8A7F-1B19C426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177</Pages>
  <Words>60782</Words>
  <Characters>334303</Characters>
  <Application>Microsoft Office Word</Application>
  <DocSecurity>0</DocSecurity>
  <Lines>2785</Lines>
  <Paragraphs>788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VITO ARROBO</cp:lastModifiedBy>
  <cp:revision>437</cp:revision>
  <cp:lastPrinted>2024-10-25T04:22:00Z</cp:lastPrinted>
  <dcterms:created xsi:type="dcterms:W3CDTF">2024-11-01T19:09:00Z</dcterms:created>
  <dcterms:modified xsi:type="dcterms:W3CDTF">2024-11-01T22:20:00Z</dcterms:modified>
</cp:coreProperties>
</file>